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The Export Intensity–Performance Relationship in Chinese Private Firms: A Threshold-Stability Perspective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Asia Business Studies (JABS), Emerald Publishing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Generative AI:</w:t>
      </w:r>
      <w:r>
        <w:t xml:space="preserve"> </w:t>
      </w:r>
      <w:r>
        <w:t xml:space="preserve">Grammarly used for language only; no generative AI produced substantive content.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2026-06-27T11:27:33Z</dcterms:created>
  <dcterms:modified xsi:type="dcterms:W3CDTF">2026-06-27T11:27:33Z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