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25 June 2026</w:t>
      </w:r>
    </w:p>
    <w:p>
      <w:pPr>
        <w:pStyle w:val="BodyText"/>
      </w:pPr>
      <w:r>
        <w:t xml:space="preserve">The Editor-in-Chief</w:t>
      </w:r>
      <w:r>
        <w:t xml:space="preserve"> </w:t>
      </w:r>
      <w:r>
        <w:rPr>
          <w:iCs/>
          <w:i/>
        </w:rPr>
        <w:t xml:space="preserve">Journal of Asia Business Studies</w:t>
      </w:r>
      <w:r>
        <w:t xml:space="preserve"> </w:t>
      </w:r>
      <w:r>
        <w:t xml:space="preserve">Emerald Publishing</w:t>
      </w:r>
    </w:p>
    <w:p>
      <w:pPr>
        <w:pStyle w:val="BodyText"/>
      </w:pPr>
      <w:r>
        <w:rPr>
          <w:bCs/>
          <w:b/>
        </w:rPr>
        <w:t xml:space="preserve">Submission of Manuscript:</w:t>
      </w:r>
      <w:r>
        <w:rPr>
          <w:bCs/>
          <w:b/>
        </w:rPr>
        <w:t xml:space="preserve"> </w:t>
      </w:r>
      <w:r>
        <w:rPr>
          <w:bCs/>
          <w:b/>
        </w:rPr>
        <w:t xml:space="preserve">“</w:t>
      </w:r>
      <w:r>
        <w:rPr>
          <w:bCs/>
          <w:b/>
        </w:rPr>
        <w:t xml:space="preserve">The Export Intensity–Performance Relationship in Chinese Private Firms: A Threshold-Stability Perspective</w:t>
      </w:r>
      <w:r>
        <w:rPr>
          <w:bCs/>
          <w:b/>
        </w:rPr>
        <w:t xml:space="preserve">”</w:t>
      </w:r>
    </w:p>
    <w:p>
      <w:pPr>
        <w:pStyle w:val="BodyText"/>
      </w:pPr>
      <w:r>
        <w:t xml:space="preserve">Dear Editor-in-Chief,</w:t>
      </w:r>
    </w:p>
    <w:p>
      <w:pPr>
        <w:pStyle w:val="BodyText"/>
      </w:pPr>
      <w:r>
        <w:t xml:space="preserve">We are pleased to submit the above manuscript for consideration for publication in the</w:t>
      </w:r>
      <w:r>
        <w:t xml:space="preserve"> </w:t>
      </w:r>
      <w:r>
        <w:rPr>
          <w:iCs/>
          <w:i/>
        </w:rPr>
        <w:t xml:space="preserve">Journal of Asia Business Studies</w:t>
      </w:r>
      <w:r>
        <w:t xml:space="preserve"> </w:t>
      </w:r>
      <w:r>
        <w:t xml:space="preserve">(JABS). The manuscript examines the export intensity–performance relationship across two waves of World Bank Enterprise Survey data for Chinese private firms (2012 and 2024), focusing on the stability of nonlinear turning points and the moderating roles of technological capability and digital adoption.</w:t>
      </w:r>
    </w:p>
    <w:p>
      <w:pPr>
        <w:pStyle w:val="BodyText"/>
      </w:pPr>
      <w:r>
        <w:rPr>
          <w:bCs/>
          <w:b/>
        </w:rPr>
        <w:t xml:space="preserve">Relevance to JABS</w:t>
      </w:r>
    </w:p>
    <w:p>
      <w:pPr>
        <w:pStyle w:val="BodyText"/>
      </w:pPr>
      <w:r>
        <w:t xml:space="preserve">The study fits JABS’s focus on business and management issues in Asian contexts. Using firm-level evidence from the Chinese private sector across a decade of institutional and digital change, it addresses how export intensity converts into productivity and whether that conversion is structurally stable, a question of clear interest to scholars and practitioners of Asian business.</w:t>
      </w:r>
    </w:p>
    <w:p>
      <w:pPr>
        <w:pStyle w:val="BodyText"/>
      </w:pPr>
      <w:r>
        <w:rPr>
          <w:bCs/>
          <w:b/>
        </w:rPr>
        <w:t xml:space="preserve">Key Contributions</w:t>
      </w:r>
    </w:p>
    <w:p>
      <w:pPr>
        <w:pStyle w:val="BodyText"/>
      </w:pPr>
      <w:r>
        <w:t xml:space="preserve">First, a robust inverted-U relationship is confirmed in both waves (turning points 49.4% in 2012, 47.2% in 2024, 48.8% pooled), with Paternoster tests not rejecting cross-wave equality (FSTS z = +0.82, p = .412). Second, technological capability is robustly positive across waves with rising returns. Third, foundational digital adoption is positive but retained as a baseline control, consistent with a selection-dominated reading.</w:t>
      </w:r>
    </w:p>
    <w:p>
      <w:pPr>
        <w:pStyle w:val="BodyText"/>
      </w:pPr>
      <w:r>
        <w:rPr>
          <w:bCs/>
          <w:b/>
        </w:rPr>
        <w:t xml:space="preserve">Originality and Declaration</w:t>
      </w:r>
    </w:p>
    <w:p>
      <w:pPr>
        <w:pStyle w:val="BodyText"/>
      </w:pPr>
      <w:r>
        <w:t xml:space="preserve">This manuscript is original, has not been published previously, and is not under consideration for publication elsewhere. All authors approve the submission and declare no conflict of interest. This research received no specific grant. A writing-assistance tool (Grammarly) was used for language only; no generative AI produced substantive content.</w:t>
      </w:r>
    </w:p>
    <w:p>
      <w:pPr>
        <w:pStyle w:val="BodyText"/>
      </w:pPr>
      <w:r>
        <w:t xml:space="preserve">Yours sincerely,</w:t>
      </w:r>
    </w:p>
    <w:p>
      <w:pPr>
        <w:pStyle w:val="BodyText"/>
      </w:pPr>
      <w:r>
        <w:t xml:space="preserve">Đỗ Thùy Hương (Do Thuy Huong) — PhD Candidate, College of Economics, Can Tho University, Vietnam · huongp1323001@gstudent.ctu.edu.vn</w:t>
      </w:r>
      <w:r>
        <w:t xml:space="preserve"> </w:t>
      </w:r>
      <w:r>
        <w:t xml:space="preserve">PGS.TS. Phan Anh Tú (Corresponding author) — Associate Professor, College of Economics, Can Tho University, Vietnam · patu@ctu.edu.vn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2026-06-27T11:27:33Z</dcterms:created>
  <dcterms:modified xsi:type="dcterms:W3CDTF">2026-06-27T11:27:33Z</dcterms:modified>
</cp:coreProperties>
</file>

<file path=docProps/custom.xml><?xml version="1.0" encoding="utf-8"?>
<Properties xmlns="http://schemas.openxmlformats.org/officeDocument/2006/custom-properties" xmlns:vt="http://schemas.openxmlformats.org/officeDocument/2006/docPropsVTypes"/>
</file>