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global-strategy-journal"/>
    <w:p>
      <w:pPr>
        <w:pStyle w:val="Heading1"/>
      </w:pPr>
      <w:r>
        <w:t xml:space="preserve">Cover Letter — Global Strategy Journal</w:t>
      </w:r>
    </w:p>
    <w:p>
      <w:pPr>
        <w:pStyle w:val="FirstParagraph"/>
      </w:pPr>
      <w:r>
        <w:t xml:space="preserve">25 June 2026</w:t>
      </w:r>
    </w:p>
    <w:p>
      <w:pPr>
        <w:pStyle w:val="BodyText"/>
      </w:pPr>
      <w:r>
        <w:t xml:space="preserve">Dear Editors,</w:t>
      </w:r>
    </w:p>
    <w:p>
      <w:pPr>
        <w:pStyle w:val="BodyText"/>
      </w:pPr>
      <w:r>
        <w:t xml:space="preserve">We are pleased to submit our manuscript,</w:t>
      </w:r>
      <w:r>
        <w:t xml:space="preserve"> </w:t>
      </w:r>
      <w:r>
        <w:rPr>
          <w:bCs/>
          <w:b/>
        </w:rPr>
        <w:t xml:space="preserve">“</w:t>
      </w:r>
      <w:r>
        <w:rPr>
          <w:bCs/>
          <w:b/>
        </w:rPr>
        <w:t xml:space="preserve">Internationalization and Firm Performance across 49 Asian and Pacific Economies: Institutional Regimes, Digital Capabilities, and Managerial Characteristics as Contingency Factors,</w:t>
      </w:r>
      <w:r>
        <w:rPr>
          <w:bCs/>
          <w:b/>
        </w:rPr>
        <w:t xml:space="preserve">”</w:t>
      </w:r>
      <w:r>
        <w:t xml:space="preserve"> </w:t>
      </w:r>
      <w:r>
        <w:t xml:space="preserve">for consideration in the</w:t>
      </w:r>
      <w:r>
        <w:t xml:space="preserve"> </w:t>
      </w:r>
      <w:r>
        <w:rPr>
          <w:iCs/>
          <w:i/>
        </w:rPr>
        <w:t xml:space="preserve">Global Strategy Journal (GSJ)</w:t>
      </w:r>
      <w:r>
        <w:t xml:space="preserve">.</w:t>
      </w:r>
    </w:p>
    <w:p>
      <w:pPr>
        <w:pStyle w:val="BodyText"/>
      </w:pPr>
      <w:r>
        <w:t xml:space="preserve">Using harmonised World Bank Enterprise Survey microdata for 49 Asian and Pacific economies, the study shows that institutions do not merely shift the magnitude of the internationalization–performance relationship but govern its sign and shape: the inverted-U is sharp in mid-spectrum transition regimes, flattens toward near-linearity at the strongest-institution frontier, and dissolves at the institutional extreme, where the relationship tilts monotonically negative.</w:t>
      </w:r>
    </w:p>
    <w:p>
      <w:pPr>
        <w:pStyle w:val="BodyText"/>
      </w:pPr>
      <w:r>
        <w:rPr>
          <w:bCs/>
          <w:b/>
        </w:rPr>
        <w:t xml:space="preserve">Fit with GSJ.</w:t>
      </w:r>
      <w:r>
        <w:t xml:space="preserve"> </w:t>
      </w:r>
      <w:r>
        <w:t xml:space="preserve">The paper is a strong fit for GSJ’s focus on global strategy and cross-country strategic heterogeneity. It demonstrates that the strategic value of internationalization is contingent on the institutional regime in which a firm is embedded, and develops a falsifiable, regime-contingent account of when international expansion creates versus erodes firm value, integrating institutional theory, the resource-based view, and a digital-capability lens at large cross-national scale.</w:t>
      </w:r>
    </w:p>
    <w:p>
      <w:pPr>
        <w:pStyle w:val="BodyText"/>
      </w:pPr>
      <w:r>
        <w:t xml:space="preserve">The manuscript is original, has not been published, and is not under consideration elsewhere. All authors approved the submission and declare no conflicts of interest. A writing-assistance tool (Grammarly) was used for language only; no generative AI produced substantive content.</w:t>
      </w:r>
    </w:p>
    <w:p>
      <w:pPr>
        <w:pStyle w:val="BodyText"/>
      </w:pPr>
      <w:r>
        <w:t xml:space="preserve">Sincerely,</w:t>
      </w:r>
      <w:r>
        <w:t xml:space="preserve"> </w:t>
      </w:r>
      <w:r>
        <w:t xml:space="preserve">Phan Anh Tú (corresponding author), College of Economics, Can Tho University, Vietnam · patu@ctu.edu.vn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2026-06-27T11:27:36Z</dcterms:created>
  <dcterms:modified xsi:type="dcterms:W3CDTF">2026-06-27T11:27:36Z</dcterms:modified>
</cp:coreProperties>
</file>

<file path=docProps/custom.xml><?xml version="1.0" encoding="utf-8"?>
<Properties xmlns="http://schemas.openxmlformats.org/officeDocument/2006/custom-properties" xmlns:vt="http://schemas.openxmlformats.org/officeDocument/2006/docPropsVTypes"/>
</file>