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Override PartName="/word/media/rId42.png" ContentType="image/png"/>
  <Override PartName="/word/media/rId29.png" ContentType="image/png"/>
  <Override PartName="/word/media/rId33.png" ContentType="image/png"/>
  <Override PartName="/word/media/rId105.png" ContentType="image/png"/>
  <Override PartName="/word/media/rId45.png" ContentType="image/png"/>
  <Override PartName="/word/media/rId93.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kết quả nghiên cứu của luận án theo logic đi từ mô tả thực trạng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pPr>
        <w:pStyle w:val="BodyText"/>
      </w:pPr>
      <w:r>
        <w:t xml:space="preserve">Trật tự trình bày này không ngẫu nhiên mà được tổ chức để kiểm chứng luận điểm trọng tâm của luận án theo một lát cắt dọc trên phổ thể chế: rằng thể chế quy định không chỉ độ lớn mà cả dấu và dạng hình của quan hệ quốc tế hóa và hiệu quả. Đi từ Nhóm I (Singapore gần tuyến tính dương) qua Nhóm III (Trung Quốc, điểm uốn ổn định) đến Nhóm IV (Việt Nam, chữ U ngược rõ nét), rồi đối chiếu với toàn mẫu 50 nền (P7) và cực trị Nhóm VI (SIDS), chương này lần lượt phơi bày cách dạng hàm dịch chuyển theo vị trí thể chế và cách toàn bộ họ mô hình chữ U ngược mất cấu trúc tại cực trị, tức điều kiện biên FIP.</w:t>
      </w:r>
    </w:p>
    <w:p>
      <w:pPr>
        <w:pStyle w:val="BlockText"/>
      </w:pPr>
      <w:r>
        <w:rPr>
          <w:bCs/>
          <w:b/>
        </w:rPr>
        <w:t xml:space="preserve">Ghi chú nhận diện (đọc trước toàn chương).</w:t>
      </w:r>
      <w:r>
        <w:t xml:space="preserve"> </w:t>
      </w:r>
      <w:r>
        <w:t xml:space="preserve">Dữ liệu thực nghiệm là lát cắt ngang lặp lại, không phải bảng theo dõi cùng doanh nghiệp qua thời gian. Do đó, trừ nơi nêu rõ chiến lược biến công cụ (P3, P5), các hệ số trong chương này nên được đọc là</w:t>
      </w:r>
      <w:r>
        <w:t xml:space="preserve"> </w:t>
      </w:r>
      <w:r>
        <w:rPr>
          <w:bCs/>
          <w:b/>
        </w:rPr>
        <w:t xml:space="preserve">quan hệ liên hệ (associational) vững về mặt thống kê</w:t>
      </w:r>
      <w:r>
        <w:t xml:space="preserve"> </w:t>
      </w:r>
      <w:r>
        <w:t xml:space="preserve">sau khi hấp thụ hiệu ứng cố định nền kinh tế và năm,</w:t>
      </w:r>
      <w:r>
        <w:t xml:space="preserve"> </w:t>
      </w:r>
      <w:r>
        <w:rPr>
          <w:bCs/>
          <w:b/>
        </w:rPr>
        <w:t xml:space="preserve">chứ chưa phải hiệu ứng nhân quả</w:t>
      </w:r>
      <w:r>
        <w:t xml:space="preserve"> </w:t>
      </w:r>
      <w:r>
        <w:t xml:space="preserve">được nhận diện trực tiếp; ranh giới suy luận này được trình bày đầy đủ ở Mục 3.5.6 và đối chiếu với ba phản bác chính (nhân quả ngược, chọn lọc xuất khẩu, tạo tác đo lường) ở Mục 4.11. Các kết quả từ mẫu nhỏ hoặc thiếu công suất (đặc biệt P8 SIDS) được trình bày như</w:t>
      </w:r>
      <w:r>
        <w:t xml:space="preserve"> </w:t>
      </w:r>
      <w:r>
        <w:rPr>
          <w:bCs/>
          <w:b/>
        </w:rPr>
        <w:t xml:space="preserve">bằng chứng thăm dò cho điều kiện biên lý thuyết</w:t>
      </w:r>
      <w:r>
        <w:t xml:space="preserve">, không phải hiệu ứng khẳng định.</w:t>
      </w:r>
    </w:p>
    <w:p>
      <w:r>
        <w:pict>
          <v:rect style="width:0;height:1.5pt" o:hralign="center" o:hrstd="t" o:hr="t"/>
        </w:pict>
      </w:r>
    </w:p>
    <w:bookmarkEnd w:id="21"/>
    <w:bookmarkStart w:id="51" w:name="Xed285cd0261846a13dee28de69c0403b250498d"/>
    <w:p>
      <w:pPr>
        <w:pStyle w:val="Heading2"/>
      </w:pPr>
      <w:r>
        <w:t xml:space="preserve">4.1 Thực trạng quốc tế hóa và hiệu quả hoạt động kinh doanh tại châu Á</w:t>
      </w:r>
    </w:p>
    <w:bookmarkStart w:id="28" w:name="Xe27c4fc798ba9badf07654f8bef42e3eb112ba1"/>
    <w:p>
      <w:pPr>
        <w:pStyle w:val="Heading3"/>
      </w:pPr>
      <w:r>
        <w:t xml:space="preserve">4.1.1 Toàn cảnh tổng thể về hiệu quả hoạt động kinh doanh của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hiệu quả hoạt động kinh doanh phân tán lớn và không hội tụ. Các bảng 4.1–4.2 dưới đây được</w:t>
      </w:r>
      <w:r>
        <w:t xml:space="preserve"> </w:t>
      </w:r>
      <w:r>
        <w:rPr>
          <w:bCs/>
          <w:b/>
        </w:rPr>
        <w:t xml:space="preserve">tái lập trực tiếp từ dữ liệu thô</w:t>
      </w:r>
      <w:r>
        <w:t xml:space="preserve"> </w:t>
      </w:r>
      <w:r>
        <w:t xml:space="preserve">trên khung mô tả 50 nền có năng suất hợp lệ (84.998 doanh nghiệp; 107 cặp nền–năm), bằng cùng quy trình hài hòa hóa với pipeline kinh tế lượng P7 (</w:t>
      </w:r>
      <w:r>
        <w:rPr>
          <w:rStyle w:val="VerbatimChar"/>
        </w:rPr>
        <w:t xml:space="preserve">scripts/relock_descriptives_canonical.py</w:t>
      </w:r>
      <w:r>
        <w:t xml:space="preserve">); pool phân loại ICRV rộng hơn là 96.415 doanh nghiệp / 52 nhãn nền, khung phân tích đa quốc gia là 88.869 / 50 nền gồm Nhật Bản, và mẫu hồi quy chính P7 M2 là N = 81.022. Chênh lệch giữa các con số này là hệ quả trực tiếp của xóa-theo-danh-sách (listwise deletion) trên tập biến lõi (xem Phụ lục A.9): pool phân loại rộng nhất giữ cả doanh nghiệp thiếu biến năng suất hoặc thể chế, còn mẫu hồi quy chỉ giữ doanh nghiệp có đủ mọi biến mô hình; kiểm định ổn định điểm uốn (Mục 4.6.8) xác nhận các kết luận không bị chi phối bởi cơ chế khuyết.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0,96 (Nhóm I, Advanced đổi mới) lên 1,24–1,37 (Nhóm III–V), và tỷ số P90/P10 leo từ khoảng 11 lần (Nhóm I) lên khoảng 27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(khung mô tả tái lập 50 nền có năng suất hợp lệ, 84.998 doanh nghiệp, WBES 2006–2026; pool phân loại ICRV rộng hơn 96.415/52 nhãn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(LP-valid)</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 JPN)</w:t>
            </w:r>
          </w:p>
        </w:tc>
        <w:tc>
          <w:tcPr/>
          <w:p>
            <w:pPr>
              <w:pStyle w:val="Compact"/>
              <w:jc w:val="left"/>
            </w:pPr>
            <w:r>
              <w:t xml:space="preserve">5.688</w:t>
            </w:r>
          </w:p>
        </w:tc>
        <w:tc>
          <w:tcPr/>
          <w:p>
            <w:pPr>
              <w:pStyle w:val="Compact"/>
              <w:jc w:val="left"/>
            </w:pPr>
            <w:r>
              <w:t xml:space="preserve">0,96</w:t>
            </w:r>
          </w:p>
        </w:tc>
        <w:tc>
          <w:tcPr/>
          <w:p>
            <w:pPr>
              <w:pStyle w:val="Compact"/>
              <w:jc w:val="left"/>
            </w:pPr>
            <w:r>
              <w:t xml:space="preserve">10,3</w:t>
            </w:r>
          </w:p>
        </w:tc>
        <w:tc>
          <w:tcPr/>
          <w:p>
            <w:pPr>
              <w:pStyle w:val="Compact"/>
              <w:jc w:val="left"/>
            </w:pPr>
            <w:r>
              <w:t xml:space="preserve">24,3</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2.082</w:t>
            </w:r>
          </w:p>
        </w:tc>
        <w:tc>
          <w:tcPr/>
          <w:p>
            <w:pPr>
              <w:pStyle w:val="Compact"/>
              <w:jc w:val="left"/>
            </w:pPr>
            <w:r>
              <w:rPr>
                <w:bCs/>
                <w:b/>
              </w:rPr>
              <w:t xml:space="preserve">0,79</w:t>
            </w:r>
            <w:r>
              <w:t xml:space="preserve">²</w:t>
            </w:r>
          </w:p>
        </w:tc>
        <w:tc>
          <w:tcPr/>
          <w:p>
            <w:pPr>
              <w:pStyle w:val="Compact"/>
              <w:jc w:val="left"/>
            </w:pPr>
            <w:r>
              <w:t xml:space="preserve">3,9</w:t>
            </w:r>
          </w:p>
        </w:tc>
        <w:tc>
          <w:tcPr/>
          <w:p>
            <w:pPr>
              <w:pStyle w:val="Compact"/>
              <w:jc w:val="left"/>
            </w:pPr>
            <w:r>
              <w:t xml:space="preserve">11,6</w:t>
            </w:r>
          </w:p>
        </w:tc>
        <w:tc>
          <w:tcPr/>
          <w:p>
            <w:pPr>
              <w:pStyle w:val="Compact"/>
              <w:jc w:val="left"/>
            </w:pPr>
            <w:r>
              <w:t xml:space="preserve">13,6</w:t>
            </w:r>
          </w:p>
        </w:tc>
      </w:tr>
      <w:tr>
        <w:tc>
          <w:tcPr/>
          <w:p>
            <w:pPr>
              <w:pStyle w:val="Compact"/>
              <w:jc w:val="left"/>
            </w:pPr>
            <w:r>
              <w:t xml:space="preserve">Nhóm III: trung bình cao (CHN, MYS, THA, KAZ…)</w:t>
            </w:r>
          </w:p>
        </w:tc>
        <w:tc>
          <w:tcPr/>
          <w:p>
            <w:pPr>
              <w:pStyle w:val="Compact"/>
              <w:jc w:val="left"/>
            </w:pPr>
            <w:r>
              <w:t xml:space="preserve">15.174</w:t>
            </w:r>
          </w:p>
        </w:tc>
        <w:tc>
          <w:tcPr/>
          <w:p>
            <w:pPr>
              <w:pStyle w:val="Compact"/>
              <w:jc w:val="left"/>
            </w:pPr>
            <w:r>
              <w:t xml:space="preserve">1,30</w:t>
            </w:r>
          </w:p>
        </w:tc>
        <w:tc>
          <w:tcPr/>
          <w:p>
            <w:pPr>
              <w:pStyle w:val="Compact"/>
              <w:jc w:val="left"/>
            </w:pPr>
            <w:r>
              <w:t xml:space="preserve">10,3</w:t>
            </w:r>
          </w:p>
        </w:tc>
        <w:tc>
          <w:tcPr/>
          <w:p>
            <w:pPr>
              <w:pStyle w:val="Compact"/>
              <w:jc w:val="left"/>
            </w:pPr>
            <w:r>
              <w:t xml:space="preserve">21,6</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42.798</w:t>
            </w:r>
          </w:p>
        </w:tc>
        <w:tc>
          <w:tcPr/>
          <w:p>
            <w:pPr>
              <w:pStyle w:val="Compact"/>
              <w:jc w:val="left"/>
            </w:pPr>
            <w:r>
              <w:t xml:space="preserve">1,24</w:t>
            </w:r>
          </w:p>
        </w:tc>
        <w:tc>
          <w:tcPr/>
          <w:p>
            <w:pPr>
              <w:pStyle w:val="Compact"/>
              <w:jc w:val="left"/>
            </w:pPr>
            <w:r>
              <w:t xml:space="preserve">8,1</w:t>
            </w:r>
          </w:p>
        </w:tc>
        <w:tc>
          <w:tcPr/>
          <w:p>
            <w:pPr>
              <w:pStyle w:val="Compact"/>
              <w:jc w:val="left"/>
            </w:pPr>
            <w:r>
              <w:t xml:space="preserve">14,1</w:t>
            </w:r>
          </w:p>
        </w:tc>
        <w:tc>
          <w:tcPr/>
          <w:p>
            <w:pPr>
              <w:pStyle w:val="Compact"/>
              <w:jc w:val="left"/>
            </w:pPr>
            <w:r>
              <w:t xml:space="preserve">3,1</w:t>
            </w:r>
          </w:p>
        </w:tc>
      </w:tr>
      <w:tr>
        <w:tc>
          <w:tcPr/>
          <w:p>
            <w:pPr>
              <w:pStyle w:val="Compact"/>
              <w:jc w:val="left"/>
            </w:pPr>
            <w:r>
              <w:t xml:space="preserve">Nhóm V: đang nổi (LAO, KHM, NPL, LKA, JOR, AZE…)</w:t>
            </w:r>
          </w:p>
        </w:tc>
        <w:tc>
          <w:tcPr/>
          <w:p>
            <w:pPr>
              <w:pStyle w:val="Compact"/>
              <w:jc w:val="left"/>
            </w:pPr>
            <w:r>
              <w:t xml:space="preserve">17.340</w:t>
            </w:r>
          </w:p>
        </w:tc>
        <w:tc>
          <w:tcPr/>
          <w:p>
            <w:pPr>
              <w:pStyle w:val="Compact"/>
              <w:jc w:val="left"/>
            </w:pPr>
            <w:r>
              <w:t xml:space="preserve">1,37</w:t>
            </w:r>
          </w:p>
        </w:tc>
        <w:tc>
          <w:tcPr/>
          <w:p>
            <w:pPr>
              <w:pStyle w:val="Compact"/>
              <w:jc w:val="left"/>
            </w:pPr>
            <w:r>
              <w:t xml:space="preserve">10,2</w:t>
            </w:r>
          </w:p>
        </w:tc>
        <w:tc>
          <w:tcPr/>
          <w:p>
            <w:pPr>
              <w:pStyle w:val="Compact"/>
              <w:jc w:val="left"/>
            </w:pPr>
            <w:r>
              <w:t xml:space="preserve">18,1</w:t>
            </w:r>
          </w:p>
        </w:tc>
        <w:tc>
          <w:tcPr/>
          <w:p>
            <w:pPr>
              <w:pStyle w:val="Compact"/>
              <w:jc w:val="left"/>
            </w:pPr>
            <w:r>
              <w:t xml:space="preserve">7,0</w:t>
            </w:r>
          </w:p>
        </w:tc>
      </w:tr>
      <w:tr>
        <w:tc>
          <w:tcPr/>
          <w:p>
            <w:pPr>
              <w:pStyle w:val="Compact"/>
              <w:jc w:val="left"/>
            </w:pPr>
            <w:r>
              <w:t xml:space="preserve">Nhóm VI: SIDS (FJI, PNG, SLB…)</w:t>
            </w:r>
          </w:p>
        </w:tc>
        <w:tc>
          <w:tcPr/>
          <w:p>
            <w:pPr>
              <w:pStyle w:val="Compact"/>
              <w:jc w:val="left"/>
            </w:pPr>
            <w:r>
              <w:t xml:space="preserve">1.916</w:t>
            </w:r>
          </w:p>
        </w:tc>
        <w:tc>
          <w:tcPr/>
          <w:p>
            <w:pPr>
              <w:pStyle w:val="Compact"/>
              <w:jc w:val="left"/>
            </w:pPr>
            <w:r>
              <w:rPr>
                <w:bCs/>
                <w:b/>
              </w:rPr>
              <w:t xml:space="preserve">1,40</w:t>
            </w:r>
          </w:p>
        </w:tc>
        <w:tc>
          <w:tcPr/>
          <w:p>
            <w:pPr>
              <w:pStyle w:val="Compact"/>
              <w:jc w:val="left"/>
            </w:pPr>
            <w:r>
              <w:t xml:space="preserve">6,7</w:t>
            </w:r>
          </w:p>
        </w:tc>
        <w:tc>
          <w:tcPr/>
          <w:p>
            <w:pPr>
              <w:pStyle w:val="Compact"/>
              <w:jc w:val="left"/>
            </w:pPr>
            <w:r>
              <w:t xml:space="preserve">14,4</w:t>
            </w:r>
          </w:p>
        </w:tc>
        <w:tc>
          <w:tcPr/>
          <w:p>
            <w:pPr>
              <w:pStyle w:val="Compact"/>
              <w:jc w:val="left"/>
            </w:pPr>
            <w:r>
              <w:t xml:space="preserve">20,0</w:t>
            </w:r>
          </w:p>
        </w:tc>
      </w:tr>
      <w:tr>
        <w:tc>
          <w:tcPr/>
          <w:p>
            <w:pPr>
              <w:pStyle w:val="Compact"/>
              <w:jc w:val="left"/>
            </w:pPr>
            <w:r>
              <w:rPr>
                <w:bCs/>
                <w:b/>
              </w:rPr>
              <w:t xml:space="preserve">Tổng (LP-valid, 50 nền)</w:t>
            </w:r>
          </w:p>
        </w:tc>
        <w:tc>
          <w:tcPr/>
          <w:p>
            <w:pPr>
              <w:pStyle w:val="Compact"/>
              <w:jc w:val="left"/>
            </w:pPr>
            <w:r>
              <w:rPr>
                <w:bCs/>
                <w:b/>
              </w:rPr>
              <w:t xml:space="preserve">84.998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w:t>
      </w:r>
      <w:r>
        <w:rPr>
          <w:iCs/>
          <w:i/>
        </w:rPr>
        <w:t xml:space="preserve">trong khung mô tả tái lập gồm 50 nền / 107 cặp nền–năm (tổng 84.998), tính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với cùng quy trình hài hòa hóa như pipeline kinh tế lượng P7. Khung mô tả này là phần lõi có năng suất hợp lệ của khung phân tích đa quốc gia (50 nền gồm Nhật Bản); mẫu hồi quy chính P7 là N = 81.022 (M2) và 79.080 (M5; xem Mục 4.6.1), còn pool phân loại ICRV rộng hơn (gồm cả doanh nghiệp thiếu biến năng suất/thể chế) là 96.415 / 52 nhãn nền. Vì vậy n ở bảng này nhỏ hơn các đếm mẫu đầy đủ dùng ở Bảng 4.3. ¹ Độ lệch chuẩn ln(năng suất lao động) khử trung bình trong từng cặp nền kinh tế × năm rồi tổng hợp trên các quan sát của nhóm, bất biến với đơn vị tiền tệ (thừa số quy đổi triệt tiêu trên thang log); năng suất được winsorize 1/99 trong cụm country-year (xem Mục 3.5.3). ² Nhóm II có phân tán hẹp nhất toàn khung (nén năng suất kiểu kinh tế nhà nước tô); hai nền lớn nhất khối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24,3% doanh nghiệp xuất khẩu, trong khi nhóm tài nguyên dẫn dắt chỉ có R&amp;D 7,0% và 11,6%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hoạt động kinh doanh của doanh nghiệp đáng kể. Việc gộp hai loại Advanced vào một nhóm duy nhất, như các nghiên cứu trước thường làm, do đó che khuất cơ chế này.</w:t>
      </w:r>
    </w:p>
    <w:p>
      <w:pPr>
        <w:pStyle w:val="BodyText"/>
      </w:pPr>
      <w:r>
        <w:t xml:space="preserve">Sự gia tăng của độ phân tán năng suất trong đợt theo phổ thể chế ICRV (từ ~11 lần lên ~27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neo phần mô tả vào bằng chứng suy diễn nhất quán, thay vì dừng ở so sánh trung bình và độ lệch chuẩn.</w:t>
      </w:r>
    </w:p>
    <w:p>
      <w:pPr>
        <w:pStyle w:val="CaptionedFigure"/>
      </w:pPr>
      <w:r>
        <w:drawing>
          <wp:inline>
            <wp:extent cx="5753100" cy="3141580"/>
            <wp:effectExtent b="0" l="0" r="0" t="0"/>
            <wp:docPr descr="Hình 4.1. Thành phần mẫu gộp theo nhóm ICRV" title="" id="23" name="Picture"/>
            <a:graphic>
              <a:graphicData uri="http://schemas.openxmlformats.org/drawingml/2006/picture">
                <pic:pic>
                  <pic:nvPicPr>
                    <pic:cNvPr descr="figures/fig_4_1_pool_composition.png" id="24" name="Picture"/>
                    <pic:cNvPicPr>
                      <a:picLocks noChangeArrowheads="1" noChangeAspect="1"/>
                    </pic:cNvPicPr>
                  </pic:nvPicPr>
                  <pic:blipFill>
                    <a:blip r:embed="rId22"/>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26" name="Picture"/>
            <a:graphic>
              <a:graphicData uri="http://schemas.openxmlformats.org/drawingml/2006/picture">
                <pic:pic>
                  <pic:nvPicPr>
                    <pic:cNvPr descr="figures/fig_4_0_pool_by_year.png" id="27" name="Picture"/>
                    <pic:cNvPicPr>
                      <a:picLocks noChangeArrowheads="1" noChangeAspect="1"/>
                    </pic:cNvPicPr>
                  </pic:nvPicPr>
                  <pic:blipFill>
                    <a:blip r:embed="rId25"/>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28"/>
    <w:bookmarkStart w:id="32"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khoảng 12–24%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6,7% (SIDS) đến 10,3% (trung bình cao), với mức trung bình khu vực khoảng 9%. Trung bình cao và Advanced có cùng FSTS trung bình (~10%) nhưng cơ chế xuất khẩu khác hẳn: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30" name="Picture"/>
            <a:graphic>
              <a:graphicData uri="http://schemas.openxmlformats.org/drawingml/2006/picture">
                <pic:pic>
                  <pic:nvPicPr>
                    <pic:cNvPr descr="figures/fig_4_4_growth_pathway.png" id="31" name="Picture"/>
                    <pic:cNvPicPr>
                      <a:picLocks noChangeArrowheads="1" noChangeAspect="1"/>
                    </pic:cNvPicPr>
                  </pic:nvPicPr>
                  <pic:blipFill>
                    <a:blip r:embed="rId29"/>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32"/>
    <w:bookmarkStart w:id="36"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Bậc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tái lập trực tiếp từ dữ liệu thô WBES trên cùng khung mô tả canonical 50 nền (một cross-section chuẩn cho mỗi cặp nền kinh tế × năm, đợt khảo sát ≥ 2006) như Bảng 4.1,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w:t>
      </w:r>
    </w:p>
    <w:p>
      <w:pPr>
        <w:pStyle w:val="BodyText"/>
      </w:pPr>
      <w:r>
        <w:t xml:space="preserve">Ở SIDS nổi lên khuôn mẫu</w:t>
      </w:r>
      <w:r>
        <w:t xml:space="preserve"> </w:t>
      </w:r>
      <w:r>
        <w:t xml:space="preserve">“</w:t>
      </w:r>
      <w:r>
        <w:t xml:space="preserve">thích nghi và nhảy vọt</w:t>
      </w:r>
      <w:r>
        <w:t xml:space="preserve">”</w:t>
      </w:r>
      <w:r>
        <w:t xml:space="preserve"> </w:t>
      </w:r>
      <w:r>
        <w:t xml:space="preserve">(adaptive leapfrogging):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Bậc 1 nằm ở tương quan giữa website và năng suất: phần bù tương quan của DAI Bậc 1 thấp nhất ở nhóm Advanced đổi mới (+0,093, so với +0,183–0,202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Bậc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34" name="Picture"/>
            <a:graphic>
              <a:graphicData uri="http://schemas.openxmlformats.org/drawingml/2006/picture">
                <pic:pic>
                  <pic:nvPicPr>
                    <pic:cNvPr descr="figures/fig_4_6_firm_size.png" id="35" name="Picture"/>
                    <pic:cNvPicPr>
                      <a:picLocks noChangeArrowheads="1" noChangeAspect="1"/>
                    </pic:cNvPicPr>
                  </pic:nvPicPr>
                  <pic:blipFill>
                    <a:blip r:embed="rId33"/>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36"/>
    <w:bookmarkStart w:id="37"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của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37"/>
    <w:bookmarkStart w:id="38"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Bậc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38"/>
    <w:bookmarkStart w:id="48"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cấu trúc rõ rệt nổi lên trong đó cường độ của các tương quan thô suy giảm dần (đến mức triệt tiêu ở SIDS)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141</m:t>
        </m:r>
      </m:oMath>
      <w:r>
        <w:t xml:space="preserve"> </w:t>
      </w:r>
      <w:r>
        <w:t xml:space="preserve">ở Nhóm I, qua</w:t>
      </w:r>
      <w:r>
        <w:t xml:space="preserve"> </w:t>
      </w:r>
      <m:oMath>
        <m:r>
          <m:rPr>
            <m:sty m:val="p"/>
          </m:rPr>
          <m:t>+</m:t>
        </m:r>
        <m:r>
          <m:t>0</m:t>
        </m:r>
        <m:r>
          <m:rPr>
            <m:sty m:val="p"/>
          </m:rPr>
          <m:t>,</m:t>
        </m:r>
        <m:r>
          <m:t>122</m:t>
        </m:r>
      </m:oMath>
      <w:r>
        <w:t xml:space="preserve"> </w:t>
      </w:r>
      <w:r>
        <w:t xml:space="preserve">ở Nhóm II,</w:t>
      </w:r>
      <w:r>
        <w:t xml:space="preserve"> </w:t>
      </w:r>
      <m:oMath>
        <m:r>
          <m:rPr>
            <m:sty m:val="p"/>
          </m:rPr>
          <m:t>+</m:t>
        </m:r>
        <m:r>
          <m:t>0</m:t>
        </m:r>
        <m:r>
          <m:rPr>
            <m:sty m:val="p"/>
          </m:rPr>
          <m:t>,</m:t>
        </m:r>
        <m:r>
          <m:t>061</m:t>
        </m:r>
      </m:oMath>
      <w:r>
        <w:t xml:space="preserve"> </w:t>
      </w:r>
      <w:r>
        <w:t xml:space="preserve">ở Nhóm III,</w:t>
      </w:r>
      <w:r>
        <w:t xml:space="preserve"> </w:t>
      </w:r>
      <m:oMath>
        <m:r>
          <m:rPr>
            <m:sty m:val="p"/>
          </m:rPr>
          <m:t>+</m:t>
        </m:r>
        <m:r>
          <m:t>0</m:t>
        </m:r>
        <m:r>
          <m:rPr>
            <m:sty m:val="p"/>
          </m:rPr>
          <m:t>,</m:t>
        </m:r>
        <m:r>
          <m:t>049</m:t>
        </m:r>
      </m:oMath>
      <w:r>
        <w:t xml:space="preserve"> </w:t>
      </w:r>
      <w:r>
        <w:t xml:space="preserve">ở Nhóm IV,</w:t>
      </w:r>
      <w:r>
        <w:t xml:space="preserve"> </w:t>
      </w:r>
      <m:oMath>
        <m:r>
          <m:rPr>
            <m:sty m:val="p"/>
          </m:rPr>
          <m:t>+</m:t>
        </m:r>
        <m:r>
          <m:t>0</m:t>
        </m:r>
        <m:r>
          <m:rPr>
            <m:sty m:val="p"/>
          </m:rPr>
          <m:t>,</m:t>
        </m:r>
        <m:r>
          <m:t>015</m:t>
        </m:r>
      </m:oMath>
      <w:r>
        <w:t xml:space="preserve"> </w:t>
      </w:r>
      <w:r>
        <w:t xml:space="preserve">ở Nhóm V, rồi mất ý nghĩa thống kê ở SIDS (</w:t>
      </w:r>
      <m:oMath>
        <m:r>
          <m:rPr>
            <m:sty m:val="p"/>
          </m:rPr>
          <m:t>+</m:t>
        </m:r>
        <m:r>
          <m:t>0</m:t>
        </m:r>
        <m:r>
          <m:rPr>
            <m:sty m:val="p"/>
          </m:rPr>
          <m:t>,</m:t>
        </m:r>
        <m:r>
          <m:t>002</m:t>
        </m:r>
      </m:oMath>
      <w:r>
        <w:t xml:space="preserve">, không có ý nghĩa). Như vậy, quan hệ thô giữa quốc tế hóa và năng suất gần như biến mất ở môi trường thể chế yếu, cho thấy một quan hệ phi tuyến và bị điều tiết chứ không phải hiệu ứng tuyến tính phổ quát; SIDS là nhóm duy nhất nơi tương quan này triệt tiêu hoàn toàn (gần 0, không ý nghĩa),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Phổ năng lực công nghệ theo sáu nhóm ICRV" title="" id="40" name="Picture"/>
            <a:graphic>
              <a:graphicData uri="http://schemas.openxmlformats.org/drawingml/2006/picture">
                <pic:pic>
                  <pic:nvPicPr>
                    <pic:cNvPr descr="figures/fig_icrv_capability_gradient.png" id="41" name="Picture"/>
                    <pic:cNvPicPr>
                      <a:picLocks noChangeArrowheads="1" noChangeAspect="1"/>
                    </pic:cNvPicPr>
                  </pic:nvPicPr>
                  <pic:blipFill>
                    <a:blip r:embed="rId39"/>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Phổ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094</m:t>
        </m:r>
      </m:oMath>
      <w:r>
        <w:t xml:space="preserve"> </w:t>
      </w:r>
      <w:r>
        <w:t xml:space="preserve">ở SIDS đến</w:t>
      </w:r>
      <w:r>
        <w:t xml:space="preserve"> </w:t>
      </w:r>
      <m:oMath>
        <m:r>
          <m:rPr>
            <m:sty m:val="p"/>
          </m:rPr>
          <m:t>+</m:t>
        </m:r>
        <m:r>
          <m:t>0</m:t>
        </m:r>
        <m:r>
          <m:rPr>
            <m:sty m:val="p"/>
          </m:rPr>
          <m:t>,</m:t>
        </m:r>
        <m:r>
          <m:t>180</m:t>
        </m:r>
      </m:oMath>
      <w:r>
        <w:t xml:space="preserve"> </w:t>
      </w:r>
      <w:r>
        <w:t xml:space="preserve">ở Nhóm 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105</m:t>
        </m:r>
      </m:oMath>
      <w:r>
        <w:t xml:space="preserve"> </w:t>
      </w:r>
      <w:r>
        <w:t xml:space="preserve">và SIDS</w:t>
      </w:r>
      <w:r>
        <w:t xml:space="preserve"> </w:t>
      </w:r>
      <m:oMath>
        <m:r>
          <m:rPr>
            <m:sty m:val="p"/>
          </m:rPr>
          <m:t>+</m:t>
        </m:r>
        <m:r>
          <m:t>0</m:t>
        </m:r>
        <m:r>
          <m:rPr>
            <m:sty m:val="p"/>
          </m:rPr>
          <m:t>,</m:t>
        </m:r>
        <m:r>
          <m:t>104</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43" name="Picture"/>
            <a:graphic>
              <a:graphicData uri="http://schemas.openxmlformats.org/drawingml/2006/picture">
                <pic:pic>
                  <pic:nvPicPr>
                    <pic:cNvPr descr="figures/fig_4_2_productivity_density.png" id="44" name="Picture"/>
                    <pic:cNvPicPr>
                      <a:picLocks noChangeArrowheads="1" noChangeAspect="1"/>
                    </pic:cNvPicPr>
                  </pic:nvPicPr>
                  <pic:blipFill>
                    <a:blip r:embed="rId42"/>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2</m:t>
        </m:r>
      </m:oMath>
      <w:r>
        <w:t xml:space="preserve"> </w:t>
      </w:r>
      <w:r>
        <w:t xml:space="preserve">lần ở Nhóm I lên</w:t>
      </w:r>
      <w:r>
        <w:t xml:space="preserve"> </w:t>
      </w:r>
      <m:oMath>
        <m:r>
          <m:t>5</m:t>
        </m:r>
        <m:r>
          <m:rPr>
            <m:sty m:val="p"/>
          </m:rPr>
          <m:t>,</m:t>
        </m:r>
        <m:r>
          <m:t>5</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46" name="Picture"/>
            <a:graphic>
              <a:graphicData uri="http://schemas.openxmlformats.org/drawingml/2006/picture">
                <pic:pic>
                  <pic:nvPicPr>
                    <pic:cNvPr descr="figures/fig_4_7_spider_chart.png" id="47" name="Picture"/>
                    <pic:cNvPicPr>
                      <a:picLocks noChangeArrowheads="1" noChangeAspect="1"/>
                    </pic:cNvPicPr>
                  </pic:nvPicPr>
                  <pic:blipFill>
                    <a:blip r:embed="rId45"/>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tương phản về số hóa xuất hiện ngay ở nhóm tiên tiến. Phần bù tương quan của chấp nhận số bề mặt (website, thuộc Bậc 1) lại thấp nhất ở Nhóm I (</w:t>
      </w:r>
      <m:oMath>
        <m:r>
          <m:rPr>
            <m:sty m:val="p"/>
          </m:rPr>
          <m:t>+</m:t>
        </m:r>
        <m:r>
          <m:t>0</m:t>
        </m:r>
        <m:r>
          <m:rPr>
            <m:sty m:val="p"/>
          </m:rPr>
          <m:t>,</m:t>
        </m:r>
        <m:r>
          <m:t>093</m:t>
        </m:r>
      </m:oMath>
      <w:r>
        <w:t xml:space="preserve">), trong khi cao nhất ở Nhóm II (</w:t>
      </w:r>
      <m:oMath>
        <m:r>
          <m:rPr>
            <m:sty m:val="p"/>
          </m:rPr>
          <m:t>+</m:t>
        </m:r>
        <m:r>
          <m:t>0</m:t>
        </m:r>
        <m:r>
          <m:rPr>
            <m:sty m:val="p"/>
          </m:rPr>
          <m:t>,</m:t>
        </m:r>
        <m:r>
          <m:t>202</m:t>
        </m:r>
      </m:oMath>
      <w:r>
        <w:t xml:space="preserve">) và Nhóm IV (</w:t>
      </w:r>
      <m:oMath>
        <m:r>
          <m:rPr>
            <m:sty m:val="p"/>
          </m:rPr>
          <m:t>+</m:t>
        </m:r>
        <m:r>
          <m:t>0</m:t>
        </m:r>
        <m:r>
          <m:rPr>
            <m:sty m:val="p"/>
          </m:rPr>
          <m:t>,</m:t>
        </m:r>
        <m:r>
          <m:t>183</m:t>
        </m:r>
      </m:oMath>
      <w:r>
        <w:t xml:space="preserve">), dù tỷ lệ có website ở Nhóm I đã đạt</w:t>
      </w:r>
      <w:r>
        <w:t xml:space="preserve"> </w:t>
      </w:r>
      <m:oMath>
        <m:r>
          <m:t>69</m:t>
        </m:r>
        <m:r>
          <m:rPr>
            <m:sty m:val="p"/>
          </m:rPr>
          <m:t>,</m:t>
        </m:r>
        <m:r>
          <m:t>2</m:t>
        </m:r>
        <m:r>
          <m:rPr>
            <m:sty m:val="p"/>
          </m:rPr>
          <m:t>%</m:t>
        </m:r>
      </m:oMath>
      <w:r>
        <w:t xml:space="preserve">. Đây là hệ quả của bão hòa thước đo Bậc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48"/>
    <w:bookmarkStart w:id="49"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Kết quả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49"/>
    <w:bookmarkStart w:id="50" w:name="Xe41dbabf46811951e2d003231fb8e958f9ec50f"/>
    <w:p>
      <w:pPr>
        <w:pStyle w:val="Heading3"/>
      </w:pPr>
      <w:r>
        <w:t xml:space="preserve">4.1.8 Phổ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Nổi bật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50"/>
    <w:bookmarkEnd w:id="51"/>
    <w:bookmarkStart w:id="60" w:name="X793daa8b2eddd060588462e198e78f93f4f770d"/>
    <w:p>
      <w:pPr>
        <w:pStyle w:val="Heading2"/>
      </w:pPr>
      <w:r>
        <w:t xml:space="preserve">4.2 Kết quả tổng hợp định lượng: phân tích tổng hợp ba tầng (P6)</w:t>
      </w:r>
    </w:p>
    <w:bookmarkStart w:id="52" w:name="chỉ-số-hiệu-ứng-tổng-hợp"/>
    <w:p>
      <w:pPr>
        <w:pStyle w:val="Heading3"/>
      </w:pPr>
      <w:r>
        <w:t xml:space="preserve">4.2.1 Chỉ số hiệu ứng tổng hợp</w:t>
      </w:r>
    </w:p>
    <w:p>
      <w:pPr>
        <w:pStyle w:val="FirstParagraph"/>
      </w:pPr>
      <w:r>
        <w:t xml:space="preserve">Phân tích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(danh sách đầy đủ các nghiên cứu sơ cấp được liệt kê ở Phụ lục D)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phân tích tổng hợp trước đây của Bausch và Krist (2007), Kirca et al. (2012), Marano et al. (2016) và Arte và Larimo (2022): mối quan hệ tổng hợp giữa quốc tế hóa và hiệu quả hoạt động là dương nhưng có biên độ khiêm tốn. Đặt trong dải bằng chứng quốc tế,</w:t>
      </w:r>
      <w:r>
        <w:t xml:space="preserve"> </w:t>
      </w:r>
      <m:oMath>
        <m:r>
          <m:t>r</m:t>
        </m:r>
        <m:r>
          <m:rPr>
            <m:sty m:val="p"/>
          </m:rPr>
          <m:t>=</m:t>
        </m:r>
        <m:r>
          <m:t>0</m:t>
        </m:r>
        <m:r>
          <m:rPr>
            <m:sty m:val="p"/>
          </m:rPr>
          <m:t>,</m:t>
        </m:r>
        <m:r>
          <m:t>074</m:t>
        </m:r>
      </m:oMath>
      <w:r>
        <w:t xml:space="preserve"> </w:t>
      </w:r>
      <w:r>
        <w:t xml:space="preserve">nằm ở cận dưới của khoảng mà các phân tích tổng hợp toàn cầu báo cáo (Bausch và Krist, 2007:</w:t>
      </w:r>
      <w:r>
        <w:t xml:space="preserve"> </w:t>
      </w:r>
      <m:oMath>
        <m:r>
          <m:t>r</m:t>
        </m:r>
        <m:r>
          <m:rPr>
            <m:sty m:val="p"/>
          </m:rPr>
          <m:t>≈</m:t>
        </m:r>
        <m:r>
          <m:t>0</m:t>
        </m:r>
        <m:r>
          <m:rPr>
            <m:sty m:val="p"/>
          </m:rPr>
          <m:t>,</m:t>
        </m:r>
        <m:r>
          <m:t>10</m:t>
        </m:r>
      </m:oMath>
      <w:r>
        <w:t xml:space="preserve">; Marano et al., 2016:</w:t>
      </w:r>
      <w:r>
        <w:t xml:space="preserve"> </w:t>
      </w:r>
      <m:oMath>
        <m:r>
          <m:t>r</m:t>
        </m:r>
        <m:r>
          <m:rPr>
            <m:sty m:val="p"/>
          </m:rPr>
          <m:t>≈</m:t>
        </m:r>
        <m:r>
          <m:t>0</m:t>
        </m:r>
        <m:r>
          <m:rPr>
            <m:sty m:val="p"/>
          </m:rPr>
          <m:t>,</m:t>
        </m:r>
        <m:r>
          <m:t>07</m:t>
        </m:r>
      </m:oMath>
      <w:r>
        <w:t xml:space="preserve">–</w:t>
      </w:r>
      <m:oMath>
        <m:r>
          <m:t>0</m:t>
        </m:r>
        <m:r>
          <m:rPr>
            <m:sty m:val="p"/>
          </m:rPr>
          <m:t>,</m:t>
        </m:r>
        <m:r>
          <m:t>13</m:t>
        </m:r>
      </m:oMath>
      <w:r>
        <w:t xml:space="preserve">) và đặc biệt gần với các phân tích tổng hợp tập trung vào doanh nghiệp đa quốc gia thị trường mới nổi, vốn cũng ghi nhận hiệu ứng dương nhỏ kèm dị biệt rất cao (Wu et al., 2022); sự tương hợp này định vị P6 ở cận dưới của tài liệu quốc tế thay vì như một ngoại lệ.</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52"/>
    <w:bookmarkStart w:id="53"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quan trọng: dị biệt trong tài liệu về quan hệ quốc tế hóa và hiệu quả xuất phát chủ yếu từ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Theo đó, sự không nhất quán trong tài liệu phần lớn là vấn đề</w:t>
      </w:r>
      <w:r>
        <w:t xml:space="preserve"> </w:t>
      </w:r>
      <w:r>
        <w:rPr>
          <w:bCs/>
          <w:b/>
        </w:rPr>
        <w:t xml:space="preserve">đo lường và bối cảnh</w:t>
      </w:r>
      <w:r>
        <w:t xml:space="preserve">, chứ không phản ánh quan hệ nhân quả giữa quốc tế hóa và hiệu quả thiếu nhất quán thực sự.</w:t>
      </w:r>
    </w:p>
    <w:bookmarkEnd w:id="53"/>
    <w:bookmarkStart w:id="54"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Kết quả này xác nhận chế độ thể chế, phân loại từ tiên tiến đổi mới (Nhóm I) đến nhóm biên thể chế yếu nhất, là biến điều tiết có ý nghĩa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54"/>
    <w:bookmarkStart w:id="55"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55"/>
    <w:bookmarkStart w:id="56"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57</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44.782</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Tóm lại, bằng chứng lệch lạc công bố được xác nhận qua kiểm định Begg–Mazumdar có ý nghĩa (</w:t>
      </w:r>
      <m:oMath>
        <m:r>
          <m:t>p</m:t>
        </m:r>
        <m:r>
          <m:rPr>
            <m:sty m:val="p"/>
          </m:rPr>
          <m:t>=</m:t>
        </m:r>
        <m:r>
          <m:rPr>
            <m:sty m:val="p"/>
          </m:rPr>
          <m:t>,</m:t>
        </m:r>
        <m:r>
          <m:t>001</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không chỉ là một cảnh báo phương pháp mà còn có hàm ý lý thuyết quan trọng.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thiết lập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thiết lập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56"/>
    <w:bookmarkStart w:id="57"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thiết lập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57"/>
    <w:bookmarkStart w:id="58" w:name="X4ce2f94328eb8320e9ed059e2c3fb4dd7d1a97a"/>
    <w:p>
      <w:pPr>
        <w:pStyle w:val="Heading3"/>
      </w:pPr>
      <w:r>
        <w:t xml:space="preserve">4.2.6 Phổ hiệu ứng theo nhóm thể chế và giới hạn của bằng chứng định hướng</w:t>
      </w:r>
    </w:p>
    <w:p>
      <w:pPr>
        <w:pStyle w:val="FirstParagraph"/>
      </w:pPr>
      <w:r>
        <w:t xml:space="preserve">Bảng hệ số gộp theo từng nhóm ICRV cho thấy một kết quả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58"/>
    <w:bookmarkStart w:id="59"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487</m:t>
        </m:r>
      </m:oMath>
      <w:r>
        <w:t xml:space="preserve">,</w:t>
      </w:r>
      <w:r>
        <w:t xml:space="preserve"> </w:t>
      </w:r>
      <m:oMath>
        <m:r>
          <m:t>p</m:t>
        </m:r>
        <m:r>
          <m:rPr>
            <m:sty m:val="p"/>
          </m:rPr>
          <m:t>=</m:t>
        </m:r>
        <m:r>
          <m:rPr>
            <m:sty m:val="p"/>
          </m:rPr>
          <m:t>,</m:t>
        </m:r>
        <m:r>
          <m:t>052</m:t>
        </m:r>
      </m:oMath>
      <w:r>
        <w:t xml:space="preserve">) trong khi kiểm định thứ hạng Begg–Mazumdar lại có ý nghĩa (</w:t>
      </w:r>
      <m:oMath>
        <m:r>
          <m:t>τ</m:t>
        </m:r>
        <m:r>
          <m:rPr>
            <m:sty m:val="p"/>
          </m:rPr>
          <m:t>=</m:t>
        </m:r>
        <m:r>
          <m:rPr>
            <m:sty m:val="p"/>
          </m:rPr>
          <m:t>−</m:t>
        </m:r>
        <m:r>
          <m:t>0</m:t>
        </m:r>
        <m:r>
          <m:rPr>
            <m:sty m:val="p"/>
          </m:rPr>
          <m:t>,</m:t>
        </m:r>
        <m:r>
          <m:t>132</m:t>
        </m:r>
      </m:oMath>
      <w:r>
        <w:t xml:space="preserve">,</w:t>
      </w:r>
      <w:r>
        <w:t xml:space="preserve"> </w:t>
      </w:r>
      <m:oMath>
        <m:r>
          <m:t>p</m:t>
        </m:r>
        <m:r>
          <m:rPr>
            <m:sty m:val="p"/>
          </m:rPr>
          <m:t>=</m:t>
        </m:r>
        <m:r>
          <m:rPr>
            <m:sty m:val="p"/>
          </m:rPr>
          <m:t>,</m:t>
        </m:r>
        <m:r>
          <m:t>001</m:t>
        </m:r>
      </m:oMath>
      <w:r>
        <w:t xml:space="preserve">), nên bằng chứng bất đối xứng dựa trên Egger đơn lẻ không được khẳng định. Quy trình cắt-và-điền (trim-and-fill) gán thêm 57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018</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44.782</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Nhìn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59"/>
    <w:bookmarkEnd w:id="60"/>
    <w:bookmarkStart w:id="70" w:name="Xae571c1410747d630a72c4d12985bac375822ae"/>
    <w:p>
      <w:pPr>
        <w:pStyle w:val="Heading2"/>
      </w:pPr>
      <w:r>
        <w:t xml:space="preserve">4.3 Kết quả bối cảnh thể chế tiên tiến đổi mới: Singapore (P4)</w:t>
      </w:r>
    </w:p>
    <w:bookmarkStart w:id="61"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hoạt động kinh doanh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61"/>
    <w:bookmarkStart w:id="62"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(bao gồm cả Bậc 1 và Bậc 2 của chỉ số DAI) cho thấy hiệu ứng khuếch đại (amplification) tại mức FSTS cao: hệ số tương tác</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62"/>
    <w:bookmarkStart w:id="63"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63"/>
    <w:bookmarkStart w:id="64"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VIF) duy trì dưới 3 ở mọi mô hình cuối.</w:t>
      </w:r>
    </w:p>
    <w:bookmarkEnd w:id="64"/>
    <w:bookmarkStart w:id="65"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mô hình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65"/>
    <w:bookmarkStart w:id="66" w:name="Xb551b0690edc79caca1b03b187a531e4ea21dea"/>
    <w:p>
      <w:pPr>
        <w:pStyle w:val="Heading3"/>
      </w:pPr>
      <w:r>
        <w:t xml:space="preserve">4.3.6 Cơ chế lá chắn số: tương tác Bậc 1–Bậc 2 và hiệu ứng biên theo cường độ xuất khẩu</w:t>
      </w:r>
    </w:p>
    <w:p>
      <w:pPr>
        <w:pStyle w:val="FirstParagraph"/>
      </w:pPr>
      <w:r>
        <w:t xml:space="preserve">Bằng chứng mạnh nhất về vai trò của DAI xuất hiện ở các mô hình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mô hình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mô hình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66"/>
    <w:bookmarkStart w:id="67"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67"/>
    <w:bookmarkStart w:id="68"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mô hình chính trên mẫu Singapore. Hạng cường độ xuất khẩu tuyến tính dương và có ý nghĩa cao ở mọi mô hình,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mô hình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mô hình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m:oMath>
              <m:sSup>
                <m:e>
                  <m:r>
                    <m:rPr>
                      <m:nor/>
                      <m:sty m:val="p"/>
                    </m:rPr>
                    <m:t>FSTS</m:t>
                  </m:r>
                </m:e>
                <m:sup>
                  <m:r>
                    <m:t>2</m:t>
                  </m:r>
                </m:sup>
              </m:sSup>
            </m:oMath>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m:oMath>
              <m:r>
                <m:rPr>
                  <m:nor/>
                  <m:sty m:val="p"/>
                </m:rPr>
                <m:t>FSTS</m:t>
              </m:r>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mô hình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mô hình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68"/>
    <w:bookmarkStart w:id="69"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mô hình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mô hình OLS được giữ làm mô hình chính. Tóm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Bậc 2 sẵn có về mặt thể chế làm cơ chế mở rộng quy mô có điều kiện trở nên nhận diện được về thực nghiệm.</w:t>
      </w:r>
    </w:p>
    <w:p>
      <w:r>
        <w:pict>
          <v:rect style="width:0;height:1.5pt" o:hralign="center" o:hrstd="t" o:hr="t"/>
        </w:pict>
      </w:r>
    </w:p>
    <w:bookmarkEnd w:id="69"/>
    <w:bookmarkEnd w:id="70"/>
    <w:bookmarkStart w:id="79" w:name="Xabe361c2d5961cf19ce7ab2bd5d9bc6d758140a"/>
    <w:p>
      <w:pPr>
        <w:pStyle w:val="Heading2"/>
      </w:pPr>
      <w:r>
        <w:t xml:space="preserve">4.4 Kết quả bối cảnh thể chế trung bình cao: Trung Quốc, 2012–2024 (P5)</w:t>
      </w:r>
    </w:p>
    <w:bookmarkStart w:id="71"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kinh doanh của doanh nghiệp. Điểm điểm uốn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tập trung quốc tế vừa phải, khi thị trường nội địa khổng lồ của Trung Quốc đồng thời mở ra dư địa tăng trưởng trong nước.</w:t>
      </w:r>
    </w:p>
    <w:bookmarkEnd w:id="71"/>
    <w:bookmarkStart w:id="72"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w:t>
      </w:r>
      <w:r>
        <w:t xml:space="preserve"> </w:t>
      </w:r>
      <m:oMath>
        <m:sSup>
          <m:e>
            <m:r>
              <m:rPr>
                <m:nor/>
                <m:sty m:val="p"/>
              </m:rPr>
              <m:t>FSTS</m:t>
            </m:r>
          </m:e>
          <m:sup>
            <m:r>
              <m:t>2</m:t>
            </m:r>
          </m:sup>
        </m:sSup>
      </m:oMath>
      <w:r>
        <w:t xml:space="preserve">),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Như vậy, ở bối cảnh trung bình cao như Trung Quốc, cơ chế nền tảng của quan hệ quốc tế hóa và hiệu quả khá ổn định. Sự ổn định này có thể phản ánh thế bù trừ giữa chi phí thích ứng tăng do chính sách thương mại khó đoán và năng lực tổ chức ngày càng trưởng thành của các doanh nghiệp xuất khẩu Trung Quốc.</w:t>
      </w:r>
    </w:p>
    <w:bookmarkEnd w:id="72"/>
    <w:bookmarkStart w:id="73" w:name="vai-trò-của-tci-và-dai"/>
    <w:p>
      <w:pPr>
        <w:pStyle w:val="Heading3"/>
      </w:pPr>
      <w:r>
        <w:t xml:space="preserve">4.4.3 Vai trò của TCI và DAI</w:t>
      </w:r>
    </w:p>
    <w:p>
      <w:pPr>
        <w:pStyle w:val="FirstParagraph"/>
      </w:pPr>
      <w:r>
        <w:t xml:space="preserve">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không đạt ý nghĩa thống kê (điều tiết không có ý nghĩa,</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73"/>
    <w:bookmarkStart w:id="74" w:name="Xff6260f0292f1de2c718a7cc22e284da4d4195e"/>
    <w:p>
      <w:pPr>
        <w:pStyle w:val="Heading3"/>
      </w:pPr>
      <w:r>
        <w:t xml:space="preserve">4.4.4 Bộ hệ số mô hình ngưỡng chính (M2) và độ lớn kinh tế</w:t>
      </w:r>
    </w:p>
    <w:p>
      <w:pPr>
        <w:pStyle w:val="FirstParagraph"/>
      </w:pPr>
      <w:r>
        <w:t xml:space="preserve">Mô hình ngưỡng chính M2 (mô hình</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74"/>
    <w:bookmarkStart w:id="75"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mô hình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75"/>
    <w:bookmarkStart w:id="76"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mô hình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Cần lưu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76"/>
    <w:bookmarkStart w:id="77"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77"/>
    <w:bookmarkStart w:id="78"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mô hình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78"/>
    <w:bookmarkEnd w:id="79"/>
    <w:bookmarkStart w:id="91" w:name="Xdbd5cc67084304ba85b73781c0cb0c00b74055b"/>
    <w:p>
      <w:pPr>
        <w:pStyle w:val="Heading2"/>
      </w:pPr>
      <w:r>
        <w:t xml:space="preserve">4.5 Kết quả bối cảnh chuyển đổi bậc thấp–trung: Việt Nam (P3)</w:t>
      </w:r>
    </w:p>
    <w:bookmarkStart w:id="80"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80"/>
    <w:bookmarkStart w:id="81"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81"/>
    <w:bookmarkStart w:id="82"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82"/>
    <w:bookmarkStart w:id="83"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(chỉ bao gồm Bậc 1 DAI do giới hạn đo lường WBES trong các làn sóng này) cho kết quả yếu dương nhưng không có ý nghĩa thống kê. Kết quả này có thể phản ánh hạn chế về đo lường: Bậc 1 DAI chỉ nắm bắt mức độ chấp nhận số bề mặt (website, email, online sales) chứ không đo lường được chiều sâu năng lực số. Với dữ liệu WBES Việt Nam chỉ cung cấp Bậc 1, không đủ phân biệt để phát hiện hiệu ứng điều tiết tinh tế hơn.</w:t>
      </w:r>
    </w:p>
    <w:bookmarkEnd w:id="83"/>
    <w:bookmarkStart w:id="84"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84"/>
    <w:bookmarkStart w:id="85"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85"/>
    <w:bookmarkStart w:id="86"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(biên tham gia), chứ không phải độ cong cường độ trong nhóm doanh nghiệp xuất khẩu (biên cường độ).</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Bậc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86"/>
    <w:bookmarkStart w:id="87"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Cơ chế này giải thích vì sao điểm uốn Việt Nam (39–46%) nằm thấp hơn đáng kể so với điểm uốn Singapore (~88,6%) ở biên thể chế mạnh nhất.</w:t>
      </w:r>
    </w:p>
    <w:bookmarkEnd w:id="87"/>
    <w:bookmarkStart w:id="88"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mô hình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88"/>
    <w:bookmarkStart w:id="89" w:name="X74521efb953a9ebb566aa1fa0342a1606d94df2"/>
    <w:p>
      <w:pPr>
        <w:pStyle w:val="Heading3"/>
      </w:pPr>
      <w:r>
        <w:t xml:space="preserve">4.5.10 Củng cố độ vững: tách ngành, mô hình bậc ba và bộ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mô hình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mô hình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mô hình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89"/>
    <w:bookmarkStart w:id="90"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Nhờ đó, đóng góp của P3 không dừng ở một báo cáo điểm uốn đơn lẻ mà dời câu hỏi nghiên cứu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90"/>
    <w:bookmarkEnd w:id="91"/>
    <w:bookmarkStart w:id="103" w:name="X561afa853383c674354c1acb167a55cae3a018f"/>
    <w:p>
      <w:pPr>
        <w:pStyle w:val="Heading2"/>
      </w:pPr>
      <w:r>
        <w:t xml:space="preserve">4.6 Kết quả kiểm định toàn mẫu đa bối cảnh châu Á (P7)</w:t>
      </w:r>
    </w:p>
    <w:bookmarkStart w:id="92"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mô hình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mô hình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mô hình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Mô hình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w:t>
            </w:r>
            <w:r>
              <w:t xml:space="preserve"> </w:t>
            </w:r>
            <m:oMath>
              <m:sSup>
                <m:e>
                  <m:r>
                    <m:rPr>
                      <m:nor/>
                      <m:sty m:val="p"/>
                    </m:rPr>
                    <m:t>FSTS</m:t>
                  </m:r>
                </m:e>
                <m:sup>
                  <m:r>
                    <m:t>2</m:t>
                  </m:r>
                </m:sup>
              </m:sSup>
            </m:oMath>
            <w:r>
              <w:t xml:space="preserve">,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đặc tả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92"/>
    <w:bookmarkStart w:id="96"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hình ảnh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điều chỉnh H5</w:t>
      </w:r>
      <w:r>
        <w:t xml:space="preserve">: thể chế không chỉ dịch chuyển vị trí điểm uốn mà còn quyết định</w:t>
      </w:r>
      <w:r>
        <w:t xml:space="preserve"> </w:t>
      </w:r>
      <w:r>
        <w:rPr>
          <w:bCs/>
          <w:b/>
        </w:rPr>
        <w:t xml:space="preserve">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94" name="Picture"/>
            <a:graphic>
              <a:graphicData uri="http://schemas.openxmlformats.org/drawingml/2006/picture">
                <pic:pic>
                  <pic:nvPicPr>
                    <pic:cNvPr descr="figures/fig_4_x_ip_curves_icrv_gradient.png" id="95" name="Picture"/>
                    <pic:cNvPicPr>
                      <a:picLocks noChangeArrowheads="1" noChangeAspect="1"/>
                    </pic:cNvPicPr>
                  </pic:nvPicPr>
                  <pic:blipFill>
                    <a:blip r:embed="rId93"/>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đặc tả mức của P8).</w:t>
      </w:r>
      <w:r>
        <w:t xml:space="preserve"> </w:t>
      </w:r>
      <w:r>
        <w:rPr>
          <w:iCs/>
          <w:i/>
        </w:rPr>
        <w:t xml:space="preserve">Nguồn: minh họa của tác giả từ kết quả ước lượng 50 nền và P4, P8.</w:t>
      </w:r>
    </w:p>
    <w:bookmarkEnd w:id="96"/>
    <w:bookmarkStart w:id="97"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w:t>
      </w:r>
      <w:r>
        <w:t xml:space="preserve"> </w:t>
      </w:r>
      <m:oMath>
        <m:sSup>
          <m:e>
            <m:r>
              <m:rPr>
                <m:nor/>
                <m:sty m:val="p"/>
              </m:rPr>
              <m:t>FSTS</m:t>
            </m:r>
          </m:e>
          <m:sup>
            <m:r>
              <m:t>2</m:t>
            </m:r>
          </m:sup>
        </m:sSup>
      </m:oMath>
      <w:r>
        <w:t xml:space="preserve">×TCI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0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w:t>
      </w:r>
      <w:r>
        <w:t xml:space="preserve"> </w:t>
      </w:r>
      <m:oMath>
        <m:sSup>
          <m:e>
            <m:r>
              <m:rPr>
                <m:nor/>
                <m:sty m:val="p"/>
              </m:rPr>
              <m:t>FSTS</m:t>
            </m:r>
          </m:e>
          <m:sup>
            <m:r>
              <m:t>2</m:t>
            </m:r>
          </m:sup>
        </m:sSup>
        <m:r>
          <m:rPr>
            <m:sty m:val="p"/>
          </m:rPr>
          <m:t>×</m:t>
        </m:r>
        <m:r>
          <m:rPr>
            <m:nor/>
            <m:sty m:val="p"/>
          </m:rPr>
          <m:t>DAI</m:t>
        </m:r>
      </m:oMath>
      <w:r>
        <w:t xml:space="preserve"> </w:t>
      </w:r>
      <w:r>
        <w:t xml:space="preserve">=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w:t>
      </w:r>
      <w:r>
        <w:t xml:space="preserve"> </w:t>
      </w:r>
      <m:oMath>
        <m:sSup>
          <m:e>
            <m:r>
              <m:rPr>
                <m:nor/>
                <m:sty m:val="p"/>
              </m:rPr>
              <m:t>FSTS</m:t>
            </m:r>
          </m:e>
          <m:sup>
            <m:r>
              <m:t>2</m:t>
            </m:r>
          </m:sup>
        </m:sSup>
        <m:r>
          <m:rPr>
            <m:sty m:val="p"/>
          </m:rPr>
          <m:t>×</m:t>
        </m:r>
        <m:r>
          <m:rPr>
            <m:nor/>
            <m:sty m:val="p"/>
          </m:rPr>
          <m:t>DAI</m:t>
        </m:r>
      </m:oMath>
      <w:r>
        <w:t xml:space="preserve"> </w:t>
      </w:r>
      <w:r>
        <w:t xml:space="preserve">=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Bậc 1 (hiện diện web), nơi công cụ số chưa đủ chiều sâu để uốn đường cong, trong khi hiệu ứng uốn mạnh ở Singapore gắn với năng lực số Bậc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97"/>
    <w:bookmarkStart w:id="98"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Mô hình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(mô hình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mô hình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98"/>
    <w:bookmarkStart w:id="99"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w:t>
      </w:r>
      <w:r>
        <w:t xml:space="preserve"> </w:t>
      </w:r>
      <m:oMath>
        <m:sSup>
          <m:e>
            <m:r>
              <m:rPr>
                <m:nor/>
                <m:sty m:val="p"/>
              </m:rPr>
              <m:t>FSTS</m:t>
            </m:r>
          </m:e>
          <m:sup>
            <m:r>
              <m:t>2</m:t>
            </m:r>
          </m:sup>
        </m:sSup>
      </m:oMath>
      <w:r>
        <w:t xml:space="preserve">×ICRV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Cụ thể hơn, điều tiết thể chế là điều tiết về sự tồn tại của dạng hàm, không phải điều tiết về vị trí của một điểm uốn phổ quát.</w:t>
      </w:r>
    </w:p>
    <w:bookmarkEnd w:id="99"/>
    <w:bookmarkStart w:id="100"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Ba mức bằng chứng (điểm uốn ổn định trong dải 43,6–51,5%, điểm uốn trơ trước năng lực và đặc trưng quản lý, và cấu trúc ba vùng theo chế độ thể chế) cùng chỉ về một kết luận: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100"/>
    <w:bookmarkStart w:id="101"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trong một dải hẹp ở từng vùng dù được ước lượng trên các mẫu, công cụ khảo sát và mô hình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rằng điểm uốn vùng giữa là một quy luật cấu trúc chứ không phải tạo tác của một mẫu đơn lẻ. Cần đọc đây như một</w:t>
      </w:r>
      <w:r>
        <w:t xml:space="preserve"> </w:t>
      </w:r>
      <w:r>
        <w:rPr>
          <w:bCs/>
          <w:b/>
        </w:rPr>
        <w:t xml:space="preserve">hội tụ dải</w:t>
      </w:r>
      <w:r>
        <w:t xml:space="preserve"> </w:t>
      </w:r>
      <w:r>
        <w:t xml:space="preserve">(trong khoảng</w:t>
      </w:r>
      <w:r>
        <w:t xml:space="preserve"> </w:t>
      </w:r>
      <m:oMath>
        <m:r>
          <m:rPr>
            <m:sty m:val="p"/>
          </m:rPr>
          <m:t>±</m:t>
        </m:r>
        <m:r>
          <m:t>5</m:t>
        </m:r>
      </m:oMath>
      <w:r>
        <w:t xml:space="preserve"> </w:t>
      </w:r>
      <w:r>
        <w:t xml:space="preserve">điểm phần trăm quanh mốc Nhóm IV) chứ không phải một sự trùng khớp điểm: điểm uốn Trung Quốc (</w:t>
      </w:r>
      <m:oMath>
        <m:r>
          <m:rPr>
            <m:sty m:val="p"/>
          </m:rPr>
          <m:t>≈</m:t>
        </m:r>
        <m:r>
          <m:t>48</m:t>
        </m:r>
        <m:r>
          <m:rPr>
            <m:sty m:val="p"/>
          </m:rPr>
          <m:t>,</m:t>
        </m:r>
        <m:r>
          <m:t>8</m:t>
        </m:r>
        <m:r>
          <m:rPr>
            <m:sty m:val="p"/>
          </m:rPr>
          <m:t>%</m:t>
        </m:r>
      </m:oMath>
      <w:r>
        <w:t xml:space="preserve">, Nhóm III) nằm</w:t>
      </w:r>
      <w:r>
        <w:t xml:space="preserve"> </w:t>
      </w:r>
      <w:r>
        <w:rPr>
          <w:bCs/>
          <w:b/>
        </w:rPr>
        <w:t xml:space="preserve">lân cận</w:t>
      </w:r>
      <w:r>
        <w:t xml:space="preserve"> </w:t>
      </w:r>
      <w:r>
        <w:t xml:space="preserve">dải này chứ không trùng, và điểm uốn Ấn Độ di động ngay trong Nhóm IV theo thời gian (61,8% năm 2014 → 40,7% năm 2022; Mục 4.8), cho thấy vị trí điểm uốn theo chế độ là một dải đặc trưng có biến thiên nội nhóm chứ không phải một hằng số cấu trúc tuyệt đối.</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tương ứng ba cơ chế kinh tế: chi phí điều phối bám ngưỡng ở vùng giữa, chọn lọc theo năng suất ở biên trên, và hình phạt quốc tế hóa cưỡng bức ở biên dưới.</w:t>
      </w:r>
    </w:p>
    <w:bookmarkEnd w:id="101"/>
    <w:bookmarkStart w:id="102"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2008; MacKinnon và Webb, 2017,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T</m:t>
        </m:r>
        <m:r>
          <m:rPr>
            <m:sty m:val="p"/>
          </m:rPr>
          <m:t>C</m:t>
        </m:r>
        <m:r>
          <m:rPr>
            <m:sty m:val="p"/>
          </m:rPr>
          <m:t>I</m:t>
        </m:r>
      </m:oMath>
      <w:r>
        <w:t xml:space="preserve">,</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Bậc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102"/>
    <w:bookmarkEnd w:id="103"/>
    <w:bookmarkStart w:id="115" w:name="X42f69945b56833cca239d45dc5864a7be6f74d7"/>
    <w:p>
      <w:pPr>
        <w:pStyle w:val="Heading2"/>
      </w:pPr>
      <w:r>
        <w:t xml:space="preserve">4.7 Kết quả trường hợp biên SIDS: Các nền kinh tế đảo nhỏ đang phát triển (P8)</w:t>
      </w:r>
    </w:p>
    <w:bookmarkStart w:id="104"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104"/>
    <w:bookmarkStart w:id="108"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MacKinnon và Webb, 2017;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mô hình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đúng vùng mà gần như toàn bộ doanh nghiệp đảo nhỏ hoạt động,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dạng \cap,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106" name="Picture"/>
            <a:graphic>
              <a:graphicData uri="http://schemas.openxmlformats.org/drawingml/2006/picture">
                <pic:pic>
                  <pic:nvPicPr>
                    <pic:cNvPr descr="figures/fig_4_7_1_sids_inversion.png" id="107" name="Picture"/>
                    <pic:cNvPicPr>
                      <a:picLocks noChangeArrowheads="1" noChangeAspect="1"/>
                    </pic:cNvPicPr>
                  </pic:nvPicPr>
                  <pic:blipFill>
                    <a:blip r:embed="rId105"/>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(dạng</w:t>
      </w:r>
      <w:r>
        <w:t xml:space="preserve"> </w:t>
      </w:r>
      <m:oMath>
        <m:r>
          <m:rPr>
            <m:sty m:val="p"/>
          </m:rPr>
          <m:t>∩</m:t>
        </m:r>
      </m:oMath>
      <w:r>
        <w:t xml:space="preserve">,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dấu hiệu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108"/>
    <w:bookmarkStart w:id="109"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hoạt động kinh doanh của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109"/>
    <w:bookmarkStart w:id="110"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bằng chứng cấp doanh nghiệp còn thiếu cho các phân tích vĩ mô của Ngân hàng Thế giới về các nền kinh tế nhỏ và dễ tổn thương.</w:t>
      </w:r>
    </w:p>
    <w:bookmarkEnd w:id="110"/>
    <w:bookmarkStart w:id="111"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111"/>
    <w:bookmarkStart w:id="112"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dấu hiệu đặc trưng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112"/>
    <w:bookmarkStart w:id="113" w:name="X43aaaec6098e02f393fbba06055f5eafb097236"/>
    <w:p>
      <w:pPr>
        <w:pStyle w:val="Heading3"/>
      </w:pPr>
      <w:r>
        <w:t xml:space="preserve">4.7.7 Mô thức dấu của hệ số FIP qua các mô hình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mô hình,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mô hình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113"/>
    <w:bookmarkStart w:id="114"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mô hình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khái niệm gánh nặng quốc tế hóa bắt buộc có giá trị định hướng,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114"/>
    <w:bookmarkEnd w:id="115"/>
    <w:bookmarkStart w:id="124"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Mô hình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đợt</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Theo cách đọc này, điều thoạt nhìn mâu thuẫn (một nền Nhóm IV khởi đầu với điểm uốn kiểu Nhóm I) lại trở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Bậc 1 (trang web) chung cho cả ba đợt, WBES BREADY cung cấp thêm chỉ báo Bậc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Bậc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Bậc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116"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Bậc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Bậc 2, chỉ đo năm 2025) trung bình</w:t>
      </w:r>
      <w:r>
        <w:t xml:space="preserve"> </w:t>
      </w:r>
      <m:oMath>
        <m:r>
          <m:t>65</m:t>
        </m:r>
        <m:r>
          <m:rPr>
            <m:sty m:val="p"/>
          </m:rPr>
          <m:t>,</m:t>
        </m:r>
        <m:r>
          <m:t>8</m:t>
        </m:r>
        <m:r>
          <m:rPr>
            <m:sty m:val="p"/>
          </m:rPr>
          <m:t>%</m:t>
        </m:r>
      </m:oMath>
      <w:r>
        <w:t xml:space="preserve">, phản ánh mức bão hòa thanh toán hợp nhất (Unified Payments Interface,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116"/>
    <w:bookmarkStart w:id="117" w:name="X831cc447fad3f32e70dc6a6e8cab29a5c412c7c"/>
    <w:p>
      <w:pPr>
        <w:pStyle w:val="Heading3"/>
      </w:pPr>
      <w:r>
        <w:t xml:space="preserve">4.8.2 Mô hình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đợt</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đợt</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Mô hình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117"/>
    <w:bookmarkStart w:id="118"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mô hình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Bậc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Bậc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118"/>
    <w:bookmarkStart w:id="119"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mô hình là tuyến tính thay vì bậc hai.</w:t>
      </w:r>
    </w:p>
    <w:p>
      <w:pPr>
        <w:pStyle w:val="BodyText"/>
      </w:pPr>
      <w:r>
        <w:t xml:space="preserve">Kết quả xác nhận ba mệnh đề. Thứ nhất, mức độ quốc tế hóa tác động âm lên hiệu quả ở mô hình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119"/>
    <w:bookmarkStart w:id="120"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120"/>
    <w:bookmarkStart w:id="121"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mô hình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121"/>
    <w:bookmarkStart w:id="122"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mô hình (R1, R2, R3b, R4) xác nhận mô thức định tính chữ U ngược hiện diện 2014–2022 rồi biến mất 2025; mô hình thứ năm (R3a) xác nhận hiện diện 2022 và biến mất 2025.</w:t>
      </w:r>
    </w:p>
    <w:bookmarkEnd w:id="122"/>
    <w:bookmarkStart w:id="123"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mô hình chính. Đối với tương tác UPI Bậc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(Bậc 2 lấn át Bậc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123"/>
    <w:bookmarkEnd w:id="124"/>
    <w:bookmarkStart w:id="128"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125"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mô hình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m:oMath>
              <m:sSup>
                <m:e>
                  <m:r>
                    <m:rPr>
                      <m:nor/>
                      <m:sty m:val="p"/>
                    </m:rPr>
                    <m:t>FSTS</m:t>
                  </m:r>
                </m:e>
                <m:sup>
                  <m:r>
                    <m:t>2</m:t>
                  </m:r>
                </m:sup>
              </m:sSup>
            </m:oMath>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mô hình nào có</w:t>
      </w:r>
      <w:r>
        <w:rPr>
          <w:iCs/>
          <w:i/>
        </w:rPr>
        <w:t xml:space="preserve"> </w:t>
      </w:r>
      <m:oMath>
        <m:sSup>
          <m:e>
            <m:r>
              <m:rPr>
                <m:nor/>
                <m:sty m:val="p"/>
              </m:rPr>
              <m:t>FSTS</m:t>
            </m:r>
          </m:e>
          <m:sup>
            <m:r>
              <m:t>2</m:t>
            </m:r>
          </m:sup>
        </m:sSup>
      </m:oMath>
      <w:r>
        <w:rPr>
          <w:iCs/>
          <w:i/>
        </w:rPr>
        <w:t xml:space="preserve"> </w:t>
      </w:r>
      <w:r>
        <w:rPr>
          <w:iCs/>
          <w:i/>
        </w:rPr>
        <w:t xml:space="preserve">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mô hình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mô hình số hạng bậc hai vô nghĩa. Riêng mô hình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Nhật Bản nằm trên một nhánh đi lên dài mà nhánh đi xuống vắng mặt về mặt thực nghiệm, trùng khớp kết quả Singapore (Mục 4.3) và kết quả cấp nhóm Advanced của ước lượng 50 nền (Mục 4.6.2), hoàn tất phổ ba vùng của thể chế: chữ U ngược ở các chế độ chuyển đổi, gần tuyến tính ở biên trên, mất cấu trúc ở biên dưới.</w:t>
      </w:r>
    </w:p>
    <w:bookmarkEnd w:id="125"/>
    <w:bookmarkStart w:id="126"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Bậc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126"/>
    <w:bookmarkStart w:id="127"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127"/>
    <w:bookmarkEnd w:id="128"/>
    <w:bookmarkStart w:id="129" w:name="X3f9ed6ea86262c6caa26e51d1f917462628cea6"/>
    <w:p>
      <w:pPr>
        <w:pStyle w:val="Heading2"/>
      </w:pPr>
      <w:r>
        <w:t xml:space="preserve">4.10 Tam giác hóa kết quả cấp doanh nghiệp với bằng chứng vĩ mô độc lập</w:t>
      </w:r>
    </w:p>
    <w:p>
      <w:pPr>
        <w:pStyle w:val="FirstParagraph"/>
      </w:pPr>
      <w:r>
        <w:t xml:space="preserve">Một câu hỏi then chốt về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Bậc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nhất quán với bằng chứng vĩ mô độc lập gần nhất. Tam giác hóa này củng cố tính giá trị của khung ICRV và gắn đóng góp của luận án với nghiên cứu phát triển đương đại.</w:t>
      </w:r>
    </w:p>
    <w:p>
      <w:r>
        <w:pict>
          <v:rect style="width:0;height:1.5pt" o:hralign="center" o:hrstd="t" o:hr="t"/>
        </w:pict>
      </w:r>
    </w:p>
    <w:bookmarkEnd w:id="129"/>
    <w:bookmarkStart w:id="130"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w:t>
            </w:r>
            <m:oMath>
              <m:r>
                <m:t>β</m:t>
              </m:r>
              <m:r>
                <m:rPr>
                  <m:sty m:val="p"/>
                </m:rPr>
                <m:t>=</m:t>
              </m:r>
              <m:r>
                <m:t>0</m:t>
              </m:r>
              <m:r>
                <m:rPr>
                  <m:sty m:val="p"/>
                </m:rPr>
                <m:t>,</m:t>
              </m:r>
              <m:r>
                <m:t>179</m:t>
              </m:r>
            </m:oMath>
            <w:r>
              <w:t xml:space="preserve">, biến công cụ)</w:t>
            </w:r>
          </w:p>
        </w:tc>
        <w:tc>
          <w:tcPr/>
          <w:p>
            <w:pPr>
              <w:pStyle w:val="Compact"/>
              <w:jc w:val="left"/>
            </w:pPr>
            <w:r>
              <w:t xml:space="preserve">không có ý nghĩa (Bậc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(+0,28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(toàn cầu, 49 nền)</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Bậc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mô hình).</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 50 nền); tương tác đường cong cùng chiều nén nhưng không ý nghĩa toàn mẫu; bằng chứng điều tiết rõ nhất ở bối cảnh đơn quốc gia (P4:</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r>
              <w:t xml:space="preserve">); không có ý nghĩa tại Việt Nam (Bậc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Bậc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130"/>
    <w:bookmarkStart w:id="131"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13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42" Target="media/rId42.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105" Target="media/rId105.png" /><Relationship Type="http://schemas.openxmlformats.org/officeDocument/2006/relationships/image" Id="rId45" Target="media/rId45.png" /><Relationship Type="http://schemas.openxmlformats.org/officeDocument/2006/relationships/image" Id="rId93" Target="media/rId93.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2026-07-01T02:00:44Z</dcterms:created>
  <dcterms:modified xsi:type="dcterms:W3CDTF">2026-07-01T02:00:44Z</dcterms:modified>
</cp:coreProperties>
</file>

<file path=docProps/custom.xml><?xml version="1.0" encoding="utf-8"?>
<Properties xmlns="http://schemas.openxmlformats.org/officeDocument/2006/custom-properties" xmlns:vt="http://schemas.openxmlformats.org/officeDocument/2006/docPropsVTypes"/>
</file>