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trong ánh sáng của khung lý thuyết CDCM và bốn lý thuyết nền (Uppsala, RBV, Institutional Theory, Upper Echelons Theory). Toàn bộ chương được tổ chức quanh việc bảo vệ luận điểm trọng tâm của luận án: thể chế không chỉ điều tiết độ lớn mà còn có thể định hình dấu và dạng hình của quan hệ quốc tế hóa và hiệu quả; ở cực trị thể chế yếu nhất, bằng chứng cho thấy họ mô hình chữ U ngược có xu hướng không còn áp dụng (điều kiện biên FIP, với độ lớn nhạy theo phiên bản dữ liệu). Cấu trúc chương gồm sáu phần: (i) bàn luận kết quả theo khung lý thuyết; (ii) so sánh với nghiên cứu trước; (iii) đóng góp lý thuyết; (iv) đề xuất chính sách và quản trị; (v) hạn chế và hướng nghiên cứu tương lai; và (vi) kết luận tổng thể của luận án.</w:t>
      </w:r>
    </w:p>
    <w:p>
      <w:r>
        <w:pict>
          <v:rect style="width:0;height:1.5pt" o:hralign="center" o:hrstd="t" o:hr="t"/>
        </w:pict>
      </w:r>
    </w:p>
    <w:bookmarkEnd w:id="21"/>
    <w:bookmarkStart w:id="30" w:name="Xff8cef3ed320f9cf6f3fba4ff558bfed3af19c6"/>
    <w:p>
      <w:pPr>
        <w:pStyle w:val="Heading2"/>
      </w:pPr>
      <w:r>
        <w:t xml:space="preserve">5.1 Bàn luận kết quả theo khung lý thuyết CDCM</w:t>
      </w:r>
    </w:p>
    <w:bookmarkStart w:id="22" w:name="X59bbe86bb1d3da1717dec30924f73547ba9a500"/>
    <w:p>
      <w:pPr>
        <w:pStyle w:val="Heading3"/>
      </w:pPr>
      <w:r>
        <w:t xml:space="preserve">5.1.1 Phổ ICRV: Xác nhận một phần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phổ thể chế ICRV (Biến thiên chế độ bối cảnh thể chế, Institutional Context Regime Variation)</w:t>
      </w:r>
      <w:r>
        <w:t xml:space="preserve">: cùng một mức độ quốc tế hóa (FSTS) mang lại hiệu quả rất khác nhau tùy thuộc vào chế độ thể chế mà doanh nghiệp hoạt động. Bằng chứng từ hai nguồn độc lập, phân tích tổng hợp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ước lượng toàn mẫu trên khung 50 nền kinh tế (P7,</w:t>
      </w:r>
      <w:r>
        <w:t xml:space="preserve"> </w:t>
      </w:r>
      <m:oMath>
        <m:r>
          <m:t>N</m:t>
        </m:r>
        <m:r>
          <m:rPr>
            <m:sty m:val="p"/>
          </m:rPr>
          <m:t>=</m:t>
        </m:r>
        <m:r>
          <m:t>81.022</m:t>
        </m:r>
      </m:oMath>
      <w:r>
        <w:t xml:space="preserve"> </w:t>
      </w:r>
      <w:r>
        <w:t xml:space="preserve">quan sát), đều chỉ đến cùng một kết luận: chế độ thể chế quyết định</w:t>
      </w:r>
      <w:r>
        <w:t xml:space="preserve"> </w:t>
      </w:r>
      <w:r>
        <w:rPr>
          <w:bCs/>
          <w:b/>
        </w:rPr>
        <w:t xml:space="preserve">chính sự tồn tại và vị trí của dạng hàm chữ U ngược</w:t>
      </w:r>
      <w:r>
        <w:t xml:space="preserve">. Đường cong định hình rõ nét và tin cậy nhất ở vùng giữa của phổ thể chế (Nhóm IV, điểm uốn 43,0%, trùng khớp các ước lượng đơn quốc gia Việt Nam 39–46% và Ấn Độ 40,7%); duỗi thẳng thành quan hệ gần tuyến tính dương ở biên trên (Nhóm I, điểm uốn ngoài miền dữ liệu, trùng khớp Singapore); và mất cấu trúc ở biên dưới (Nhóm V không còn ý nghĩa thống kê; Nhóm VI không có chữ U ngược, chuyển sang gánh nặng quốc tế hóa bắt buộc theo P8). Tức là thể chế không chỉ dịch chuyển điểm tối ưu của quốc tế hóa mà còn quyết định liệu điểm tối ưu đó có tồn tại hay không.</w:t>
      </w:r>
    </w:p>
    <w:p>
      <w:pPr>
        <w:pStyle w:val="BodyText"/>
      </w:pPr>
      <w:r>
        <w:t xml:space="preserve">Kết quả này xác nhận</w:t>
      </w:r>
      <w:r>
        <w:t xml:space="preserve"> </w:t>
      </w:r>
      <w:r>
        <w:rPr>
          <w:bCs/>
          <w:b/>
        </w:rPr>
        <w:t xml:space="preserve">một phần</w:t>
      </w:r>
      <w:r>
        <w:t xml:space="preserve"> </w:t>
      </w:r>
      <w:r>
        <w:t xml:space="preserve">H5 và tầng thể chế của khung lý thuyết CDCM. Phần</w:t>
      </w:r>
      <w:r>
        <w:t xml:space="preserve"> </w:t>
      </w:r>
      <w:r>
        <w:rPr>
          <w:bCs/>
          <w:b/>
        </w:rPr>
        <w:t xml:space="preserve">lõi</w:t>
      </w:r>
      <w:r>
        <w:t xml:space="preserve"> </w:t>
      </w:r>
      <w:r>
        <w:t xml:space="preserve">của H5 được xác nhận vững từ hai nguồn độc lập: chế độ thể chế quyết định không chỉ một biến điều tiết đơn lẻ mà là</w:t>
      </w:r>
      <w:r>
        <w:t xml:space="preserve"> </w:t>
      </w:r>
      <w:r>
        <w:rPr>
          <w:bCs/>
          <w:b/>
        </w:rPr>
        <w:t xml:space="preserve">cả một chế độ thể chế</w:t>
      </w:r>
      <w:r>
        <w:t xml:space="preserve"> </w:t>
      </w:r>
      <w:r>
        <w:t xml:space="preserve">chi phối sự tồn tại và vị trí của dạng hàm chữ U ngược (kiểm định tổng thể</w:t>
      </w:r>
      <w:r>
        <w:t xml:space="preserve"> </w:t>
      </w:r>
      <m:oMath>
        <m:sSub>
          <m:e>
            <m:r>
              <m:t>Q</m:t>
            </m:r>
          </m:e>
          <m:sub>
            <m:r>
              <m:t>M</m:t>
            </m:r>
          </m:sub>
        </m:sSub>
        <m:r>
          <m:rPr>
            <m:sty m:val="p"/>
          </m:rPr>
          <m:t>=</m:t>
        </m:r>
        <m:r>
          <m:t>17</m:t>
        </m:r>
        <m:r>
          <m:rPr>
            <m:sty m:val="p"/>
          </m:rPr>
          <m:t>,</m:t>
        </m:r>
        <m:r>
          <m:t>35</m:t>
        </m:r>
      </m:oMath>
      <w:r>
        <w:t xml:space="preserve"> </w:t>
      </w:r>
      <w:r>
        <w:t xml:space="preserve">của P6; phổ điểm uốn theo ICRV của P7). Tuy nhiên,</w:t>
      </w:r>
      <w:r>
        <w:t xml:space="preserve"> </w:t>
      </w:r>
      <w:r>
        <w:rPr>
          <w:bCs/>
          <w:b/>
        </w:rPr>
        <w:t xml:space="preserve">định hướng phổ thể chế đơn điệu</w:t>
      </w:r>
      <w:r>
        <w:t xml:space="preserve"> </w:t>
      </w:r>
      <w:r>
        <w:t xml:space="preserve">như H5 phát biểu (tác động mạnh nhất ở nhóm thể chế yếu, giảm dần đến nhóm tiên tiến, vận hành hóa thành mệnh đề thăm dò E1a/E1b)</w:t>
      </w:r>
      <w:r>
        <w:t xml:space="preserve"> </w:t>
      </w:r>
      <w:r>
        <w:rPr>
          <w:bCs/>
          <w:b/>
        </w:rPr>
        <w:t xml:space="preserve">chưa được xác nhận</w:t>
      </w:r>
      <w:r>
        <w:t xml:space="preserve">: ở P6, ý nghĩa của</w:t>
      </w:r>
      <w:r>
        <w:t xml:space="preserve"> </w:t>
      </w:r>
      <m:oMath>
        <m:sSub>
          <m:e>
            <m:r>
              <m:t>Q</m:t>
            </m:r>
          </m:e>
          <m:sub>
            <m:r>
              <m:t>M</m:t>
            </m:r>
          </m:sub>
        </m:sSub>
      </m:oMath>
      <w:r>
        <w:t xml:space="preserve"> </w:t>
      </w:r>
      <w:r>
        <w:t xml:space="preserve">bị chi phối bởi nhóm Frontier</w:t>
      </w:r>
      <w:r>
        <w:t xml:space="preserve"> </w:t>
      </w:r>
      <m:oMath>
        <m:r>
          <m:t>k</m:t>
        </m:r>
        <m:r>
          <m:rPr>
            <m:sty m:val="p"/>
          </m:rPr>
          <m:t>=</m:t>
        </m:r>
        <m:r>
          <m:t>3</m:t>
        </m:r>
      </m:oMath>
      <w:r>
        <w:t xml:space="preserve"> </w:t>
      </w:r>
      <w:r>
        <w:t xml:space="preserve">(một nghiên cứu ngoại lai chi phối), còn các tương phản giữa các nhóm đông quan sát (I, II, III, MX) đều không có ý nghĩa; ở P7, gradient thực nghiệm mang dạng</w:t>
      </w:r>
      <w:r>
        <w:t xml:space="preserve"> </w:t>
      </w:r>
      <w:r>
        <w:rPr>
          <w:bCs/>
          <w:b/>
        </w:rPr>
        <w:t xml:space="preserve">ba vùng phi đơn điệu</w:t>
      </w:r>
      <w:r>
        <w:t xml:space="preserve"> </w:t>
      </w:r>
      <w:r>
        <w:t xml:space="preserve">(chữ U ngược sắc nét ở vùng giữa, duỗi thẳng ở biên trên, mất cấu trúc ở biên dưới) chứ không phải một dốc đơn điệu. Bằng chứng vì vậy xác nhận rằng thể chế</w:t>
      </w:r>
      <w:r>
        <w:t xml:space="preserve"> </w:t>
      </w:r>
      <w:r>
        <w:rPr>
          <w:iCs/>
          <w:i/>
        </w:rPr>
        <w:t xml:space="preserve">định hình</w:t>
      </w:r>
      <w:r>
        <w:t xml:space="preserve"> </w:t>
      </w:r>
      <w:r>
        <w:t xml:space="preserve">dạng quan hệ, nhưng</w:t>
      </w:r>
      <w:r>
        <w:t xml:space="preserve"> </w:t>
      </w:r>
      <w:r>
        <w:rPr>
          <w:iCs/>
          <w:i/>
        </w:rPr>
        <w:t xml:space="preserve">chiều</w:t>
      </w:r>
      <w:r>
        <w:t xml:space="preserve"> </w:t>
      </w:r>
      <w:r>
        <w:t xml:space="preserve">của phổ thể chế phong phú hơn giả thuyết đơn điệu ban đầu; đây là một tinh chỉnh lý thuyết chứ không phải một bác bỏ. Lý thuyết thể chế của North (1990) và Khanna và Palepu (2010) dự đoán rằng thể chế định hình chi phí giao dịch và cấu trúc khuyến khích; kết quả ICRV phổ thể chế là biểu hiện thực nghiệm của cơ chế này ở quy mô 50 nền kinh tế châu Á và Thái Bình Dương (P7).</w:t>
      </w:r>
    </w:p>
    <w:p>
      <w:pPr>
        <w:pStyle w:val="BodyText"/>
      </w:pPr>
      <w:r>
        <w:t xml:space="preserve">Về mặt lý thuyết, phổ thể chế ICRV có thể được hiểu qua hai cơ chế bổ sung cho nhau. Cơ chế thứ nhất là</w:t>
      </w:r>
      <w:r>
        <w:t xml:space="preserve"> </w:t>
      </w:r>
      <w:r>
        <w:rPr>
          <w:bCs/>
          <w:b/>
        </w:rPr>
        <w:t xml:space="preserve">giảm chi phí giao dịch</w:t>
      </w:r>
      <w:r>
        <w:t xml:space="preserve">: thể chế chất lượng cao (hệ thống pháp lý, bảo vệ quyền sở hữu trí tuệ, thực thi hợp đồng) làm giảm chi phí xuyên biên giới, cho phép doanh nghiệp duy trì đà tăng trưởng hiệu quả đến mức FSTS cao hơn. Cơ chế thứ hai là</w:t>
      </w:r>
      <w:r>
        <w:t xml:space="preserve"> </w:t>
      </w:r>
      <w:r>
        <w:rPr>
          <w:bCs/>
          <w:b/>
        </w:rPr>
        <w:t xml:space="preserve">khuếch đại năng lực</w:t>
      </w:r>
      <w:r>
        <w:t xml:space="preserve">: môi trường thể chế tốt cũng có nghĩa là hệ sinh thái dịch vụ hỗ trợ (logistics, tài chính thương mại, tư vấn pháp lý quốc tế) phát triển, làm giảm gánh nặng điều phối nội bộ của doanh nghiệp khi mở rộng quốc tế. Hai cơ chế này cùng giải thích vì sao đường cong duỗi thẳng ở biên trên của phổ thể chế: khi chi phí giao dịch xuyên biên giới đủ thấp và hệ sinh thái hỗ trợ đủ dày, nhánh đi xuống của chữ U ngược bị đẩy lùi ra ngoài miền quan sát; ngược lại ở biên dưới, sự thiếu vắng cả hai điều kiện khiến phần thưởng của quốc tế hóa trở nên nhỏ và bất định đến mức dạng hàm không còn định hình được.</w:t>
      </w:r>
    </w:p>
    <w:bookmarkEnd w:id="22"/>
    <w:bookmarkStart w:id="23" w:name="X09a4922d1c0cba8acfc2d36ce447b46819a36c1"/>
    <w:p>
      <w:pPr>
        <w:pStyle w:val="Heading3"/>
      </w:pPr>
      <w:r>
        <w:t xml:space="preserve">5.1.2 TCI là năng lực nền tảng: Xác nhận một phần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trong tất cả các mẫu (Việt Nam P3, Trung Quốc P5, toàn mẫu P7: hệ số +0,141 độ lệch chuẩn năng suất chuẩn hóa cho mỗi độ lệch chuẩn TCI, p &lt;,001). Tuy nhiên, TCI chỉ</w:t>
      </w:r>
      <w:r>
        <w:t xml:space="preserve"> </w:t>
      </w:r>
      <w:r>
        <w:rPr>
          <w:bCs/>
          <w:b/>
        </w:rPr>
        <w:t xml:space="preserve">điều tiết hình dạng đường cong I–P</w:t>
      </w:r>
      <w:r>
        <w:t xml:space="preserve"> </w:t>
      </w:r>
      <w:r>
        <w:t xml:space="preserve">tại bối cảnh quốc gia cụ thể (P3 Việt Nam, môi trường chuyển đổi với phân mảnh thể chế tạo điều kiện cho TCI định hình lại hiệu ứng), không phổ quát trên toàn mẫu 50 nền kinh tế (P7: tương tác FSTS×TCI và</w:t>
      </w:r>
      <w:r>
        <w:t xml:space="preserve"> </w:t>
      </w:r>
      <m:oMath>
        <m:sSup>
          <m:e>
            <m:r>
              <m:rPr>
                <m:nor/>
                <m:sty m:val="p"/>
              </m:rPr>
              <m:t>FSTS</m:t>
            </m:r>
          </m:e>
          <m:sup>
            <m:r>
              <m:t>2</m:t>
            </m:r>
          </m:sup>
        </m:sSup>
      </m:oMath>
      <w:r>
        <w:t xml:space="preserve">×TCI đều không ý nghĩa). H2 được</w:t>
      </w:r>
      <w:r>
        <w:t xml:space="preserve"> </w:t>
      </w:r>
      <w:r>
        <w:rPr>
          <w:bCs/>
          <w:b/>
        </w:rPr>
        <w:t xml:space="preserve">xác nhận một phần</w:t>
      </w:r>
      <w:r>
        <w:t xml:space="preserve">: TCI là năng lực nền tảng phổ quát, nhưng vai trò uốn đường cong quốc tế hóa và hiệu quả phụ thuộc bối cảnh thể chế. Kết quả này khẳng định TCI là</w:t>
      </w:r>
      <w:r>
        <w:t xml:space="preserve"> </w:t>
      </w:r>
      <w:r>
        <w:rPr>
          <w:bCs/>
          <w:b/>
        </w:rPr>
        <w:t xml:space="preserve">năng lực nền tảng</w:t>
      </w:r>
      <w:r>
        <w:t xml:space="preserve"> </w:t>
      </w:r>
      <w:r>
        <w:t xml:space="preserve">(foundational capability) trong khung CDCM: doanh nghiệp có năng lực công nghệ sâu hơn – đo bằng việc tiếp cận công nghệ nước ngoài, chi tiêu R&amp;D, đổi mới sản phẩm và chứng nhận chất lượng –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khó thay thế), do đó tạo ra lợi thế cạnh tranh bền vững ngay cả khi doanh nghiệp mở rộng ra thị trường nước ngoài với mức độ bất định cao. Năng lực công nghệ cũng tạo ra năng lực hấp thụ (Cohen &amp; Levinthal, 1990), khả năng hấp thu và tích hợp tri thức từ thị trường nước ngoài, giúp doanh nghiệp học hỏi hiệu quả hơn trong quá trình quốc tế hóa, nhất quán với learning loop của Uppsala model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nhiều sắc thái hơn so với TCI. Trên toàn mẫu P7 (khung 50 nền kinh tế), DAI có hiệu ứng nâng mặt bằng năng suất dương và có ý nghĩa cao (</w:t>
      </w:r>
      <m:oMath>
        <m:acc>
          <m:accPr>
            <m:chr m:val="̂"/>
          </m:accPr>
          <m:e>
            <m:r>
              <m:t>β</m:t>
            </m:r>
          </m:e>
        </m:acc>
        <m:r>
          <m:rPr>
            <m:sty m:val="p"/>
          </m:rPr>
          <m:t>=</m:t>
        </m:r>
        <m:r>
          <m:rPr>
            <m:sty m:val="p"/>
          </m:rPr>
          <m:t>+</m:t>
        </m:r>
        <m:r>
          <m:t>0</m:t>
        </m:r>
        <m:r>
          <m:rPr>
            <m:sty m:val="p"/>
          </m:rPr>
          <m:t>,</m:t>
        </m:r>
        <m:r>
          <m:t>201</m:t>
        </m:r>
      </m:oMath>
      <w:r>
        <w:t xml:space="preserve">,</w:t>
      </w:r>
      <w:r>
        <w:t xml:space="preserve"> </w:t>
      </w:r>
      <m:oMath>
        <m:r>
          <m:t>p</m:t>
        </m:r>
        <m:r>
          <m:rPr>
            <m:sty m:val="p"/>
          </m:rPr>
          <m:t>&lt;</m:t>
        </m:r>
        <m:r>
          <m:rPr>
            <m:sty m:val="p"/>
          </m:rPr>
          <m:t>,</m:t>
        </m:r>
        <m:r>
          <m:t>001</m:t>
        </m:r>
      </m:oMath>
      <w:r>
        <w:t xml:space="preserve">): doanh nghiệp có hiện diện số cơ bản đạt năng suất chuẩn hóa cao hơn một phần năm độ lệch chuẩn. Các tương tác điều tiết đường cong mang đúng chiều nén như khung CDCM dự đoán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271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252</m:t>
        </m:r>
      </m:oMath>
      <w:r>
        <w:t xml:space="preserve">) nhưng không đạt ý nghĩa thống kê ở cấp toàn mẫu (</w:t>
      </w:r>
      <m:oMath>
        <m:r>
          <m:t>p</m:t>
        </m:r>
        <m:r>
          <m:rPr>
            <m:sty m:val="p"/>
          </m:rPr>
          <m:t>=</m:t>
        </m:r>
        <m:r>
          <m:rPr>
            <m:sty m:val="p"/>
          </m:rPr>
          <m:t>,</m:t>
        </m:r>
        <m:r>
          <m:t>149</m:t>
        </m:r>
      </m:oMath>
      <w:r>
        <w:t xml:space="preserve"> </w:t>
      </w:r>
      <w:r>
        <w:t xml:space="preserve">và</w:t>
      </w:r>
      <w:r>
        <w:t xml:space="preserve"> </w:t>
      </w:r>
      <m:oMath>
        <m:r>
          <m:t>p</m:t>
        </m:r>
        <m:r>
          <m:rPr>
            <m:sty m:val="p"/>
          </m:rPr>
          <m:t>=</m:t>
        </m:r>
        <m:r>
          <m:rPr>
            <m:sty m:val="p"/>
          </m:rPr>
          <m:t>,</m:t>
        </m:r>
        <m:r>
          <m:t>367</m:t>
        </m:r>
      </m:oMath>
      <w:r>
        <w:t xml:space="preserve">), nghĩa là hiệu ứng uốn đường cong của DAI không phổ quát mà tập trung ở các bối cảnh đặc thù. Tại Singapore (P4, DAI Bậc 1 và 2), DAI phát huy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Tại Việt Nam (P3, Bậc 1 only, IV-estimated), DAI không có ý nghĩa phản ánh hạn chế đo lường và thiên lệch chọn lựa hơn là bác bỏ H3.</w:t>
      </w:r>
    </w:p>
    <w:p>
      <w:pPr>
        <w:pStyle w:val="BodyText"/>
      </w:pPr>
      <w:r>
        <w:t xml:space="preserve">Kết quả tổng hợp hỗ trợ lập luận trong khung CDCM rằng DAI là</w:t>
      </w:r>
      <w:r>
        <w:t xml:space="preserve"> </w:t>
      </w:r>
      <w:r>
        <w:rPr>
          <w:bCs/>
          <w:b/>
        </w:rPr>
        <w:t xml:space="preserve">nguồn lực tình huống</w:t>
      </w:r>
      <w:r>
        <w:t xml:space="preserve"> </w:t>
      </w:r>
      <w:r>
        <w:t xml:space="preserve">(situational resource) chứ không phải năng lực nền tảng: cơ chế cụ thể của nó (compression vs amplification) phụ thuộc vào điều kiện môi trường (thể chế, cơ sở hạ tầng số), nhưng bản thân hiệu ứng DAI là</w:t>
      </w:r>
      <w:r>
        <w:t xml:space="preserve"> </w:t>
      </w:r>
      <w:r>
        <w:rPr>
          <w:bCs/>
          <w:b/>
        </w:rPr>
        <w:t xml:space="preserve">phổ quát</w:t>
      </w:r>
      <w:r>
        <w:t xml:space="preserve"> </w:t>
      </w:r>
      <w:r>
        <w:t xml:space="preserve">trên toàn mẫu đa bối cảnh. Đây chính là điểm phân biệt TCI với DAI trong đóng góp lý thuyết của luận án.</w:t>
      </w:r>
    </w:p>
    <w:p>
      <w:pPr>
        <w:pStyle w:val="BodyText"/>
      </w:pPr>
      <w:r>
        <w:t xml:space="preserve">Cần lưu ý rằng kết quả không có ý nghĩa về DAI tại Việt Nam (P3) và các bối cảnh thấp hơn không nhất thiết bác bỏ H3, mà còn phản ánh hạn chế đo lường: Bậc 1 DAI (website, email, online sales) chưa nắm bắt được chiều sâu của năng lực số. Khi DAI được đo bằng Bậc 1 và 2 (bổ sung e-payment, e-supplier) như tại Singapore, hiệu ứng điều tiết xuất hiện rõ ràng hơn. Quan trọng hơn, tất cả đo lường DAI trong luận án đều là</w:t>
      </w:r>
      <w:r>
        <w:t xml:space="preserve"> </w:t>
      </w:r>
      <w:r>
        <w:rPr>
          <w:bCs/>
          <w:b/>
        </w:rPr>
        <w:t xml:space="preserve">chỉ số chấp nhận số tĩnh</w:t>
      </w:r>
      <w:r>
        <w:t xml:space="preserve"> </w:t>
      </w:r>
      <w:r>
        <w:t xml:space="preserve">(static digital adoption index) dựa trên dữ liệu WBES tại một thời điểm, không phải</w:t>
      </w:r>
      <w:r>
        <w:t xml:space="preserve"> </w:t>
      </w:r>
      <w:r>
        <w:t xml:space="preserve">“</w:t>
      </w:r>
      <w:r>
        <w:t xml:space="preserve">dynamic năng lực số</w:t>
      </w:r>
      <w:r>
        <w:t xml:space="preserve">”</w:t>
      </w:r>
      <w:r>
        <w:t xml:space="preserve"> </w:t>
      </w:r>
      <w:r>
        <w:t xml:space="preserve">theo nghĩa của năng lực động theory (Teece et al., 1997) vì dữ liệu WBES không có đủ thang đo để đo lường tính động của năng lực số.</w:t>
      </w:r>
    </w:p>
    <w:p>
      <w:pPr>
        <w:pStyle w:val="BodyText"/>
      </w:pPr>
      <w:r>
        <w:t xml:space="preserve">Một giải thích bổ sung từ Lý thuyết thể chế: ở các bối cảnh ICRV thấp với nhiều khoảng trống thể chế (Khanna &amp; Palepu, 2010), doanh nghiệp xuất khẩu có thể phụ thuộc vào DAI nhiều hơn như một cơ chế bù đắp cho thiếu hụt hạ tầng thể chế (hiệu ứng lá chắn số đã ghi nhận ở nghiên cứu thành phần P1 trên 17 nền). Trên khung 50 nền, tương tác chế độ-yếu với độ dốc đường cong ở mức biên ý nghĩa (FSTS×chế độ yếu = −0,523, p =,087), nhất quán về chiều với lập luận này nhưng cần kiểm định nhân quả chặt hơn trước khi khẳng định.</w:t>
      </w:r>
    </w:p>
    <w:bookmarkEnd w:id="24"/>
    <w:bookmarkStart w:id="25" w:name="Xba87836edee10cf1c931ef85c517d34e258cf83"/>
    <w:p>
      <w:pPr>
        <w:pStyle w:val="Heading3"/>
      </w:pPr>
      <w:r>
        <w:t xml:space="preserve">5.1.4 Đặc điểm nhà quản trị là biến điều tiết cá nhân: Hỗ trợ có điều kiện H4</w:t>
      </w:r>
    </w:p>
    <w:p>
      <w:pPr>
        <w:pStyle w:val="FirstParagraph"/>
      </w:pPr>
      <w:r>
        <w:t xml:space="preserve">Kết quả về H4 trên khung 50 nền cho thấy đặc điểm nhà quản trị cấp cao</w:t>
      </w:r>
      <w:r>
        <w:t xml:space="preserve"> </w:t>
      </w:r>
      <w:r>
        <w:rPr>
          <w:bCs/>
          <w:b/>
        </w:rPr>
        <w:t xml:space="preserve">không tạo hiệu ứng điều tiết phổ quát</w:t>
      </w:r>
      <w:r>
        <w:t xml:space="preserve">. Hệ số mức của nữ quản lý cấp cao là âm nhẹ (</w:t>
      </w:r>
      <m:oMath>
        <m:acc>
          <m:accPr>
            <m:chr m:val="̂"/>
          </m:accPr>
          <m:e>
            <m:r>
              <m:t>β</m:t>
            </m:r>
          </m:e>
        </m:acc>
        <m:r>
          <m:rPr>
            <m:sty m:val="p"/>
          </m:rPr>
          <m:t>=</m:t>
        </m:r>
        <m:r>
          <m:rPr>
            <m:sty m:val="p"/>
          </m:rPr>
          <m:t>−</m:t>
        </m:r>
        <m:r>
          <m:t>0</m:t>
        </m:r>
        <m:r>
          <m:rPr>
            <m:sty m:val="p"/>
          </m:rPr>
          <m:t>,</m:t>
        </m:r>
        <m:r>
          <m:t>104</m:t>
        </m:r>
      </m:oMath>
      <w:r>
        <w:t xml:space="preserve">,</w:t>
      </w:r>
      <w:r>
        <w:t xml:space="preserve"> </w:t>
      </w:r>
      <m:oMath>
        <m:r>
          <m:t>p</m:t>
        </m:r>
        <m:r>
          <m:rPr>
            <m:sty m:val="p"/>
          </m:rPr>
          <m:t>&lt;</m:t>
        </m:r>
        <m:r>
          <m:rPr>
            <m:sty m:val="p"/>
          </m:rPr>
          <m:t>,</m:t>
        </m:r>
        <m:r>
          <m:t>001</m:t>
        </m:r>
      </m:oMath>
      <w:r>
        <w:t xml:space="preserve">) sau khi kiểm soát hiệu ứng cố định nền kinh tế và năm, và tương tác với cường độ quốc tế hóa không có ý nghĩa thống kê (FSTS×nữ quản lý:</w:t>
      </w:r>
      <w:r>
        <w:t xml:space="preserve"> </w:t>
      </w:r>
      <m:oMath>
        <m:r>
          <m:t>p</m:t>
        </m:r>
        <m:r>
          <m:rPr>
            <m:sty m:val="p"/>
          </m:rPr>
          <m:t>=</m:t>
        </m:r>
        <m:r>
          <m:rPr>
            <m:sty m:val="p"/>
          </m:rPr>
          <m:t>,</m:t>
        </m:r>
        <m:r>
          <m:t>847</m:t>
        </m:r>
      </m:oMath>
      <w:r>
        <w:t xml:space="preserve">). Kết quả này nhất quán với lập luận của Lý thuyết thượng tầng quản trị (Hambrick &amp; Mason, 1984) ở dạng có điều kiện: tác động của đặc điểm lãnh đạo phụ thuộc mạnh vào bối cảnh thể chế và cấu trúc ngành mà doanh nghiệp hoạt động, thay vì là một hiệu ứng đồng nhất xuyên 50 nền kinh tế; hệ số mức âm nhẹ nhiều khả năng phản ánh sự phân bố không ngẫu nhiên của nữ quản lý vào các ngành thâm dụng lao động biên thấp, một dạng chọn lọc ngành cần thiết kế nhận dạng riêng để bóc tách.</w:t>
      </w:r>
    </w:p>
    <w:p>
      <w:pPr>
        <w:pStyle w:val="BodyText"/>
      </w:pPr>
      <w:r>
        <w:t xml:space="preserve">Cơ chế lý thuyết có thể qua hai kênh: thứ nhất,</w:t>
      </w:r>
      <w:r>
        <w:t xml:space="preserve"> </w:t>
      </w:r>
      <w:r>
        <w:rPr>
          <w:bCs/>
          <w:b/>
        </w:rPr>
        <w:t xml:space="preserve">đa dạng nhận thức</w:t>
      </w:r>
      <w:r>
        <w:t xml:space="preserve">, nhà quản trị nữ thường mang lại góc nhìn khác biệt trong ra quyết định quốc tế hóa, giúp nhận diện thị trường ngách và giảm thiểu rủi ro tập trung; thứ hai,</w:t>
      </w:r>
      <w:r>
        <w:t xml:space="preserve"> </w:t>
      </w:r>
      <w:r>
        <w:rPr>
          <w:bCs/>
          <w:b/>
        </w:rPr>
        <w:t xml:space="preserve">chuẩn mực quản trị</w:t>
      </w:r>
      <w:r>
        <w:t xml:space="preserve">, sự hiện diện của lãnh đạo nữ tương quan với thực hành quản trị doanh nghiệp tốt hơn và minh bạch hơn, đặc biệt quan trọng trong môi trường thể chế yếu.</w:t>
      </w:r>
    </w:p>
    <w:p>
      <w:pPr>
        <w:pStyle w:val="BodyText"/>
      </w:pPr>
      <w:r>
        <w:t xml:space="preserve">Tuy nhiên, cần lưu ý rằng tác động này được phát hiện ở cấp gộp toàn mẫu (P7) và cần kiểm định riêng biệt theo từng bối cảnh ICRV để hiểu đầy đủ điều kiện biên của biến điều tiết cấp quản trị. Kết quả không có ý nghĩa về kinh nghiệm nhà quản trị (mgr_experience) gợi ý rằng trong bối cảnh châu Á đa dạng, số năm kinh nghiệm đơn thuần không nắm bắt được</w:t>
      </w:r>
      <w:r>
        <w:t xml:space="preserve"> </w:t>
      </w:r>
      <w:r>
        <w:rPr>
          <w:bCs/>
          <w:b/>
        </w:rPr>
        <w:t xml:space="preserve">chất lượng</w:t>
      </w:r>
      <w:r>
        <w:t xml:space="preserve"> </w:t>
      </w:r>
      <w:r>
        <w:t xml:space="preserve">kinh nghiệm quốc tế (bề rộng so với chiều sâu, breadth vs. depth), một hạn chế đo lường trong WBES cần được khắc phục trong nghiên cứu tương lai.</w:t>
      </w:r>
    </w:p>
    <w:bookmarkEnd w:id="25"/>
    <w:bookmarkStart w:id="26" w:name="Xfdc4f05762204c1e9501761a1ebcb843f9171c3"/>
    <w:p>
      <w:pPr>
        <w:pStyle w:val="Heading3"/>
      </w:pPr>
      <w:r>
        <w:t xml:space="preserve">5.1.5 FIP là điều kiện biên cực đoan: H1b cho SIDS</w:t>
      </w:r>
    </w:p>
    <w:p>
      <w:pPr>
        <w:pStyle w:val="FirstParagraph"/>
      </w:pPr>
      <w:r>
        <w:t xml:space="preserve">Gánh nặng quốc tế hóa bắt buộc (Forced Internationalization Penalty, FIP) tại các nền kinh tế SIDS (</w:t>
      </w:r>
      <m:oMath>
        <m:r>
          <m:t>β</m:t>
        </m:r>
        <m:r>
          <m:rPr>
            <m:sty m:val="p"/>
          </m:rPr>
          <m:t>=</m:t>
        </m:r>
        <m:r>
          <m:rPr>
            <m:sty m:val="p"/>
          </m:rPr>
          <m:t>−</m:t>
        </m:r>
        <m:r>
          <m:t>1</m:t>
        </m:r>
        <m:r>
          <m:rPr>
            <m:sty m:val="p"/>
          </m:rPr>
          <m:t>,</m:t>
        </m:r>
        <m:r>
          <m:t>339</m:t>
        </m:r>
      </m:oMath>
      <w:r>
        <w:t xml:space="preserve">,</w:t>
      </w:r>
      <w:r>
        <w:t xml:space="preserve"> </w:t>
      </w:r>
      <m:oMath>
        <m:r>
          <m:t>p</m:t>
        </m:r>
        <m:r>
          <m:rPr>
            <m:sty m:val="p"/>
          </m:rPr>
          <m:t>&lt;</m:t>
        </m:r>
        <m:r>
          <m:rPr>
            <m:sty m:val="p"/>
          </m:rPr>
          <m:t>,</m:t>
        </m:r>
        <m:r>
          <m:t>001</m:t>
        </m:r>
      </m:oMath>
      <w:r>
        <w:t xml:space="preserve"> </w:t>
      </w:r>
      <w:r>
        <w:t xml:space="preserve">trên phiên bản dữ liệu gốc của P8; cần đọc cùng giới hạn dữ liệu ở Mục 4.7.8, theo đó kết quả mang tính thăm dò và nhạy cảm với phiên bản dữ liệu) đại diện cho điều kiện biên mà CDCM không hoàn toàn dự báo trước trong phiên bản ban đầu của khung lý thuyết. FIP là biểu hiện của trường hợp khi</w:t>
      </w:r>
      <w:r>
        <w:t xml:space="preserve"> </w:t>
      </w:r>
      <w:r>
        <w:rPr>
          <w:bCs/>
          <w:b/>
        </w:rPr>
        <w:t xml:space="preserve">cả ba tầng của CDCM</w:t>
      </w:r>
      <w:r>
        <w:t xml:space="preserve"> </w:t>
      </w:r>
      <w:r>
        <w:t xml:space="preserve">(thể chế, năng lực, và quản trị) đều ở mức thấp: thể chế yếu, TCI thấp, DAI không phát huy tác dụng, thì quốc tế hóa không chỉ dừng ở mức không mang lại lợi ích mà còn gây tổn hại thực sự đến hiệu quả hoạt động kinh doanh của doanh nghiệp.</w:t>
      </w:r>
    </w:p>
    <w:p>
      <w:pPr>
        <w:pStyle w:val="BodyText"/>
      </w:pPr>
      <w:r>
        <w:t xml:space="preserve">Phát hiện vững trên mẫu đầy đủ bảy nền đảo nhỏ Thái Bình Dương (</w:t>
      </w:r>
      <m:oMath>
        <m:r>
          <m:t>N</m:t>
        </m:r>
        <m:r>
          <m:rPr>
            <m:sty m:val="p"/>
          </m:rPr>
          <m:t>=</m:t>
        </m:r>
        <m:r>
          <m:t>1.450</m:t>
        </m:r>
      </m:oMath>
      <w:r>
        <w:t xml:space="preserve">) là</w:t>
      </w:r>
      <w:r>
        <w:t xml:space="preserve"> </w:t>
      </w:r>
      <w:r>
        <w:rPr>
          <w:bCs/>
          <w:b/>
        </w:rPr>
        <w:t xml:space="preserve">việc dạng chữ U ngược mất cấu trúc</w:t>
      </w:r>
      <w:r>
        <w:t xml:space="preserve"> </w:t>
      </w:r>
      <w:r>
        <w:t xml:space="preserve">(độ dốc không có ý nghĩa và độ cong chỉ đạt mức biên), tương phản sắc nét với chữ U ngược của lục địa; FIP được hiểu như</w:t>
      </w:r>
      <w:r>
        <w:t xml:space="preserve"> </w:t>
      </w:r>
      <w:r>
        <w:rPr>
          <w:bCs/>
          <w:b/>
        </w:rPr>
        <w:t xml:space="preserve">trường hợp giới hạn lý thuyết</w:t>
      </w:r>
      <w:r>
        <w:t xml:space="preserve"> </w:t>
      </w:r>
      <w:r>
        <w:t xml:space="preserve">của sự mất cấu trúc này, tức chiều hướng mà quan hệ nghiêng về khi quốc tế hóa cưỡng bức chi phối hoàn toàn, chứ không phải một quan hệ âm đơn điệu đã được ước lượng vững. Dù theo hướng giới hạn hay theo bằng chứng mất cấu trúc, hàm ý chung là không có mức FSTS nào mà doanh nghiệp SIDS có thể tận dụng để cải thiện hiệu quả thông qua xuất khẩu trong điều kiện hiện tại. FIP vạch ra một ranh giới biên lý thuyết cho các mô hình phi tuyến phổ quát trong tài liệu về quan hệ quốc tế hóa và hiệu quả.</w:t>
      </w:r>
    </w:p>
    <w:p>
      <w:r>
        <w:pict>
          <v:rect style="width:0;height:1.5pt" o:hralign="center" o:hrstd="t" o:hr="t"/>
        </w:pict>
      </w:r>
    </w:p>
    <w:bookmarkEnd w:id="26"/>
    <w:bookmarkStart w:id="27" w:name="Xb7548f07aa94b47fa4ac305672e1001cc1680aa"/>
    <w:p>
      <w:pPr>
        <w:pStyle w:val="Heading3"/>
      </w:pPr>
      <w:r>
        <w:t xml:space="preserve">5.1.6 Ấn Độ, Điều kiện biên phạm vi áp dụng của khung CDCM (P9)</w:t>
      </w:r>
    </w:p>
    <w:p>
      <w:pPr>
        <w:pStyle w:val="FirstParagraph"/>
      </w:pPr>
      <w:r>
        <w:rPr>
          <w:bCs/>
          <w:b/>
        </w:rPr>
        <w:t xml:space="preserve">Ấn Độ và điều kiện biên phạm vi áp dụng của khung CDCM.</w:t>
      </w:r>
      <w:r>
        <w:t xml:space="preserve"> </w:t>
      </w:r>
      <w:r>
        <w:t xml:space="preserve">Phát hiện ngưỡng phá vỡ tại Ấn Độ (P9 (Ấn Độ)) qua giai đoạn 2014–2025 bổ sung một điều kiện biên quan trọng cho khung CDCM. Trong khi quan hệ U ngược được khung dự đoán giả định môi trường thể chế ổn định, sự sụp đổ độ cong tại đợt 2025 dưới áp lực tích lũy của bãi bỏ tiền mặt, GST, IBC, UPI, PLI, COVID-19 và Atmanirbhar Bharat cho thấy bản thân khung CDCM cũng cần điều kiện ổn định thể chế làm tiền đề. Khung này không khẳng định U ngược là quan hệ phổ quát mà là quan hệ có điều kiện. Sự bác bỏ giả thuyết phổ quát của Bậc 2 thay thế Bậc 1 (qua tương tác âm</w:t>
      </w:r>
      <w:r>
        <w:t xml:space="preserve"> </w:t>
      </w:r>
      <m:oMath>
        <m:r>
          <m:t>β</m:t>
        </m:r>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w:t>
      </w:r>
      <w:r>
        <w:t xml:space="preserve">tại Ấn Độ) cũng tinh chỉnh đề xuất phụ trợ của khung: hạ tầng số công cộng chỉ thay thế năng lực số tư nhân khi hai loại hạ tầng có cùng định hướng mục đích. UPI hỗ trợ giao dịch nội địa hiệu quả nhưng không thay thế hạ tầng tài chính xuyên biên giới (SWIFT, ngân hàng đại lý, tài trợ thương mại) mà doanh nghiệp xuất khẩu yêu cầu.</w:t>
      </w:r>
    </w:p>
    <w:p>
      <w:pPr>
        <w:pStyle w:val="BodyText"/>
      </w:pPr>
      <w:r>
        <w:t xml:space="preserve">Đặt trường hợp Ấn Độ cạnh hai bối cảnh chuyển đổi khác làm rõ kết luận về</w:t>
      </w:r>
      <w:r>
        <w:t xml:space="preserve"> </w:t>
      </w:r>
      <w:r>
        <w:rPr>
          <w:bCs/>
          <w:b/>
        </w:rPr>
        <w:t xml:space="preserve">dị biệt thời gian (H6)</w:t>
      </w:r>
      <w:r>
        <w:t xml:space="preserve">, vốn được kiểm định trực tiếp ở P5 và P3: tại Trung Quốc, điểm uốn ổn định giữa hai đợt 2012–2024 (kiểm định Paternoster không bác bỏ tính bằng nhau,</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trong khi tại Việt Nam điểm uốn dịch chuyển có ý nghĩa giữa 2009 và 2015. H6 do đó</w:t>
      </w:r>
      <w:r>
        <w:t xml:space="preserve"> </w:t>
      </w:r>
      <w:r>
        <w:rPr>
          <w:bCs/>
          <w:b/>
        </w:rPr>
        <w:t xml:space="preserve">không được xác nhận như một xu hướng thời gian đơn điệu</w:t>
      </w:r>
      <w:r>
        <w:t xml:space="preserve">, mà được tinh chỉnh thành một mệnh đề có điều kiện: dạng hàm quốc tế hóa–hiệu quả chỉ dịch chuyển (Việt Nam) hoặc mất cấu trúc (Ấn Độ 2025) khi tốc độ và biên độ thay đổi thể chế đủ lớn, còn giữ ổn định khi thể chế trưởng thành có trật tự (Trung Quốc), nhất quán với cách đọc rằng thời gian tự nó không phải biến điều tiết, mà là vận tốc biến động thể chế tích lũy.</w:t>
      </w:r>
    </w:p>
    <w:p>
      <w:r>
        <w:pict>
          <v:rect style="width:0;height:1.5pt" o:hralign="center" o:hrstd="t" o:hr="t"/>
        </w:pict>
      </w:r>
    </w:p>
    <w:bookmarkEnd w:id="27"/>
    <w:bookmarkStart w:id="28" w:name="Xa3158dd5136100cab093ef0569110b9c1bb5fc2"/>
    <w:p>
      <w:pPr>
        <w:pStyle w:val="Heading3"/>
      </w:pPr>
      <w:r>
        <w:t xml:space="preserve">5.1.7 Tích hợp ba vùng của phổ thể chế: từ chữ U ngược đến mất cấu trúc và đảo dấu</w:t>
      </w:r>
    </w:p>
    <w:p>
      <w:pPr>
        <w:pStyle w:val="FirstParagraph"/>
      </w:pPr>
      <w:r>
        <w:t xml:space="preserve">Đối chiếu bảy nghiên cứu thành phần thực nghiệm cho thấy một cấu trúc ba vùng là trục diễn giải trung tâm của khung lý thuyết CDCM: không phải ba kết quả rời rạc mà là ba đoạn liên tục của cùng một họ đường cong phụ thuộc bối cảnh. Ở vùng giữa của phổ thể chế (chế độ chuyển đổi bậc thấp–trung, Nhóm IV), chữ U ngược định hình rõ nét và tin cậy nhất: điểm uốn toàn mẫu của Nhóm IV ở mức 43,0% (P7) trùng khớp đáng kể với các ước lượng đơn quốc gia độc lập là Việt Nam 39–46% (P3) và Ấn Độ 40,7% năm 2022 (P9). Sự hội tụ của ba ước lượng từ ba nguồn dữ liệu khác nhau quanh một dải hẹp là bằng chứng nội tại mạnh về tính vững của dạng hàm trong chế độ chuyển đổi.</w:t>
      </w:r>
    </w:p>
    <w:p>
      <w:pPr>
        <w:pStyle w:val="BodyText"/>
      </w:pPr>
      <w:r>
        <w:t xml:space="preserve">Ở biên trên của phổ thể chế (chế độ tiên tiến đổi mới, Nhóm I), đường cong duỗi thẳng thành quan hệ gần tuyến tính dương, với nhánh đi xuống bị đẩy ra ngoài miền cường độ xuất khẩu quan sát được. Ba nguồn bằng chứng độc lập hội tụ về kết luận này: Singapore với điểm uốn ước lượng quanh 88,6% nhưng không định vị tin cậy (P4); ước lượng cấp nhóm Advanced trên khung 50 nền với điểm uốn ngoài miền dữ liệu (P7); và Nhật Bản với hiệu ứng tuyến tính dương cao (+0,671, p &lt; 0,001) trong khi số hạng bậc hai không bao giờ tiệm cận ý nghĩa qua mọi mô hình (P10). Bằng chứng Nhật Bản mang sức nặng đặc biệt vì chính các tập đoàn đa quốc gia Nhật Bản là nơi giả thuyết phi tuyến được thiết lập ban đầu; việc nền kinh tế này, khi được quan sát trên bộ công cụ hài hòa, lại nằm trọn trên một nhánh đi lên dài, xác nhận rằng dạng phi tuyến cổ điển là kết quả có điều kiện chứ không phải quy luật phổ quát.</w:t>
      </w:r>
    </w:p>
    <w:p>
      <w:pPr>
        <w:pStyle w:val="BodyText"/>
      </w:pPr>
      <w:r>
        <w:t xml:space="preserve">Ở biên dưới của phổ thể chế (chế độ đang nổi và đảo nhỏ, Nhóm V và VI), quan hệ mất cấu trúc theo hai mức độ khác nhau. Tại Nhóm V, các hệ số không còn ý nghĩa thống kê và dạng hàm mất cấu trúc (P7). Tại Nhóm VI là các nền kinh tế đảo nhỏ, phát hiện vững là dạng chữ U ngược</w:t>
      </w:r>
      <w:r>
        <w:t xml:space="preserve"> </w:t>
      </w:r>
      <w:r>
        <w:rPr>
          <w:bCs/>
          <w:b/>
        </w:rPr>
        <w:t xml:space="preserve">mất cấu trúc</w:t>
      </w:r>
      <w:r>
        <w:t xml:space="preserve"> </w:t>
      </w:r>
      <w:r>
        <w:t xml:space="preserve">(độ dốc không có ý nghĩa và độ cong chỉ đạt mức biên trên mẫu đầy đủ bảy nền Thái Bình Dương), với quan hệ nghiêng về một dạng âm đơn điệu như trường hợp giới hạn lý thuyết, gánh nặng quốc tế hóa bắt buộc (hệ số −1,339 chỉ xuất hiện trên một bản dựng dữ liệu hạn chế ba cụm, mang tính minh họa và nhạy cảm với phiên bản dữ liệu, xem Mục 4.7.8). Như vậy, ba vùng không phải là ba hiện tượng tách biệt mà là biểu hiện liên tục của cùng một cơ chế thể chế: khi đệm thể chế dày, dư địa quốc tế hóa có lợi mở rộng đến mức nhánh suy giảm biến mất; khi đệm thể chế mỏng dần, điểm uốn dịch về phía trái và độ cong sắc nét lên; khi đệm thể chế cạn kiệt, bản thân điểm tối ưu biến mất và phần thưởng của quốc tế hóa chuyển thành tổn thất.</w:t>
      </w:r>
    </w:p>
    <w:p>
      <w:pPr>
        <w:pStyle w:val="BodyText"/>
      </w:pPr>
      <w:r>
        <w:t xml:space="preserve">Một sắc thái quan trọng phân biệt hai cơ chế tạo ra chữ U ngược dọc theo phổ thể chế. Bằng chứng Việt Nam (P3) cho thấy độ cong toàn mẫu trong chế độ chuyển đổi được nhận diện chủ yếu qua biên tham gia, tức bước nhảy năng suất khi doanh nghiệp chuyển từ không xuất khẩu sang xuất khẩu (biên tham gia), chứ không qua độ cong cường độ trong nhóm doanh nghiệp đã xuất khẩu (biên cường độ); khi tái ước lượng chỉ trên doanh nghiệp xuất khẩu, số hạng bậc hai mất ý nghĩa. Bằng chứng Nhật Bản (P10) cho thấy ở biên trên, cơ chế cũng vận hành qua biên tham gia nhưng theo logic tự chọn lọc Melitz (2003): điều quyết định là doanh nghiệp có xuất khẩu hay không, chứ không phải xuất khẩu bao nhiêu, với phần bù năng suất 25,8% cho doanh nghiệp xuất khẩu. Sự dịch chuyển trọng tâm từ biên cường độ ở chế độ chuyển đổi sang biên tham gia ở chế độ tiên tiến là một tinh chỉnh lý thuyết mà khung CDCM phiên bản ban đầu chưa nêu bật, và nó cung cấp một giải thích thống nhất cho việc vì sao đường cong duỗi thẳng ở biên trên.</w:t>
      </w:r>
    </w:p>
    <w:bookmarkEnd w:id="28"/>
    <w:bookmarkStart w:id="29" w:name="X08dece717898d5afcbb01edbe9ac6531a983c78"/>
    <w:p>
      <w:pPr>
        <w:pStyle w:val="Heading3"/>
      </w:pPr>
      <w:r>
        <w:t xml:space="preserve">5.1.8 Sợi chỉ vàng: truy vết tích hợp từ câu hỏi nghiên cứu đến đóng góp lý thuyết</w:t>
      </w:r>
    </w:p>
    <w:p>
      <w:pPr>
        <w:pStyle w:val="FirstParagraph"/>
      </w:pPr>
      <w:r>
        <w:t xml:space="preserve">Để làm rõ rằng luận án là</w:t>
      </w:r>
      <w:r>
        <w:t xml:space="preserve"> </w:t>
      </w:r>
      <w:r>
        <w:rPr>
          <w:bCs/>
          <w:b/>
        </w:rPr>
        <w:t xml:space="preserve">một lập luận tích hợp duy nhất</w:t>
      </w:r>
      <w:r>
        <w:t xml:space="preserve"> </w:t>
      </w:r>
      <w:r>
        <w:t xml:space="preserve">chứ không phải tập hợp rời rạc các nghiên cứu thành phần, Bảng 5.1 truy vết</w:t>
      </w:r>
      <w:r>
        <w:t xml:space="preserve"> </w:t>
      </w:r>
      <w:r>
        <w:t xml:space="preserve">“</w:t>
      </w:r>
      <w:r>
        <w:t xml:space="preserve">sợi chỉ vàng</w:t>
      </w:r>
      <w:r>
        <w:t xml:space="preserve">”</w:t>
      </w:r>
      <w:r>
        <w:t xml:space="preserve"> </w:t>
      </w:r>
      <w:r>
        <w:t xml:space="preserve">xuyên suốt: mỗi câu hỏi nghiên cứu được trả lời bằng những nghiên cứu thành phần cụ thể, kiểm định những giả thuyết xác định, cho ra những phát hiện thực nghiệm có thể đối chiếu, và cùng hội tụ về một đóng góp lý thuyết của khung CDCM–ICRV–FIP. Bảng đọc theo chiều ngang cho thấy tính nhất quán nội tại của từng mắt xích; đọc theo chiều dọc cho thấy cách các mảnh bằng chứng độc lập bồi đắp lẫn nhau thành một tuyên bố thống nhất.</w:t>
      </w:r>
    </w:p>
    <w:p>
      <w:pPr>
        <w:pStyle w:val="BodyText"/>
      </w:pPr>
      <w:r>
        <w:rPr>
          <w:bCs/>
          <w:b/>
        </w:rPr>
        <w:t xml:space="preserve">Bảng 5.1.</w:t>
      </w:r>
      <w:r>
        <w:t xml:space="preserve"> </w:t>
      </w:r>
      <w:r>
        <w:rPr>
          <w:iCs/>
          <w:i/>
        </w:rPr>
        <w:t xml:space="preserve">Sợi chỉ vàng tích hợp: câu hỏi nghiên cứu → nghiên cứu thành phần → giả thuyết → phát hiện thực nghiệm chủ chốt → đóng góp lý thuyết.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RQ</w:t>
            </w:r>
          </w:p>
        </w:tc>
        <w:tc>
          <w:tcPr/>
          <w:p>
            <w:pPr>
              <w:pStyle w:val="Compact"/>
              <w:jc w:val="left"/>
            </w:pPr>
            <w:r>
              <w:t xml:space="preserve">Nghiên cứu (nhóm ICRV)</w:t>
            </w:r>
          </w:p>
        </w:tc>
        <w:tc>
          <w:tcPr/>
          <w:p>
            <w:pPr>
              <w:pStyle w:val="Compact"/>
              <w:jc w:val="left"/>
            </w:pPr>
            <w:r>
              <w:t xml:space="preserve">Giả thuyết</w:t>
            </w:r>
          </w:p>
        </w:tc>
        <w:tc>
          <w:tcPr/>
          <w:p>
            <w:pPr>
              <w:pStyle w:val="Compact"/>
              <w:jc w:val="left"/>
            </w:pPr>
            <w:r>
              <w:t xml:space="preserve">Phát hiện thực nghiệm chủ chốt</w:t>
            </w:r>
          </w:p>
        </w:tc>
        <w:tc>
          <w:tcPr/>
          <w:p>
            <w:pPr>
              <w:pStyle w:val="Compact"/>
              <w:jc w:val="left"/>
            </w:pPr>
            <w:r>
              <w:t xml:space="preserve">Đóng góp lý thuyết</w:t>
            </w:r>
          </w:p>
        </w:tc>
      </w:tr>
      <w:tr>
        <w:tc>
          <w:tcPr/>
          <w:p>
            <w:pPr>
              <w:pStyle w:val="Compact"/>
              <w:jc w:val="left"/>
            </w:pPr>
            <w:r>
              <w:t xml:space="preserve">Cơ sở</w:t>
            </w:r>
          </w:p>
        </w:tc>
        <w:tc>
          <w:tcPr/>
          <w:p>
            <w:pPr>
              <w:pStyle w:val="Compact"/>
              <w:jc w:val="left"/>
            </w:pPr>
            <w:r>
              <w:t xml:space="preserve">P1 — Cơ sở đa quốc gia 17 nền (</w:t>
            </w:r>
            <m:oMath>
              <m:r>
                <m:t>N</m:t>
              </m:r>
              <m:r>
                <m:rPr>
                  <m:sty m:val="p"/>
                </m:rPr>
                <m:t>=</m:t>
              </m:r>
              <m:r>
                <m:t>40.633</m:t>
              </m:r>
            </m:oMath>
            <w:r>
              <w:t xml:space="preserve">)</w:t>
            </w:r>
          </w:p>
        </w:tc>
        <w:tc>
          <w:tcPr/>
          <w:p>
            <w:pPr>
              <w:pStyle w:val="Compact"/>
              <w:jc w:val="left"/>
            </w:pPr>
            <w:r>
              <w:t xml:space="preserve">Nền tảng (CDCM)</w:t>
            </w:r>
          </w:p>
        </w:tc>
        <w:tc>
          <w:tcPr/>
          <w:p>
            <w:pPr>
              <w:pStyle w:val="Compact"/>
              <w:jc w:val="left"/>
            </w:pPr>
            <w:r>
              <w:t xml:space="preserve">Phân tầng năng suất theo vùng;</w:t>
            </w:r>
            <w:r>
              <w:t xml:space="preserve"> </w:t>
            </w:r>
            <w:r>
              <w:rPr>
                <w:bCs/>
                <w:b/>
              </w:rPr>
              <w:t xml:space="preserve">hiệu ứng lá chắn số</w:t>
            </w:r>
            <w:r>
              <w:t xml:space="preserve"> </w:t>
            </w:r>
            <w:r>
              <w:t xml:space="preserve">(rào cản × công nghệ</w:t>
            </w:r>
            <w:r>
              <w:t xml:space="preserve"> </w:t>
            </w:r>
            <m:oMath>
              <m:r>
                <m:rPr>
                  <m:sty m:val="p"/>
                </m:rPr>
                <m:t>+</m:t>
              </m:r>
              <m:r>
                <m:t>0</m:t>
              </m:r>
              <m:r>
                <m:rPr>
                  <m:sty m:val="p"/>
                </m:rPr>
                <m:t>,</m:t>
              </m:r>
              <m:r>
                <m:t>110</m:t>
              </m:r>
            </m:oMath>
            <w:r>
              <w:t xml:space="preserve">,</w:t>
            </w:r>
            <w:r>
              <w:t xml:space="preserve"> </w:t>
            </w:r>
            <m:oMath>
              <m:r>
                <m:t>p</m:t>
              </m:r>
              <m:r>
                <m:rPr>
                  <m:sty m:val="p"/>
                </m:rPr>
                <m:t>&lt;</m:t>
              </m:r>
              <m:r>
                <m:rPr>
                  <m:sty m:val="p"/>
                </m:rPr>
                <m:t>,</m:t>
              </m:r>
              <m:r>
                <m:t>001</m:t>
              </m:r>
            </m:oMath>
            <w:r>
              <w:t xml:space="preserve">)</w:t>
            </w:r>
          </w:p>
        </w:tc>
        <w:tc>
          <w:tcPr/>
          <w:p>
            <w:pPr>
              <w:pStyle w:val="Compact"/>
              <w:jc w:val="left"/>
            </w:pPr>
            <w:r>
              <w:t xml:space="preserve">Đặt nền cho khung CDCM; nguồn gốc</w:t>
            </w:r>
            <w:r>
              <w:t xml:space="preserve"> </w:t>
            </w:r>
            <w:r>
              <w:t xml:space="preserve">“</w:t>
            </w:r>
            <w:r>
              <w:t xml:space="preserve">lá chắn số</w:t>
            </w:r>
            <w:r>
              <w:t xml:space="preserve">”</w:t>
            </w:r>
            <w:r>
              <w:t xml:space="preserve"> </w:t>
            </w:r>
            <w:r>
              <w:t xml:space="preserve">mà P7 mở rộng ra 50 nền</w:t>
            </w:r>
          </w:p>
        </w:tc>
      </w:tr>
      <w:tr>
        <w:tc>
          <w:tcPr/>
          <w:p>
            <w:pPr>
              <w:pStyle w:val="Compact"/>
              <w:jc w:val="left"/>
            </w:pPr>
            <w:r>
              <w:t xml:space="preserve">RQ1</w:t>
            </w:r>
          </w:p>
        </w:tc>
        <w:tc>
          <w:tcPr/>
          <w:p>
            <w:pPr>
              <w:pStyle w:val="Compact"/>
              <w:jc w:val="left"/>
            </w:pPr>
            <w:r>
              <w:t xml:space="preserve">P6 — Phân tích tổng hợp toàn cầu</w:t>
            </w:r>
          </w:p>
        </w:tc>
        <w:tc>
          <w:tcPr/>
          <w:p>
            <w:pPr>
              <w:pStyle w:val="Compact"/>
              <w:jc w:val="left"/>
            </w:pPr>
            <w:r>
              <w:t xml:space="preserve">H1, H5</w:t>
            </w:r>
          </w:p>
        </w:tc>
        <w:tc>
          <w:tcPr/>
          <w:p>
            <w:pPr>
              <w:pStyle w:val="Compact"/>
              <w:jc w:val="left"/>
            </w:pPr>
            <m:oMath>
              <m:r>
                <m:t>k</m:t>
              </m:r>
              <m:r>
                <m:rPr>
                  <m:sty m:val="p"/>
                </m:rPr>
                <m:t>=</m:t>
              </m:r>
              <m:r>
                <m:t>238</m:t>
              </m:r>
            </m:oMath>
            <w:r>
              <w:t xml:space="preserve">; hiệu ứng dương nhỏ</w:t>
            </w:r>
            <w:r>
              <w:t xml:space="preserve"> </w:t>
            </w:r>
            <m:oMath>
              <m:acc>
                <m:accPr>
                  <m:chr m:val="‾"/>
                </m:accPr>
                <m:e>
                  <m:r>
                    <m:t>r</m:t>
                  </m:r>
                </m:e>
              </m:acc>
              <m:r>
                <m:rPr>
                  <m:sty m:val="p"/>
                </m:rPr>
                <m:t>=</m:t>
              </m:r>
              <m:r>
                <m:t>0</m:t>
              </m:r>
              <m:r>
                <m:rPr>
                  <m:sty m:val="p"/>
                </m:rPr>
                <m:t>,</m:t>
              </m:r>
              <m:r>
                <m:t>074</m:t>
              </m:r>
            </m:oMath>
            <w:r>
              <w:t xml:space="preserve">; dị biệt cao</w:t>
            </w:r>
            <w:r>
              <w:t xml:space="preserve"> </w:t>
            </w:r>
            <m:oMath>
              <m:sSup>
                <m:e>
                  <m:r>
                    <m:t>I</m:t>
                  </m:r>
                </m:e>
                <m:sup>
                  <m:r>
                    <m:t>2</m:t>
                  </m:r>
                </m:sup>
              </m:sSup>
              <m:r>
                <m:rPr>
                  <m:sty m:val="p"/>
                </m:rPr>
                <m:t>=</m:t>
              </m:r>
              <m:r>
                <m:t>62</m:t>
              </m:r>
              <m:r>
                <m:rPr>
                  <m:sty m:val="p"/>
                </m:rPr>
                <m:t>,</m:t>
              </m:r>
              <m:r>
                <m:t>4</m:t>
              </m:r>
              <m:r>
                <m:rPr>
                  <m:sty m:val="p"/>
                </m:rPr>
                <m:t>%</m:t>
              </m:r>
            </m:oMath>
            <w:r>
              <w:t xml:space="preserve">; thể chế điều tiết</w:t>
            </w:r>
            <w:r>
              <w:t xml:space="preserve"> </w:t>
            </w:r>
            <m:oMath>
              <m:sSub>
                <m:e>
                  <m:r>
                    <m:t>Q</m:t>
                  </m:r>
                </m:e>
                <m:sub>
                  <m:r>
                    <m:t>M</m:t>
                  </m:r>
                </m:sub>
              </m:sSub>
              <m:r>
                <m:rPr>
                  <m:sty m:val="p"/>
                </m:rPr>
                <m:t>=</m:t>
              </m:r>
              <m:r>
                <m:t>17</m:t>
              </m:r>
              <m:r>
                <m:rPr>
                  <m:sty m:val="p"/>
                </m:rPr>
                <m:t>,</m:t>
              </m:r>
              <m:r>
                <m:t>35</m:t>
              </m:r>
            </m:oMath>
            <w:r>
              <w:t xml:space="preserve"> </w:t>
            </w:r>
            <w:r>
              <w:t xml:space="preserve">(</w:t>
            </w:r>
            <m:oMath>
              <m:r>
                <m:t>p</m:t>
              </m:r>
              <m:r>
                <m:rPr>
                  <m:sty m:val="p"/>
                </m:rPr>
                <m:t>=</m:t>
              </m:r>
              <m:r>
                <m:rPr>
                  <m:sty m:val="p"/>
                </m:rPr>
                <m:t>,</m:t>
              </m:r>
              <m:r>
                <m:t>002</m:t>
              </m:r>
            </m:oMath>
            <w:r>
              <w:t xml:space="preserve">)</w:t>
            </w:r>
          </w:p>
        </w:tc>
        <w:tc>
          <w:tcPr/>
          <w:p>
            <w:pPr>
              <w:pStyle w:val="Compact"/>
              <w:jc w:val="left"/>
            </w:pPr>
            <w:r>
              <w:t xml:space="preserve">Xác lập thực chứng rằng quan hệ I–P dương nhỏ nhưng</w:t>
            </w:r>
            <w:r>
              <w:t xml:space="preserve"> </w:t>
            </w:r>
            <w:r>
              <w:rPr>
                <w:bCs/>
                <w:b/>
              </w:rPr>
              <w:t xml:space="preserve">dị biệt do thể chế</w:t>
            </w:r>
            <w:r>
              <w:t xml:space="preserve"> </w:t>
            </w:r>
            <w:r>
              <w:t xml:space="preserve">— cơ sở cho trục ICRV</w:t>
            </w:r>
          </w:p>
        </w:tc>
      </w:tr>
      <w:tr>
        <w:tc>
          <w:tcPr/>
          <w:p>
            <w:pPr>
              <w:pStyle w:val="Compact"/>
              <w:jc w:val="left"/>
            </w:pPr>
            <w:r>
              <w:t xml:space="preserve">RQ2</w:t>
            </w:r>
          </w:p>
        </w:tc>
        <w:tc>
          <w:tcPr/>
          <w:p>
            <w:pPr>
              <w:pStyle w:val="Compact"/>
              <w:jc w:val="left"/>
            </w:pPr>
            <w:r>
              <w:t xml:space="preserve">P4 — Singapore (I)</w:t>
            </w:r>
          </w:p>
        </w:tc>
        <w:tc>
          <w:tcPr/>
          <w:p>
            <w:pPr>
              <w:pStyle w:val="Compact"/>
              <w:jc w:val="left"/>
            </w:pPr>
            <w:r>
              <w:t xml:space="preserve">H1, H3</w:t>
            </w:r>
          </w:p>
        </w:tc>
        <w:tc>
          <w:tcPr/>
          <w:p>
            <w:pPr>
              <w:pStyle w:val="Compact"/>
              <w:jc w:val="left"/>
            </w:pPr>
            <w:r>
              <w:t xml:space="preserve">Gần tuyến tính dương; điểm uốn ~88,6% (CI rộng, ngoài miền); DAI khuếch đại ở cường độ cao</w:t>
            </w:r>
          </w:p>
        </w:tc>
        <w:tc>
          <w:tcPr/>
          <w:p>
            <w:pPr>
              <w:pStyle w:val="Compact"/>
              <w:jc w:val="left"/>
            </w:pPr>
            <w:r>
              <w:t xml:space="preserve">Biên trên: đường cong</w:t>
            </w:r>
            <w:r>
              <w:t xml:space="preserve"> </w:t>
            </w:r>
            <w:r>
              <w:rPr>
                <w:bCs/>
                <w:b/>
              </w:rPr>
              <w:t xml:space="preserve">duỗi thẳng</w:t>
            </w:r>
            <w:r>
              <w:t xml:space="preserve"> </w:t>
            </w:r>
            <w:r>
              <w:t xml:space="preserve">khi đệm thể chế dày</w:t>
            </w:r>
          </w:p>
        </w:tc>
      </w:tr>
      <w:tr>
        <w:tc>
          <w:tcPr/>
          <w:p>
            <w:pPr>
              <w:pStyle w:val="Compact"/>
              <w:jc w:val="left"/>
            </w:pPr>
            <w:r>
              <w:t xml:space="preserve">RQ2</w:t>
            </w:r>
          </w:p>
        </w:tc>
        <w:tc>
          <w:tcPr/>
          <w:p>
            <w:pPr>
              <w:pStyle w:val="Compact"/>
              <w:jc w:val="left"/>
            </w:pPr>
            <w:r>
              <w:t xml:space="preserve">P3 — Việt Nam (IV)</w:t>
            </w:r>
          </w:p>
        </w:tc>
        <w:tc>
          <w:tcPr/>
          <w:p>
            <w:pPr>
              <w:pStyle w:val="Compact"/>
              <w:jc w:val="left"/>
            </w:pPr>
            <w:r>
              <w:t xml:space="preserve">H1, H2, H3</w:t>
            </w:r>
          </w:p>
        </w:tc>
        <w:tc>
          <w:tcPr/>
          <w:p>
            <w:pPr>
              <w:pStyle w:val="Compact"/>
              <w:jc w:val="left"/>
            </w:pPr>
            <w:r>
              <w:t xml:space="preserve">Chữ U ngược sắc nét, điểm uốn 39,3–46,2%; TCI điều tiết dương</w:t>
            </w:r>
          </w:p>
        </w:tc>
        <w:tc>
          <w:tcPr/>
          <w:p>
            <w:pPr>
              <w:pStyle w:val="Compact"/>
              <w:jc w:val="left"/>
            </w:pPr>
            <w:r>
              <w:t xml:space="preserve">Chế độ neo; phân biệt</w:t>
            </w:r>
            <w:r>
              <w:t xml:space="preserve"> </w:t>
            </w:r>
            <w:r>
              <w:rPr>
                <w:bCs/>
                <w:b/>
              </w:rPr>
              <w:t xml:space="preserve">biên tham gia</w:t>
            </w:r>
            <w:r>
              <w:t xml:space="preserve"> </w:t>
            </w:r>
            <w:r>
              <w:t xml:space="preserve">vs biên cường độ</w:t>
            </w:r>
          </w:p>
        </w:tc>
      </w:tr>
      <w:tr>
        <w:tc>
          <w:tcPr/>
          <w:p>
            <w:pPr>
              <w:pStyle w:val="Compact"/>
              <w:jc w:val="left"/>
            </w:pPr>
            <w:r>
              <w:t xml:space="preserve">RQ2</w:t>
            </w:r>
          </w:p>
        </w:tc>
        <w:tc>
          <w:tcPr/>
          <w:p>
            <w:pPr>
              <w:pStyle w:val="Compact"/>
              <w:jc w:val="left"/>
            </w:pPr>
            <w:r>
              <w:t xml:space="preserve">P5 — Trung Quốc 2012–2024 (III); P2 — DNVVN TQ</w:t>
            </w:r>
          </w:p>
        </w:tc>
        <w:tc>
          <w:tcPr/>
          <w:p>
            <w:pPr>
              <w:pStyle w:val="Compact"/>
              <w:jc w:val="left"/>
            </w:pPr>
            <w:r>
              <w:t xml:space="preserve">H1, H6</w:t>
            </w:r>
          </w:p>
        </w:tc>
        <w:tc>
          <w:tcPr/>
          <w:p>
            <w:pPr>
              <w:pStyle w:val="Compact"/>
              <w:jc w:val="left"/>
            </w:pPr>
            <w:r>
              <w:t xml:space="preserve">Điểm uốn ổn định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P2: 47,8%, bẫy vốn lưu động</w:t>
            </w:r>
          </w:p>
        </w:tc>
        <w:tc>
          <w:tcPr/>
          <w:p>
            <w:pPr>
              <w:pStyle w:val="Compact"/>
              <w:jc w:val="left"/>
            </w:pPr>
            <w:r>
              <w:rPr>
                <w:bCs/>
                <w:b/>
              </w:rPr>
              <w:t xml:space="preserve">Tính bền thời gian</w:t>
            </w:r>
            <w:r>
              <w:t xml:space="preserve"> </w:t>
            </w:r>
            <w:r>
              <w:t xml:space="preserve">của điểm uốn qua một thập kỷ</w:t>
            </w:r>
          </w:p>
        </w:tc>
      </w:tr>
      <w:tr>
        <w:tc>
          <w:tcPr/>
          <w:p>
            <w:pPr>
              <w:pStyle w:val="Compact"/>
              <w:jc w:val="left"/>
            </w:pPr>
            <w:r>
              <w:t xml:space="preserve">RQ3</w:t>
            </w:r>
          </w:p>
        </w:tc>
        <w:tc>
          <w:tcPr/>
          <w:p>
            <w:pPr>
              <w:pStyle w:val="Compact"/>
              <w:jc w:val="left"/>
            </w:pPr>
            <w:r>
              <w:t xml:space="preserve">P7 — Toàn mẫu 50 nền</w:t>
            </w:r>
          </w:p>
        </w:tc>
        <w:tc>
          <w:tcPr/>
          <w:p>
            <w:pPr>
              <w:pStyle w:val="Compact"/>
              <w:jc w:val="left"/>
            </w:pPr>
            <w:r>
              <w:t xml:space="preserve">H1, H2, H3, H5</w:t>
            </w:r>
          </w:p>
        </w:tc>
        <w:tc>
          <w:tcPr/>
          <w:p>
            <w:pPr>
              <w:pStyle w:val="Compact"/>
              <w:jc w:val="left"/>
            </w:pPr>
            <m:oMath>
              <m:r>
                <m:t>N</m:t>
              </m:r>
              <m:r>
                <m:rPr>
                  <m:sty m:val="p"/>
                </m:rPr>
                <m:t>=</m:t>
              </m:r>
              <m:r>
                <m:t>81.022</m:t>
              </m:r>
              <m:r>
                <m:rPr>
                  <m:sty m:val="p"/>
                </m:rPr>
                <m:t>/</m:t>
              </m:r>
              <m:r>
                <m:t>79.080</m:t>
              </m:r>
            </m:oMath>
            <w:r>
              <w:t xml:space="preserve">; điểm uốn 43,6–51,5%; TCI</w:t>
            </w:r>
            <w:r>
              <w:t xml:space="preserve"> </w:t>
            </w:r>
            <m:oMath>
              <m:r>
                <m:rPr>
                  <m:sty m:val="p"/>
                </m:rPr>
                <m:t>+</m:t>
              </m:r>
              <m:r>
                <m:t>0</m:t>
              </m:r>
              <m:r>
                <m:rPr>
                  <m:sty m:val="p"/>
                </m:rPr>
                <m:t>,</m:t>
              </m:r>
              <m:r>
                <m:t>141</m:t>
              </m:r>
            </m:oMath>
            <w:r>
              <w:t xml:space="preserve">, DAI</w:t>
            </w:r>
            <w:r>
              <w:t xml:space="preserve"> </w:t>
            </w:r>
            <m:oMath>
              <m:r>
                <m:rPr>
                  <m:sty m:val="p"/>
                </m:rPr>
                <m:t>+</m:t>
              </m:r>
              <m:r>
                <m:t>0</m:t>
              </m:r>
              <m:r>
                <m:rPr>
                  <m:sty m:val="p"/>
                </m:rPr>
                <m:t>,</m:t>
              </m:r>
              <m:r>
                <m:t>201</m:t>
              </m:r>
            </m:oMath>
            <w:r>
              <w:t xml:space="preserve"> </w:t>
            </w:r>
            <w:r>
              <w:t xml:space="preserve">(</w:t>
            </w:r>
            <m:oMath>
              <m:r>
                <m:t>p</m:t>
              </m:r>
              <m:r>
                <m:rPr>
                  <m:sty m:val="p"/>
                </m:rPr>
                <m:t>&lt;</m:t>
              </m:r>
              <m:r>
                <m:rPr>
                  <m:sty m:val="p"/>
                </m:rPr>
                <m:t>,</m:t>
              </m:r>
              <m:r>
                <m:t>001</m:t>
              </m:r>
            </m:oMath>
            <w:r>
              <w:t xml:space="preserve">) nâng mặt bằng</w:t>
            </w:r>
          </w:p>
        </w:tc>
        <w:tc>
          <w:tcPr/>
          <w:p>
            <w:pPr>
              <w:pStyle w:val="Compact"/>
              <w:jc w:val="left"/>
            </w:pPr>
            <w:r>
              <w:t xml:space="preserve">Khái quát hóa CDCM; TCI/DAI là</w:t>
            </w:r>
            <w:r>
              <w:t xml:space="preserve"> </w:t>
            </w:r>
            <w:r>
              <w:rPr>
                <w:bCs/>
                <w:b/>
              </w:rPr>
              <w:t xml:space="preserve">bộ nâng mặt bằng phổ quát</w:t>
            </w:r>
            <w:r>
              <w:t xml:space="preserve">, không uốn đường cong</w:t>
            </w:r>
          </w:p>
        </w:tc>
      </w:tr>
      <w:tr>
        <w:tc>
          <w:tcPr/>
          <w:p>
            <w:pPr>
              <w:pStyle w:val="Compact"/>
              <w:jc w:val="left"/>
            </w:pPr>
            <w:r>
              <w:t xml:space="preserve">RQ3</w:t>
            </w:r>
          </w:p>
        </w:tc>
        <w:tc>
          <w:tcPr/>
          <w:p>
            <w:pPr>
              <w:pStyle w:val="Compact"/>
              <w:jc w:val="left"/>
            </w:pPr>
            <w:r>
              <w:t xml:space="preserve">P8 — Pacific SIDS (VI)</w:t>
            </w:r>
          </w:p>
        </w:tc>
        <w:tc>
          <w:tcPr/>
          <w:p>
            <w:pPr>
              <w:pStyle w:val="Compact"/>
              <w:jc w:val="left"/>
            </w:pPr>
            <w:r>
              <w:t xml:space="preserve">H1b</w:t>
            </w:r>
          </w:p>
        </w:tc>
        <w:tc>
          <w:tcPr/>
          <w:p>
            <w:pPr>
              <w:pStyle w:val="Compact"/>
              <w:jc w:val="left"/>
            </w:pPr>
            <w:r>
              <w:t xml:space="preserve">Mất cấu trúc: độ dốc</w:t>
            </w:r>
            <w:r>
              <w:t xml:space="preserve"> </w:t>
            </w:r>
            <m:oMath>
              <m:r>
                <m:rPr>
                  <m:sty m:val="p"/>
                </m:rPr>
                <m:t>−</m:t>
              </m:r>
              <m:r>
                <m:t>0</m:t>
              </m:r>
              <m:r>
                <m:rPr>
                  <m:sty m:val="p"/>
                </m:rPr>
                <m:t>,</m:t>
              </m:r>
              <m:r>
                <m:t>085</m:t>
              </m:r>
            </m:oMath>
            <w:r>
              <w:t xml:space="preserve"> </w:t>
            </w:r>
            <w:r>
              <w:t xml:space="preserve">(</w:t>
            </w:r>
            <m:oMath>
              <m:sSub>
                <m:e>
                  <m:r>
                    <m:t>p</m:t>
                  </m:r>
                </m:e>
                <m:sub>
                  <m:r>
                    <m:rPr>
                      <m:nor/>
                      <m:sty m:val="p"/>
                    </m:rPr>
                    <m:t>wild</m:t>
                  </m:r>
                </m:sub>
              </m:sSub>
              <m:r>
                <m:rPr>
                  <m:sty m:val="p"/>
                </m:rPr>
                <m:t>=</m:t>
              </m:r>
              <m:r>
                <m:rPr>
                  <m:sty m:val="p"/>
                </m:rPr>
                <m:t>,</m:t>
              </m:r>
              <m:r>
                <m:t>66</m:t>
              </m:r>
            </m:oMath>
            <w:r>
              <w:t xml:space="preserve">), độ cong</w:t>
            </w:r>
            <w:r>
              <w:t xml:space="preserve"> </w:t>
            </w:r>
            <m:oMath>
              <m:r>
                <m:rPr>
                  <m:sty m:val="p"/>
                </m:rPr>
                <m:t>+</m:t>
              </m:r>
              <m:r>
                <m:t>0</m:t>
              </m:r>
              <m:r>
                <m:rPr>
                  <m:sty m:val="p"/>
                </m:rPr>
                <m:t>,</m:t>
              </m:r>
              <m:r>
                <m:t>696</m:t>
              </m:r>
            </m:oMath>
            <w:r>
              <w:t xml:space="preserve"> </w:t>
            </w:r>
            <w:r>
              <w:t xml:space="preserve">(</w:t>
            </w:r>
            <m:oMath>
              <m:sSub>
                <m:e>
                  <m:r>
                    <m:t>p</m:t>
                  </m:r>
                </m:e>
                <m:sub>
                  <m:r>
                    <m:rPr>
                      <m:nor/>
                      <m:sty m:val="p"/>
                    </m:rPr>
                    <m:t>wild</m:t>
                  </m:r>
                </m:sub>
              </m:sSub>
              <m:r>
                <m:rPr>
                  <m:sty m:val="p"/>
                </m:rPr>
                <m:t>=</m:t>
              </m:r>
              <m:r>
                <m:rPr>
                  <m:sty m:val="p"/>
                </m:rPr>
                <m:t>,</m:t>
              </m:r>
              <m:r>
                <m:t>082</m:t>
              </m:r>
            </m:oMath>
            <w:r>
              <w:t xml:space="preserve"> </w:t>
            </w:r>
            <w:r>
              <w:t xml:space="preserve">biên);</w:t>
            </w:r>
            <w:r>
              <w:t xml:space="preserve"> </w:t>
            </w:r>
            <m:oMath>
              <m:r>
                <m:t>N</m:t>
              </m:r>
              <m:r>
                <m:rPr>
                  <m:sty m:val="p"/>
                </m:rPr>
                <m:t>=</m:t>
              </m:r>
              <m:r>
                <m:t>1.450</m:t>
              </m:r>
            </m:oMath>
          </w:p>
        </w:tc>
        <w:tc>
          <w:tcPr/>
          <w:p>
            <w:pPr>
              <w:pStyle w:val="Compact"/>
              <w:jc w:val="left"/>
            </w:pPr>
            <w:r>
              <w:t xml:space="preserve">Định danh</w:t>
            </w:r>
            <w:r>
              <w:t xml:space="preserve"> </w:t>
            </w:r>
            <w:r>
              <w:rPr>
                <w:bCs/>
                <w:b/>
              </w:rPr>
              <w:t xml:space="preserve">FIP</w:t>
            </w:r>
            <w:r>
              <w:t xml:space="preserve"> </w:t>
            </w:r>
            <w:r>
              <w:t xml:space="preserve">— điều kiện biên cực trị của chữ U ngược</w:t>
            </w:r>
          </w:p>
        </w:tc>
      </w:tr>
      <w:tr>
        <w:tc>
          <w:tcPr/>
          <w:p>
            <w:pPr>
              <w:pStyle w:val="Compact"/>
              <w:jc w:val="left"/>
            </w:pPr>
            <w:r>
              <w:t xml:space="preserve">RQ4</w:t>
            </w:r>
          </w:p>
        </w:tc>
        <w:tc>
          <w:tcPr/>
          <w:p>
            <w:pPr>
              <w:pStyle w:val="Compact"/>
              <w:jc w:val="left"/>
            </w:pPr>
            <w:r>
              <w:t xml:space="preserve">P7 — Toàn phổ ICRV</w:t>
            </w:r>
          </w:p>
        </w:tc>
        <w:tc>
          <w:tcPr/>
          <w:p>
            <w:pPr>
              <w:pStyle w:val="Compact"/>
              <w:jc w:val="left"/>
            </w:pPr>
            <w:r>
              <w:t xml:space="preserve">H5</w:t>
            </w:r>
          </w:p>
        </w:tc>
        <w:tc>
          <w:tcPr/>
          <w:p>
            <w:pPr>
              <w:pStyle w:val="Compact"/>
              <w:jc w:val="left"/>
            </w:pPr>
            <w:r>
              <w:t xml:space="preserve">Điểm uốn dịch theo chế độ (Nhóm IV 43,0% → Nhóm I gần tuyến tính → Nhóm V/VI mất cấu trúc)</w:t>
            </w:r>
          </w:p>
        </w:tc>
        <w:tc>
          <w:tcPr/>
          <w:p>
            <w:pPr>
              <w:pStyle w:val="Compact"/>
              <w:jc w:val="left"/>
            </w:pPr>
            <w:r>
              <w:t xml:space="preserve">Thể chế điều tiết cả</w:t>
            </w:r>
            <w:r>
              <w:t xml:space="preserve"> </w:t>
            </w:r>
            <w:r>
              <w:rPr>
                <w:bCs/>
                <w:b/>
              </w:rPr>
              <w:t xml:space="preserve">dạng hàm</w:t>
            </w:r>
            <w:r>
              <w:t xml:space="preserve">, không chỉ độ lớn —</w:t>
            </w:r>
            <w:r>
              <w:t xml:space="preserve"> </w:t>
            </w:r>
            <w:r>
              <w:t xml:space="preserve">“</w:t>
            </w:r>
            <w:r>
              <w:t xml:space="preserve">có điều kiện theo bối cảnh</w:t>
            </w:r>
            <w:r>
              <w:t xml:space="preserve">”</w:t>
            </w:r>
          </w:p>
        </w:tc>
      </w:tr>
      <w:tr>
        <w:tc>
          <w:tcPr/>
          <w:p>
            <w:pPr>
              <w:pStyle w:val="Compact"/>
              <w:jc w:val="left"/>
            </w:pPr>
            <w:r>
              <w:t xml:space="preserve">RQ4</w:t>
            </w:r>
          </w:p>
        </w:tc>
        <w:tc>
          <w:tcPr/>
          <w:p>
            <w:pPr>
              <w:pStyle w:val="Compact"/>
              <w:jc w:val="left"/>
            </w:pPr>
            <w:r>
              <w:t xml:space="preserve">P9 — Ấn Độ 2014–2025 (IV)</w:t>
            </w:r>
          </w:p>
        </w:tc>
        <w:tc>
          <w:tcPr/>
          <w:p>
            <w:pPr>
              <w:pStyle w:val="Compact"/>
              <w:jc w:val="left"/>
            </w:pPr>
            <w:r>
              <w:t xml:space="preserve">H1c</w:t>
            </w:r>
          </w:p>
        </w:tc>
        <w:tc>
          <w:tcPr/>
          <w:p>
            <w:pPr>
              <w:pStyle w:val="Compact"/>
              <w:jc w:val="left"/>
            </w:pPr>
            <w:r>
              <w:rPr>
                <w:bCs/>
                <w:b/>
              </w:rPr>
              <w:t xml:space="preserve">Tan biến</w:t>
            </w:r>
            <w:r>
              <w:t xml:space="preserve"> </w:t>
            </w:r>
            <w:r>
              <w:t xml:space="preserve">điểm uốn: 61,8% (2014) → 40,7% (2022) → mất ý nghĩa độ cong (2025:</w:t>
            </w:r>
            <w:r>
              <w:t xml:space="preserve"> </w:t>
            </w:r>
            <m:oMath>
              <m:sSub>
                <m:e>
                  <m:r>
                    <m:t>β</m:t>
                  </m:r>
                </m:e>
                <m:sub>
                  <m:r>
                    <m:t>2</m:t>
                  </m:r>
                </m:sub>
              </m:sSub>
              <m:r>
                <m:rPr>
                  <m:sty m:val="p"/>
                </m:rPr>
                <m:t>=</m:t>
              </m:r>
              <m:r>
                <m:rPr>
                  <m:sty m:val="p"/>
                </m:rPr>
                <m:t>−</m:t>
              </m:r>
              <m:r>
                <m:t>0</m:t>
              </m:r>
              <m:r>
                <m:rPr>
                  <m:sty m:val="p"/>
                </m:rPr>
                <m:t>,</m:t>
              </m:r>
              <m:r>
                <m:t>16</m:t>
              </m:r>
            </m:oMath>
            <w:r>
              <w:t xml:space="preserve">,</w:t>
            </w:r>
            <w:r>
              <w:t xml:space="preserve"> </w:t>
            </w:r>
            <m:oMath>
              <m:r>
                <m:t>p</m:t>
              </m:r>
              <m:r>
                <m:rPr>
                  <m:sty m:val="p"/>
                </m:rPr>
                <m:t>=</m:t>
              </m:r>
              <m:r>
                <m:rPr>
                  <m:sty m:val="p"/>
                </m:rPr>
                <m:t>,</m:t>
              </m:r>
              <m:r>
                <m:t>42</m:t>
              </m:r>
            </m:oMath>
            <w:r>
              <w:t xml:space="preserve">)</w:t>
            </w:r>
          </w:p>
        </w:tc>
        <w:tc>
          <w:tcPr/>
          <w:p>
            <w:pPr>
              <w:pStyle w:val="Compact"/>
              <w:jc w:val="left"/>
            </w:pPr>
            <w:r>
              <w:t xml:space="preserve">Chuyển đổi thể chế cực mạnh</w:t>
            </w:r>
            <w:r>
              <w:t xml:space="preserve"> </w:t>
            </w:r>
            <w:r>
              <w:rPr>
                <w:bCs/>
                <w:b/>
              </w:rPr>
              <w:t xml:space="preserve">hòa tan</w:t>
            </w:r>
            <w:r>
              <w:t xml:space="preserve"> </w:t>
            </w:r>
            <w:r>
              <w:t xml:space="preserve">chứ không chỉ dịch ngưỡng (điều kiện biên thời gian)</w:t>
            </w:r>
          </w:p>
        </w:tc>
      </w:tr>
      <w:tr>
        <w:tc>
          <w:tcPr/>
          <w:p>
            <w:pPr>
              <w:pStyle w:val="Compact"/>
              <w:jc w:val="left"/>
            </w:pPr>
            <w:r>
              <w:t xml:space="preserve">RQ4</w:t>
            </w:r>
          </w:p>
        </w:tc>
        <w:tc>
          <w:tcPr/>
          <w:p>
            <w:pPr>
              <w:pStyle w:val="Compact"/>
              <w:jc w:val="left"/>
            </w:pPr>
            <w:r>
              <w:t xml:space="preserve">P10 — Nhật Bản 2025 (I)</w:t>
            </w:r>
          </w:p>
        </w:tc>
        <w:tc>
          <w:tcPr/>
          <w:p>
            <w:pPr>
              <w:pStyle w:val="Compact"/>
              <w:jc w:val="left"/>
            </w:pPr>
            <w:r>
              <w:t xml:space="preserve">H1 (biên trên)</w:t>
            </w:r>
          </w:p>
        </w:tc>
        <w:tc>
          <w:tcPr/>
          <w:p>
            <w:pPr>
              <w:pStyle w:val="Compact"/>
              <w:jc w:val="left"/>
            </w:pPr>
            <w:r>
              <w:t xml:space="preserve">Gần tuyến tính dương, điểm uốn ngoài miền; phần bù xuất khẩu 25,8%</w:t>
            </w:r>
          </w:p>
        </w:tc>
        <w:tc>
          <w:tcPr/>
          <w:p>
            <w:pPr>
              <w:pStyle w:val="Compact"/>
              <w:jc w:val="left"/>
            </w:pPr>
            <w:r>
              <w:t xml:space="preserve">Xác nhận</w:t>
            </w:r>
            <w:r>
              <w:t xml:space="preserve"> </w:t>
            </w:r>
            <w:r>
              <w:rPr>
                <w:bCs/>
                <w:b/>
              </w:rPr>
              <w:t xml:space="preserve">dự đoán biên trên</w:t>
            </w:r>
            <w:r>
              <w:t xml:space="preserve">; cơ chế biên tham gia (Melitz, 2003)</w:t>
            </w:r>
          </w:p>
        </w:tc>
      </w:tr>
      <w:tr>
        <w:tc>
          <w:tcPr/>
          <w:p>
            <w:pPr>
              <w:pStyle w:val="Compact"/>
              <w:jc w:val="left"/>
            </w:pPr>
            <w:r>
              <w:t xml:space="preserve">RQ4</w:t>
            </w:r>
          </w:p>
        </w:tc>
        <w:tc>
          <w:tcPr/>
          <w:p>
            <w:pPr>
              <w:pStyle w:val="Compact"/>
              <w:jc w:val="left"/>
            </w:pPr>
            <w:r>
              <w:t xml:space="preserve">Chương sách — Ấn Độ, quản trị (IV)</w:t>
            </w:r>
          </w:p>
        </w:tc>
        <w:tc>
          <w:tcPr/>
          <w:p>
            <w:pPr>
              <w:pStyle w:val="Compact"/>
              <w:jc w:val="left"/>
            </w:pPr>
            <w:r>
              <w:t xml:space="preserve">H4</w:t>
            </w:r>
          </w:p>
        </w:tc>
        <w:tc>
          <w:tcPr/>
          <w:p>
            <w:pPr>
              <w:pStyle w:val="Compact"/>
              <w:jc w:val="left"/>
            </w:pPr>
            <w:r>
              <w:t xml:space="preserve">ROS: kinh nghiệm</w:t>
            </w:r>
            <w:r>
              <w:t xml:space="preserve"> </w:t>
            </w:r>
            <m:oMath>
              <m:r>
                <m:rPr>
                  <m:sty m:val="p"/>
                </m:rPr>
                <m:t>+</m:t>
              </m:r>
              <m:r>
                <m:t>1</m:t>
              </m:r>
              <m:r>
                <m:rPr>
                  <m:sty m:val="p"/>
                </m:rPr>
                <m:t>,</m:t>
              </m:r>
              <m:r>
                <m:t>55</m:t>
              </m:r>
            </m:oMath>
            <w:r>
              <w:t xml:space="preserve">, lãnh đạo nữ</w:t>
            </w:r>
            <w:r>
              <w:t xml:space="preserve"> </w:t>
            </w:r>
            <m:oMath>
              <m:r>
                <m:rPr>
                  <m:sty m:val="p"/>
                </m:rPr>
                <m:t>+</m:t>
              </m:r>
              <m:r>
                <m:t>77</m:t>
              </m:r>
              <m:r>
                <m:rPr>
                  <m:sty m:val="p"/>
                </m:rPr>
                <m:t>,</m:t>
              </m:r>
              <m:r>
                <m:t>03</m:t>
              </m:r>
            </m:oMath>
            <w:r>
              <w:t xml:space="preserve"> </w:t>
            </w:r>
            <w:r>
              <w:t xml:space="preserve">điều tiết dương (</w:t>
            </w:r>
            <m:oMath>
              <m:r>
                <m:t>N</m:t>
              </m:r>
              <m:r>
                <m:rPr>
                  <m:sty m:val="p"/>
                </m:rPr>
                <m:t>=</m:t>
              </m:r>
              <m:r>
                <m:t>380</m:t>
              </m:r>
            </m:oMath>
            <w:r>
              <w:t xml:space="preserve">)</w:t>
            </w:r>
          </w:p>
        </w:tc>
        <w:tc>
          <w:tcPr/>
          <w:p>
            <w:pPr>
              <w:pStyle w:val="Compact"/>
              <w:jc w:val="left"/>
            </w:pPr>
            <w:r>
              <w:t xml:space="preserve">Bằng chứng đơn quốc gia cho</w:t>
            </w:r>
            <w:r>
              <w:t xml:space="preserve"> </w:t>
            </w:r>
            <w:r>
              <w:rPr>
                <w:bCs/>
                <w:b/>
              </w:rPr>
              <w:t xml:space="preserve">tầng quản trị</w:t>
            </w:r>
            <w:r>
              <w:t xml:space="preserve"> </w:t>
            </w:r>
            <w:r>
              <w:t xml:space="preserve">của CDCM</w:t>
            </w:r>
          </w:p>
        </w:tc>
      </w:tr>
    </w:tbl>
    <w:p>
      <w:pPr>
        <w:pStyle w:val="BodyText"/>
      </w:pPr>
      <w:r>
        <w:rPr>
          <w:iCs/>
          <w:i/>
        </w:rPr>
        <w:t xml:space="preserve">Ghi chú: Các con số trích nguyên từ Mục 5.6.1 và các mục kết quả tương ứng (Mục 4.2–4.9). Nhóm ICRV: I = tiên tiến đổi mới; III = trung bình cao; IV = chuyển đổi thu nhập trung bình thấp; VI = SIDS. Nguồn: tác giả tổng hợp.</w:t>
      </w:r>
    </w:p>
    <w:p>
      <w:pPr>
        <w:pStyle w:val="BodyText"/>
      </w:pPr>
      <w:r>
        <w:t xml:space="preserve">Đọc dọc Bảng 5.1, toàn bộ mười nghiên cứu thành phần cùng chương sách bổ sung, nghiên cứu nền tảng 17 nền (P1), một phân tích tổng hợp toàn cầu (P6), năm ước lượng đơn quốc gia trải khắp phổ thể chế (P2–P5, P9), một kiểm định toàn mẫu 50 nền (P7), hai trường hợp biên (P8 SIDS, P10 Nhật Bản), và bằng chứng tầng quản trị từ chương sách, hội tụ về</w:t>
      </w:r>
      <w:r>
        <w:t xml:space="preserve"> </w:t>
      </w:r>
      <w:r>
        <w:rPr>
          <w:bCs/>
          <w:b/>
        </w:rPr>
        <w:t xml:space="preserve">một tuyên bố lý thuyết duy nhất có thể bác bỏ</w:t>
      </w:r>
      <w:r>
        <w:t xml:space="preserve">:</w:t>
      </w:r>
      <w:r>
        <w:t xml:space="preserve"> </w:t>
      </w:r>
      <w:r>
        <w:rPr>
          <w:iCs/>
          <w:i/>
        </w:rPr>
        <w:t xml:space="preserve">mức độ quốc tế hóa cải thiện hiệu quả doanh nghiệp theo một dạng hàm mà bản thân dạng hàm đó là một hàm của vị trí thể chế</w:t>
      </w:r>
      <w:r>
        <w:t xml:space="preserve">. Cụ thể, độ dày đệm thể chế quyết định liệu quan hệ I–P là gần tuyến tính dương (biên trên), chữ U ngược sắc nét (chế độ chuyển đổi), hay mất cấu trúc và đảo dấu (biên dưới). Tuyên bố này đưa luận điểm kinh điển</w:t>
      </w:r>
      <w:r>
        <w:t xml:space="preserve"> </w:t>
      </w:r>
      <w:r>
        <w:t xml:space="preserve">“</w:t>
      </w:r>
      <w:r>
        <w:t xml:space="preserve">bối cảnh quan trọng</w:t>
      </w:r>
      <w:r>
        <w:t xml:space="preserve">”</w:t>
      </w:r>
      <w:r>
        <w:t xml:space="preserve"> </w:t>
      </w:r>
      <w:r>
        <w:t xml:space="preserve">từ một nhận định định tính (thể chế điều tiết</w:t>
      </w:r>
      <w:r>
        <w:t xml:space="preserve"> </w:t>
      </w:r>
      <w:r>
        <w:rPr>
          <w:iCs/>
          <w:i/>
        </w:rPr>
        <w:t xml:space="preserve">độ lớn</w:t>
      </w:r>
      <w:r>
        <w:t xml:space="preserve"> </w:t>
      </w:r>
      <w:r>
        <w:t xml:space="preserve">hiệu ứng) thành một mệnh đề định lượng kiểm định được (thể chế điều tiết</w:t>
      </w:r>
      <w:r>
        <w:t xml:space="preserve"> </w:t>
      </w:r>
      <w:r>
        <w:rPr>
          <w:iCs/>
          <w:i/>
        </w:rPr>
        <w:t xml:space="preserve">dấu và dạng</w:t>
      </w:r>
      <w:r>
        <w:t xml:space="preserve"> </w:t>
      </w:r>
      <w:r>
        <w:t xml:space="preserve">hiệu ứng), và xác định tường minh điểm, chế độ SIDS, mà tại đó cả họ lý thuyết chữ U ngược không còn ứng dụng được.</w:t>
      </w:r>
    </w:p>
    <w:bookmarkEnd w:id="29"/>
    <w:bookmarkEnd w:id="30"/>
    <w:bookmarkStart w:id="38" w:name="so-sánh-với-nghiên-cứu-trước-đây"/>
    <w:p>
      <w:pPr>
        <w:pStyle w:val="Heading2"/>
      </w:pPr>
      <w:r>
        <w:t xml:space="preserve">5.2 So sánh với nghiên cứu trước đây</w:t>
      </w:r>
    </w:p>
    <w:bookmarkStart w:id="31" w:name="nhất-quán-với-cơ-sở-icbef-2024"/>
    <w:p>
      <w:pPr>
        <w:pStyle w:val="Heading3"/>
      </w:pPr>
      <w:r>
        <w:t xml:space="preserve">5.2.1 Nhất quán với cơ sở ICBEF 2024</w:t>
      </w:r>
    </w:p>
    <w:p>
      <w:pPr>
        <w:pStyle w:val="FirstParagraph"/>
      </w:pPr>
      <w:r>
        <w:t xml:space="preserve">Kết quả hiệu ứng gộp</w:t>
      </w:r>
      <w:r>
        <w:t xml:space="preserve"> </w:t>
      </w:r>
      <m:oMath>
        <m:r>
          <m:t>r</m:t>
        </m:r>
        <m:r>
          <m:rPr>
            <m:sty m:val="p"/>
          </m:rPr>
          <m:t>=</m:t>
        </m:r>
        <m:r>
          <m:t>0</m:t>
        </m:r>
        <m:r>
          <m:rPr>
            <m:sty m:val="p"/>
          </m:rPr>
          <m:t>,</m:t>
        </m:r>
        <m:r>
          <m:t>074</m:t>
        </m:r>
      </m:oMath>
      <w:r>
        <w:t xml:space="preserve"> </w:t>
      </w:r>
      <w:r>
        <w:t xml:space="preserve">(P6) nhất quán hoàn toàn với</w:t>
      </w:r>
      <w:r>
        <w:t xml:space="preserve"> </w:t>
      </w:r>
      <m:oMath>
        <m:r>
          <m:t>r</m:t>
        </m:r>
        <m:r>
          <m:rPr>
            <m:sty m:val="p"/>
          </m:rPr>
          <m:t>=</m:t>
        </m:r>
        <m:r>
          <m:t>0</m:t>
        </m:r>
        <m:r>
          <m:rPr>
            <m:sty m:val="p"/>
          </m:rPr>
          <m:t>,</m:t>
        </m:r>
        <m:r>
          <m:t>07</m:t>
        </m:r>
      </m:oMath>
      <w:r>
        <w:t xml:space="preserve"> </w:t>
      </w:r>
      <w:r>
        <w:t xml:space="preserve">từ phân tích tổng hợp cơ sở đã công bố tại hội nghị ICBEF 2024 (nghiên cứu thành phần P1–P2 của luận án). Sự hội tụ này là đáng kể vì P6 mở rộng mẫu gộp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đồng thời áp dụng cấu trúc ba tầng phức tạp hơn. Tính vững của hiệu ứng gộp khi mở rộng mẫu gộp nghiên cứu là bằng chứng về tính ổn định của cơ sở ước lượng.</w:t>
      </w:r>
    </w:p>
    <w:p>
      <w:pPr>
        <w:pStyle w:val="BodyText"/>
      </w:pPr>
      <w:r>
        <w:t xml:space="preserve">Tuy nhiên, đóng góp của P6 so với cơ sở không phải ở gộp</w:t>
      </w:r>
      <w:r>
        <w:t xml:space="preserve"> </w:t>
      </w:r>
      <m:oMath>
        <m:r>
          <m:t>r</m:t>
        </m:r>
      </m:oMath>
      <w:r>
        <w:t xml:space="preserve"> </w:t>
      </w:r>
      <w:r>
        <w:t xml:space="preserve">mà ở cấu trúc dị biệt: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tầng 2 và 8,4% tầng 3 là thông tin mới mà phân tích tổng hợp đơn tầng không cung cấp. Điều này thay đổi hiểu biết về nguồn gốc của dị biệt trong tài liệu, vấn đề chủ yếu là</w:t>
      </w:r>
      <w:r>
        <w:t xml:space="preserve"> </w:t>
      </w:r>
      <w:r>
        <w:rPr>
          <w:bCs/>
          <w:b/>
        </w:rPr>
        <w:t xml:space="preserve">đo lường bên trong nghiên cứu</w:t>
      </w:r>
      <w:r>
        <w:t xml:space="preserve">, không phải sự bất đồng căn bản giữa các nghiên cứu.</w:t>
      </w:r>
    </w:p>
    <w:bookmarkEnd w:id="31"/>
    <w:bookmarkStart w:id="32" w:name="X7b8db85450aaa41ba255e0d181ebc5c5ae65c48"/>
    <w:p>
      <w:pPr>
        <w:pStyle w:val="Heading3"/>
      </w:pPr>
      <w:r>
        <w:t xml:space="preserve">5.2.2 Vượt qua Lu và Beamish (2004) và Contractor et al. (2003)</w:t>
      </w:r>
    </w:p>
    <w:p>
      <w:pPr>
        <w:pStyle w:val="FirstParagraph"/>
      </w:pPr>
      <w:r>
        <w:t xml:space="preserve">Lu và Beamish (2004) và Contractor et al. (2003) là hai công trình nền tảng về quan hệ phi tuyến quốc tế hóa và hiệu quả. Lu và Beamish (2004) tìm điểm uốn khoảng 60% FSTS trong mẫu doanh nghiệp Nhật Bản, trong khi Contractor et al. (2003) đề xuất đường cong chữ S ba giai đoạn. Luận án này vượt qua hai công trình đó theo ba hướng:</w:t>
      </w:r>
    </w:p>
    <w:p>
      <w:pPr>
        <w:pStyle w:val="BodyText"/>
      </w:pPr>
      <w:r>
        <w:rPr>
          <w:bCs/>
          <w:b/>
        </w:rPr>
        <w:t xml:space="preserve">Thứ nhất</w:t>
      </w:r>
      <w:r>
        <w:t xml:space="preserve">, luận án chứng minh rằng điểm uốn</w:t>
      </w:r>
      <w:r>
        <w:t xml:space="preserve"> </w:t>
      </w:r>
      <w:r>
        <w:rPr>
          <w:bCs/>
          <w:b/>
        </w:rPr>
        <w:t xml:space="preserve">không cố định</w:t>
      </w:r>
      <w:r>
        <w:t xml:space="preserve"> </w:t>
      </w:r>
      <w:r>
        <w:t xml:space="preserve">mà phụ thuộc vào bối cảnh ICRV: từ TP ≈ 88,6% (Singapore, tiên tiến đổi mới; lưu ý điểm uốn này không định vị tin cậy do CI vượt ngưỡng khả thi, xem Mục 4.3) đến TP ≈ 39,7% (Việt Nam pooled, chuyển đổi thu nhập trung bình thấp), với Trung Quốc ở mức trung gian (TP ≈ 48,78%). Không có một điểm uốn phổ quát cho tất cả bối cảnh.</w:t>
      </w:r>
    </w:p>
    <w:p>
      <w:pPr>
        <w:pStyle w:val="BodyText"/>
      </w:pPr>
      <w:r>
        <w:rPr>
          <w:bCs/>
          <w:b/>
        </w:rPr>
        <w:t xml:space="preserve">Thứ hai</w:t>
      </w:r>
      <w:r>
        <w:t xml:space="preserve">, luận án xác định trường hợp biên tại SIDS, nơi dạng chữ U ngược</w:t>
      </w:r>
      <w:r>
        <w:t xml:space="preserve"> </w:t>
      </w:r>
      <w:r>
        <w:rPr>
          <w:bCs/>
          <w:b/>
        </w:rPr>
        <w:t xml:space="preserve">mất cấu trúc</w:t>
      </w:r>
      <w:r>
        <w:t xml:space="preserve"> </w:t>
      </w:r>
      <w:r>
        <w:t xml:space="preserve">(không còn độ cong hay độ dốc có ý nghĩa) thay vì tuân theo đường cong chữ S hay chữ U ngược; FIP được nêu như trường hợp giới hạn lý thuyết của sự mất cấu trúc đó, một biên mà cả lý thuyết ba giai đoạn lẫn đường cong chữ S đều không dự báo được.</w:t>
      </w:r>
    </w:p>
    <w:p>
      <w:pPr>
        <w:pStyle w:val="BodyText"/>
      </w:pPr>
      <w:r>
        <w:rPr>
          <w:bCs/>
          <w:b/>
        </w:rPr>
        <w:t xml:space="preserve">Thứ ba</w:t>
      </w:r>
      <w:r>
        <w:t xml:space="preserve">, luận án mở rộng khung phân tích từ dữ liệu doanh nghiệp Nhật Bản/đa quốc gia sang 50 nền kinh tế châu Á và Thái Bình Dương, một bối cảnh ít được đại diện trong tài liệu Lu và Beamish.</w:t>
      </w:r>
    </w:p>
    <w:bookmarkEnd w:id="32"/>
    <w:bookmarkStart w:id="33" w:name="Xeac187370c14c6793689f905820e65acbeee337"/>
    <w:p>
      <w:pPr>
        <w:pStyle w:val="Heading3"/>
      </w:pPr>
      <w:r>
        <w:t xml:space="preserve">5.2.3 Mở rộng Marano et al. (2016): ICRV thay thế phân loại thể chế nhị phân</w:t>
      </w:r>
    </w:p>
    <w:p>
      <w:pPr>
        <w:pStyle w:val="FirstParagraph"/>
      </w:pPr>
      <w:r>
        <w:t xml:space="preserve">Marano et al. (2016) là phân tích tổng hợp quan trọng nhất trong tài liệu gần đây, cung cấp bằng chứng về vai trò điều tiết của thể chế quốc gia nguồn trong quan hệ quốc tế hóa và hiệu quả. Tuy nhiên, nghiên cứu này sử dụng phân loại nhị phân (phát triển so với mới nổi) hoặc điểm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khung ICRV sáu chế độ nắm bắt được sự đa dạng trong nội bộ nhóm mới nổi, phân biệt nhóm trung bình cao của Trung Quốc với nhóm chuyển đổi thu nhập trung bình thấp của Việt Nam, với nhóm đang nổi của Campuchia và nhóm đảo nhỏ; đồng thời phân biệt trong nhóm tiên tiến giữa chế độ tiên tiến đổi mới của Singapore và chế độ tiên tiến tài nguyên của các nền vùng Vịnh. Phân loại nhị phân bỏ sót sự biến thiên quan trọng này, dẫn đến mất thông tin về phổ thể chế. Quan trọng hơn việc mất thông tin, phân loại nhị phân tạo ra một sai lệch triệt tiêu dấu khi gộp: dưới một nhãn</w:t>
      </w:r>
      <w:r>
        <w:t xml:space="preserve"> </w:t>
      </w:r>
      <w:r>
        <w:t xml:space="preserve">“</w:t>
      </w:r>
      <w:r>
        <w:t xml:space="preserve">mới nổi</w:t>
      </w:r>
      <w:r>
        <w:t xml:space="preserve">”</w:t>
      </w:r>
      <w:r>
        <w:t xml:space="preserve"> </w:t>
      </w:r>
      <w:r>
        <w:t xml:space="preserve">duy nhất, hệ số điều tiết của Marano et al. (2016) lấy trung bình đồng thời các nền có độ cong chữ U ngược âm rõ (Trung Quốc, Việt Nam), các nền gần tuyến tính, và các nền đảo nhỏ có quan hệ âm đơn điệu (FIP) với độ cong bậc hai không tạo điểm uốn nội vùng; kết quả là một hệ số điều tiết gộp che lấp chính sự phân kỳ mà nó cần bộc lộ. Đóng góp của ICRV do đó không nằm ở chỗ</w:t>
      </w:r>
      <w:r>
        <w:t xml:space="preserve"> </w:t>
      </w:r>
      <w:r>
        <w:t xml:space="preserve">“</w:t>
      </w:r>
      <w:r>
        <w:t xml:space="preserve">có nhiều nhóm hơn</w:t>
      </w:r>
      <w:r>
        <w:t xml:space="preserve">”</w:t>
      </w:r>
      <w:r>
        <w:t xml:space="preserve"> </w:t>
      </w:r>
      <w:r>
        <w:t xml:space="preserve">mà ở chỗ tránh được hiện tượng triệt tiêu dấu trong nội bộ nhóm mới nổi, qua đó phục hồi thông tin phổ thể chế mà thước đo nhị phân làm mất.</w:t>
      </w:r>
    </w:p>
    <w:p>
      <w:pPr>
        <w:pStyle w:val="BodyText"/>
      </w:pPr>
      <w:r>
        <w:t xml:space="preserve">Cách đọc điều tiết theo chế độ thể chế này nhất quán với dòng bằng chứng tổng hợp rộng hơn rằng quan hệ quốc tế hóa và hiệu quả bị ràng buộc bởi bối cảnh hơn là tuân theo một quy luật phổ quát. Beugelsdijk et al. (2018), qua một phân tích tổng hợp về khoảng cách văn hóa và quá trình quốc tế hóa của doanh nghiệp, cho thấy hệ quả của quốc tế hóa phụ thuộc một cách hệ thống vào khoảng cách văn hóa và thể chế giữa thị trường nguồn và thị trường đích; còn Debicki et al. (2020) ghi nhận rằng cường độ xuất khẩu làm suy yếu quan hệ quốc tế hóa và hiệu quả ở doanh nghiệp gia đình. Cả hai củng cố luận điểm rằng phổ ICRV nắm bắt đúng chiều bối cảnh, khoảng cách và cường độ tham gia, mà các thước đo nhị phân bỏ sót.</w:t>
      </w:r>
    </w:p>
    <w:p>
      <w:pPr>
        <w:pStyle w:val="BodyText"/>
      </w:pPr>
      <w:r>
        <w:t xml:space="preserve">Ngoài ra, luận án sử dụng phương pháp MARA ba tầng để phân tách cấu trúc dị biệt, một cải tiến phương pháp so với phân tích tổng hợp hiệu ứng ngẫu nhiên đơn tầng của Marano et al. (2016).</w:t>
      </w:r>
    </w:p>
    <w:bookmarkEnd w:id="33"/>
    <w:bookmarkStart w:id="34" w:name="X14b1aa9024c551eefd38cfde193b66356c9f149"/>
    <w:p>
      <w:pPr>
        <w:pStyle w:val="Heading3"/>
      </w:pPr>
      <w:r>
        <w:t xml:space="preserve">5.2.4 Lý giải các kết quả nhân rộng quy mô lớn còn phân tán</w:t>
      </w:r>
    </w:p>
    <w:p>
      <w:pPr>
        <w:pStyle w:val="FirstParagraph"/>
      </w:pPr>
      <w:r>
        <w:t xml:space="preserve">Một làn sóng nghiên cứu nhân rộng quy mô lớn gần đây đặt lại câu hỏi về tính bền vững của quan hệ quốc tế hóa và hiệu quả. Pisani và cộng sự (2020), khi nhân rộng quan hệ đa quốc gia và hiệu quả trên mẫu xuyên quốc gia cỡ lớn, tìm thấy một quan hệ yếu và không nhất quán giữa các nước; Berry và Kaul (2016) kiểm chứng lại đường cong chữ S và kết luận rằng dạng hàm này không nhân rộng vững chắc; Kirca và cộng sự (2012), qua phân tích tổng hợp, cho thấy bối cảnh điều tiết mạnh quan hệ này. Điểm chung của ba nghiên cứu là một kết quả gộp bị suy giảm hoặc bất nhất khi nhiều bối cảnh được gộp chung mà không phân tầng thể chế.</w:t>
      </w:r>
    </w:p>
    <w:p>
      <w:pPr>
        <w:pStyle w:val="BodyText"/>
      </w:pPr>
      <w:r>
        <w:t xml:space="preserve">Bằng chứng ba vùng của luận án cung cấp một lời giải thích cấu trúc cho mô thức phân tán này. Khi gộp các nền kinh tế thuộc những chế độ thể chế khác nhau vào một ước lượng duy nhất, người ta đang lấy trung bình của ba dạng quan hệ khác nhau về bản chất: chữ U ngược sắc nét ở vùng chuyển đổi (Nhóm IV, điểm uốn quanh 43%), quan hệ gần tuyến tính dương ở biên thể chế mạnh (Nhóm I, điểm uốn nằm ngoài miền quan sát), và quan hệ mất cấu trúc hoặc đảo dấu ở biên thể chế yếu (Nhóm V và VI). Phép lấy trung bình này tất yếu tạo ra một tín hiệu gộp bị nén và bất ổn, đúng như các nghiên cứu nhân rộng ghi nhận. Kết quả của luận án do đó không mâu thuẫn với tài liệu nhân rộng mà giải thích nó: tính phân tán của các kết quả gộp không chứng tỏ quan hệ quốc tế hóa và hiệu quả là giả tạo, mà là hệ quả đo lường của việc bỏ qua phân tầng thể chế. Việc một nghiên cứu đơn quốc gia có tìm thấy chữ U ngược hay không phụ thuộc vào vùng thể chế mà nền kinh tế đó chiếm giữ, và đây chính là biến số mà các phép nhân rộng gộp đã làm mờ đi.</w:t>
      </w:r>
    </w:p>
    <w:p>
      <w:pPr>
        <w:pStyle w:val="BodyText"/>
      </w:pPr>
      <w:r>
        <w:t xml:space="preserve">Một phản biện sắc bén có thể nêu là bản thân cấu trúc ba vùng có nguy cơ là tạo tác của việc nhà nghiên cứu tự chọn điểm cắt ICRV, tức một dạng dò tìm dạng mô hình hậu nghiệm thay vì một quy luật. Hai đặc điểm của thiết kế bác bỏ cách đọc này. Thứ nhất, các điểm cắt ICRV được xác định trước trên các chỉ báo thể chế (chỉ số quản trị toàn cầu, mức phát triển, đặc trưng cấu trúc), độc lập với biến kết quả quốc tế hóa và hiệu quả, nên chúng không thể được nắn để khớp với hình dạng đường cong. Thứ hai, các ước lượng điểm uốn đơn quốc gia độc lập, Việt Nam (khoảng 39–46% qua ba đợt) và Trung Quốc (khoảng 47–49% qua hai đợt), hội tụ về cùng một dải vùng giữa mà không hề bị ràng buộc phải làm vậy, một sự trùng khớp ngoài mẫu khó nảy sinh từ việc dò tìm dạng mô hình. Hai đặc điểm này, kết hợp với tam giác hóa giữa phân tích tổng hợp và ước lượng gộp ở Mục 5.2.5, đặt cấu trúc ba vùng trên nền tảng xác nhận chéo chứ không phải trên tự do bậc mô hình.</w:t>
      </w:r>
    </w:p>
    <w:bookmarkEnd w:id="34"/>
    <w:bookmarkStart w:id="35" w:name="Xf25f3308ff8d15e01513cc21db6ba5ba8cc8c9c"/>
    <w:p>
      <w:pPr>
        <w:pStyle w:val="Heading3"/>
      </w:pPr>
      <w:r>
        <w:t xml:space="preserve">5.2.5 Tam giác hóa giữa phân tích tổng hợp (P6) và ước lượng gộp toàn mẫu (P7)</w:t>
      </w:r>
    </w:p>
    <w:p>
      <w:pPr>
        <w:pStyle w:val="FirstParagraph"/>
      </w:pPr>
      <w:r>
        <w:t xml:space="preserve">Một nguồn củng cố độc lập cho luận điểm điều tiết thể chế đến từ sự hội tụ giữa hai phương pháp khác biệt về bản chất. Phân tích tổng hợp ba tầng (P6), vận hành trên các cỡ ảnh hưởng đã công bố từ nhiều nghiên cứu độc lập, ước lượng cỡ ảnh hưởng trung bình</w:t>
      </w:r>
      <w:r>
        <w:t xml:space="preserve"> </w:t>
      </w:r>
      <m:oMath>
        <m:acc>
          <m:accPr>
            <m:chr m:val="‾"/>
          </m:accPr>
          <m:e>
            <m:r>
              <m:t>r</m:t>
            </m:r>
          </m:e>
        </m:acc>
        <m:r>
          <m:rPr>
            <m:sty m:val="p"/>
          </m:rPr>
          <m:t>=</m:t>
        </m:r>
        <m:r>
          <m:t>0</m:t>
        </m:r>
        <m:r>
          <m:rPr>
            <m:sty m:val="p"/>
          </m:rPr>
          <m:t>,</m:t>
        </m:r>
        <m:r>
          <m:t>074</m:t>
        </m:r>
      </m:oMath>
      <w:r>
        <w:t xml:space="preserve"> </w:t>
      </w:r>
      <w:r>
        <w:t xml:space="preserve">với dị biệt đáng kể (</w:t>
      </w:r>
      <m:oMath>
        <m:sSup>
          <m:e>
            <m:r>
              <m:t>I</m:t>
            </m:r>
          </m:e>
          <m:sup>
            <m:r>
              <m:t>2</m:t>
            </m:r>
          </m:sup>
        </m:sSup>
        <m:r>
          <m:rPr>
            <m:sty m:val="p"/>
          </m:rPr>
          <m:t>=</m:t>
        </m:r>
        <m:r>
          <m:t>62</m:t>
        </m:r>
        <m:r>
          <m:rPr>
            <m:sty m:val="p"/>
          </m:rPr>
          <m:t>,</m:t>
        </m:r>
        <m:r>
          <m:t>4</m:t>
        </m:r>
        <m:r>
          <m:rPr>
            <m:sty m:val="p"/>
          </m:rPr>
          <m:t>%</m:t>
        </m:r>
      </m:oMath>
      <w:r>
        <w:t xml:space="preserve">) và xác nhận (qua kiểm định tổng thể, omnibus) rằng các chế độ thể chế ICRV khác biệt có ý nghĩa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kiểm định này chỉ khẳng định</w:t>
      </w:r>
      <w:r>
        <w:t xml:space="preserve"> </w:t>
      </w:r>
      <w:r>
        <w:rPr>
          <w:iCs/>
          <w:i/>
        </w:rPr>
        <w:t xml:space="preserve">có</w:t>
      </w:r>
      <w:r>
        <w:t xml:space="preserve"> </w:t>
      </w:r>
      <w:r>
        <w:t xml:space="preserve">khác biệt giữa các chế độ, còn cấu trúc</w:t>
      </w:r>
      <w:r>
        <w:t xml:space="preserve"> </w:t>
      </w:r>
      <w:r>
        <w:rPr>
          <w:iCs/>
          <w:i/>
        </w:rPr>
        <w:t xml:space="preserve">hướng</w:t>
      </w:r>
      <w:r>
        <w:t xml:space="preserve"> </w:t>
      </w:r>
      <w:r>
        <w:t xml:space="preserve">của gradient do P7 cung cấp chứ không phải P6 (xem Mục 4.6.2). Ước lượng gộp toàn mẫu trên dữ liệu doanh nghiệp gốc của 50 nền kinh tế (P7) đi đến cùng một kết luận bằng con đường hoàn toàn khác: cấu trúc thể chế của quan hệ hiện ra thành ba vùng rời rạc khi ước lượng điểm uốn trong từng nhóm ICRV.</w:t>
      </w:r>
    </w:p>
    <w:p>
      <w:pPr>
        <w:pStyle w:val="BodyText"/>
      </w:pPr>
      <w:r>
        <w:t xml:space="preserve">Sự hội tụ này có giá trị suy luận lớn hơn từng phương pháp đứng riêng. Phân tích tổng hợp và ước lượng gộp cấp doanh nghiệp chịu các nguồn thiên lệch khác nhau: phân tích tổng hợp dễ bị thiên lệch công bố và phụ thuộc vào chất lượng báo cáo của các nghiên cứu gốc, trong khi ước lượng gộp cấp doanh nghiệp dễ bị thiên lệch chọn lọc tham gia xuất khẩu và chênh lệch đo lường giữa các đợt khảo sát. Việc hai phương pháp với các điểm yếu không trùng nhau cùng định vị chế độ thể chế là biến điều tiết then chốt làm cho kết luận này khó có thể là tạo tác của một quy trình phân tích đơn lẻ. Đây là dạng tam giác hóa phương pháp mà các điểm yếu bù trừ lẫn nhau, nâng độ tin cậy của luận điểm trung tâm rằng thể chế quyết định không chỉ vị trí mà cả sự tồn tại của dạng hàm chữ U ngược.</w:t>
      </w:r>
    </w:p>
    <w:bookmarkEnd w:id="35"/>
    <w:bookmarkStart w:id="36" w:name="X13e848ae254d36f1c59beb529fc06decd65d406"/>
    <w:p>
      <w:pPr>
        <w:pStyle w:val="Heading3"/>
      </w:pPr>
      <w:r>
        <w:t xml:space="preserve">5.2.6 Đối chiếu với truyền thống đường cong chữ S và các kiểm định nhân rộng chữ S</w:t>
      </w:r>
    </w:p>
    <w:p>
      <w:pPr>
        <w:pStyle w:val="FirstParagraph"/>
      </w:pPr>
      <w:r>
        <w:t xml:space="preserve">Một dòng nghiên cứu song hành với truyền thống chữ U ngược là truyền thống đường cong chữ S ba giai đoạn, vốn lập luận rằng quan hệ quốc tế hóa và hiệu quả đi qua một giai đoạn đầu suy giảm (chi phí học hỏi), một giai đoạn giữa đi lên (khai thác lợi thế đa quốc gia), rồi một giai đoạn cuối lại suy giảm (chi phí điều phối vượt ngưỡng). Berry và Kaul (2016), khi kiểm định nhân rộng dạng chữ S trên mẫu xuyên quốc gia cỡ lớn, kết luận rằng dạng hàm bậc ba này không nhân rộng vững chắc và phần lớn bằng chứng ủng hộ nó nhạy cảm với cách thiết lập mô hình và mẫu. Phát hiện ba vùng của luận án cung cấp một cách đọc bổ sung cho kết quả nhân rộng âm này: nếu hình dạng quan hệ thực sự thay đổi theo chế độ thể chế, từ chữ U ngược sắc nét ở vùng chuyển đổi đến gần tuyến tính dương ở biên trên đến âm đơn điệu ở biên dưới, thì việc ép một dạng hàm bậc ba cố định lên một mẫu trộn lẫn nhiều chế độ thể chế tất yếu cho ra một ước lượng bất ổn. Cụ thể hơn, sự thất bại nhân rộng của dạng chữ S không nhất thiết bác bỏ tính phi tuyến mà có thể phản ánh việc bỏ qua tính không đồng nhất theo thể chế của bản thân dạng hàm.</w:t>
      </w:r>
    </w:p>
    <w:p>
      <w:pPr>
        <w:pStyle w:val="BodyText"/>
      </w:pPr>
      <w:r>
        <w:t xml:space="preserve">Bằng chứng Nhật Bản (P10) mang sức nặng đặc biệt trong đối chiếu này. Chính các tập đoàn đa quốc gia Nhật Bản là nơi cả giả thuyết chữ U ngược của Lu và Beamish (2004) lẫn giả thuyết chữ S được thiết lập ban đầu. Khi nền kinh tế này được quan sát trên bộ công cụ hài hòa của luận án, quan hệ lại nằm trọn trên một nhánh đi lên dài với phần bù năng suất cho doanh nghiệp xuất khẩu, không có điểm uốn trong miền quan sát. Sự khác biệt giữa kết quả này và điểm uốn khoảng 60% mà Lu và Beamish (2004) tìm thấy không phản ánh mâu thuẫn dữ liệu mà phản ánh khác biệt khung lấy mẫu: mẫu WBES Nhật Bản thiên về doanh nghiệp cơ sở với cường độ quốc tế hóa thấp, trong khi mẫu Lu và Beamish tập trung vào các tập đoàn đa quốc gia thâm dụng xuất khẩu cao, tức quan sát hai đoạn khác nhau của cùng một họ đường cong. Đối chiếu này củng cố luận điểm rằng dạng phi tuyến cổ điển là kết quả có điều kiện theo cả chế độ thể chế lẫn dải cường độ xuất khẩu được quan sát, chứ không phải một quy luật phổ quát, nhất quán với cảnh báo phương pháp của Haans và cộng sự (2016) về việc suy diễn dạng hàm phi tuyến từ những đoạn dữ liệu giới hạn.</w:t>
      </w:r>
    </w:p>
    <w:bookmarkEnd w:id="36"/>
    <w:bookmarkStart w:id="37" w:name="X09b1da89329931737a984ea1513fd5f13b0d821"/>
    <w:p>
      <w:pPr>
        <w:pStyle w:val="Heading3"/>
      </w:pPr>
      <w:r>
        <w:t xml:space="preserve">5.2.7 Đặt vào dòng nghiên cứu về điều tiết bởi môi trường của quan hệ năng lực và hiệu quả</w:t>
      </w:r>
    </w:p>
    <w:p>
      <w:pPr>
        <w:pStyle w:val="FirstParagraph"/>
      </w:pPr>
      <w:r>
        <w:t xml:space="preserve">Phát hiện rằng năng lực công nghệ nâng mặt bằng năng suất phổ quát còn vai trò uốn đường cong của chấp nhận số lại phụ thuộc bối cảnh thể chế có thể được đặt vào dòng nghiên cứu rộng hơn về vai trò điều tiết của môi trường trong quan hệ giữa năng lực và hiệu quả. Karna, Richter và Riesenkampff (2016), qua phân tích tổng hợp về quan hệ năng lực và hiệu quả tài chính, cho thấy động lực môi trường điều tiết một cách hệ thống mức độ mà năng lực chuyển hóa thành hiệu quả. Kết quả của luận án bổ sung một sắc thái cho kết luận đó: không phải mọi loại năng lực đều bị điều tiết đồng đều bởi môi trường thể chế. Năng lực công nghệ chiều sâu (TCI) hoạt động như một yếu tố nâng sàn gần như bất biến với chế độ thể chế, trong khi chấp nhận số (DAI) là nguồn lực tình huống có hiệu ứng uốn đường cong bị điều kiện hóa bởi tầng thể chế. Sự phân tách này tinh chỉnh kết luận tổng hợp của Karna và cộng sự (2016) theo hướng phân biệt loại năng lực: điều tiết môi trường tác động mạnh lên các nguồn lực bổ trợ phụ thuộc hệ sinh thái nhưng yếu lên các năng lực nền tảng nội sinh hóa trong doanh nghiệp.</w:t>
      </w:r>
    </w:p>
    <w:p>
      <w:pPr>
        <w:pStyle w:val="BodyText"/>
      </w:pPr>
      <w:r>
        <w:t xml:space="preserve">Hướng đối chiếu này cũng kết nối với lập luận của Kafouros và cộng sự (2023) rằng chất lượng thể chế và động lực ngành cùng định hình hiệu quả hoạt động kinh doanh của doanh nghiệp ở các nền kinh tế mới nổi, trong đó tính động công nghệ tạo tương tác dương còn tính động thị trường tạo tương tác âm. Bằng chứng phổ thể chế ICRV của luận án mở rộng quan sát này từ một mẫu khu vực sang khung 50 nền kinh tế châu Á và Thái Bình Dương, và bổ sung chiều quan trọng rằng chính dạng hàm của quan hệ quốc tế hóa và hiệu quả, chứ không chỉ độ lớn hệ số, thay đổi theo chất lượng thể chế. Đồng thời, lập luận về vai trò bù đắp của chấp nhận số ở các chế độ thể chế yếu nhất quán với tài liệu mới nổi về năng lực số như đòn bẩy quốc tế hóa cho doanh nghiệp nhỏ và vừa trong môi trường thể chế kém hoàn thiện (Banalieva &amp; Dhanaraj, 2019; Chen &amp; Meng, 2022), song luận án đặt một điều kiện biên rõ hơn: hiệu ứng bù đắp này phụ thuộc chiều sâu của thước đo năng lực số và không tự nó đảo được độ dốc âm ở những chế độ thể chế cực yếu như nhóm đảo nhỏ.</w:t>
      </w:r>
    </w:p>
    <w:p>
      <w:r>
        <w:pict>
          <v:rect style="width:0;height:1.5pt" o:hralign="center" o:hrstd="t" o:hr="t"/>
        </w:pict>
      </w:r>
    </w:p>
    <w:bookmarkEnd w:id="37"/>
    <w:bookmarkEnd w:id="38"/>
    <w:bookmarkStart w:id="49" w:name="đóng-góp-lý-thuyết"/>
    <w:p>
      <w:pPr>
        <w:pStyle w:val="Heading2"/>
      </w:pPr>
      <w:r>
        <w:t xml:space="preserve">5.3 Đóng góp lý thuyết</w:t>
      </w:r>
    </w:p>
    <w:bookmarkStart w:id="39" w:name="khung-đánh-giá-đóng-góp-lý-thuyết"/>
    <w:p>
      <w:pPr>
        <w:pStyle w:val="Heading3"/>
      </w:pPr>
      <w:r>
        <w:t xml:space="preserve">5.3.0 Khung đánh giá đóng góp lý thuyết</w:t>
      </w:r>
    </w:p>
    <w:p>
      <w:pPr>
        <w:pStyle w:val="FirstParagraph"/>
      </w:pPr>
      <w:r>
        <w:t xml:space="preserve">Trước khi trình bày từng đóng góp, mục này định vị chúng theo hai tiêu chí được chấp nhận rộng rãi để đánh giá đóng góp lý thuyết trong nghiên cứu quản trị và kinh doanh quốc tế:</w:t>
      </w:r>
      <w:r>
        <w:t xml:space="preserve"> </w:t>
      </w:r>
      <w:r>
        <w:rPr>
          <w:bCs/>
          <w:b/>
        </w:rPr>
        <w:t xml:space="preserve">tính nguyên gốc và tính hữu dụng</w:t>
      </w:r>
      <w:r>
        <w:t xml:space="preserve"> </w:t>
      </w:r>
      <w:r>
        <w:t xml:space="preserve">(originality × utility; Corley &amp; Gioia, 2011), và bộ ba câu hỏi</w:t>
      </w:r>
      <w:r>
        <w:t xml:space="preserve"> </w:t>
      </w:r>
      <w:r>
        <w:rPr>
          <w:bCs/>
          <w:b/>
        </w:rPr>
        <w:t xml:space="preserve">“</w:t>
      </w:r>
      <w:r>
        <w:rPr>
          <w:bCs/>
          <w:b/>
        </w:rPr>
        <w:t xml:space="preserve">cái gì – như thế nào – vì sao</w:t>
      </w:r>
      <w:r>
        <w:rPr>
          <w:bCs/>
          <w:b/>
        </w:rPr>
        <w:t xml:space="preserve">”</w:t>
      </w:r>
      <w:r>
        <w:t xml:space="preserve"> </w:t>
      </w:r>
      <w:r>
        <w:t xml:space="preserve">mà một đóng góp lý thuyết phải trả lời (Whetten, 1989). Theo Corley và Gioia (2011), một đóng góp có giá trị phải vừa</w:t>
      </w:r>
      <w:r>
        <w:t xml:space="preserve"> </w:t>
      </w:r>
      <w:r>
        <w:rPr>
          <w:iCs/>
          <w:i/>
        </w:rPr>
        <w:t xml:space="preserve">nguyên gốc</w:t>
      </w:r>
      <w:r>
        <w:t xml:space="preserve"> </w:t>
      </w:r>
      <w:r>
        <w:t xml:space="preserve">(tăng tiến hoặc mở đường mới) vừa</w:t>
      </w:r>
      <w:r>
        <w:t xml:space="preserve"> </w:t>
      </w:r>
      <w:r>
        <w:rPr>
          <w:iCs/>
          <w:i/>
        </w:rPr>
        <w:t xml:space="preserve">hữu dụng</w:t>
      </w:r>
      <w:r>
        <w:t xml:space="preserve"> </w:t>
      </w:r>
      <w:r>
        <w:t xml:space="preserve">(cho khoa học hoặc thực tiễn); luận án định vị mỗi đóng góp trên cả hai trục này thay vì chỉ tuyên bố tính mới.</w:t>
      </w:r>
    </w:p>
    <w:p>
      <w:pPr>
        <w:pStyle w:val="BodyText"/>
      </w:pPr>
      <w:r>
        <w:t xml:space="preserve">Điểm phân biệt cốt lõi giữa</w:t>
      </w:r>
      <w:r>
        <w:t xml:space="preserve"> </w:t>
      </w:r>
      <w:r>
        <w:rPr>
          <w:bCs/>
          <w:b/>
        </w:rPr>
        <w:t xml:space="preserve">đóng góp</w:t>
      </w:r>
      <w:r>
        <w:t xml:space="preserve"> </w:t>
      </w:r>
      <w:r>
        <w:t xml:space="preserve">và</w:t>
      </w:r>
      <w:r>
        <w:t xml:space="preserve"> </w:t>
      </w:r>
      <w:r>
        <w:rPr>
          <w:bCs/>
          <w:b/>
        </w:rPr>
        <w:t xml:space="preserve">nhân rộng</w:t>
      </w:r>
      <w:r>
        <w:t xml:space="preserve"> </w:t>
      </w:r>
      <w:r>
        <w:t xml:space="preserve">(replication) được giữ tường minh: việc tái xác nhận chữ U ngược ở từng bối cảnh đơn lẻ (P3, P4, P5) tự nó là</w:t>
      </w:r>
      <w:r>
        <w:t xml:space="preserve"> </w:t>
      </w:r>
      <w:r>
        <w:rPr>
          <w:iCs/>
          <w:i/>
        </w:rPr>
        <w:t xml:space="preserve">nhân rộng</w:t>
      </w:r>
      <w:r>
        <w:t xml:space="preserve"> </w:t>
      </w:r>
      <w:r>
        <w:t xml:space="preserve">có giá trị xác nhận nhưng không phải đóng góp lý thuyết mới; đóng góp nằm ở</w:t>
      </w:r>
      <w:r>
        <w:t xml:space="preserve"> </w:t>
      </w:r>
      <w:r>
        <w:rPr>
          <w:iCs/>
          <w:i/>
        </w:rPr>
        <w:t xml:space="preserve">cấu trúc hóa</w:t>
      </w:r>
      <w:r>
        <w:t xml:space="preserve"> </w:t>
      </w:r>
      <w:r>
        <w:t xml:space="preserve">sự biến thiên xuyên bối cảnh của dạng hàm đó thành một quy luật kiểm định được. Tương ứng, mỗi đóng góp dưới đây được phát biểu dưới dạng</w:t>
      </w:r>
      <w:r>
        <w:t xml:space="preserve"> </w:t>
      </w:r>
      <w:r>
        <w:rPr>
          <w:bCs/>
          <w:b/>
        </w:rPr>
        <w:t xml:space="preserve">mệnh đề có thể bác bỏ</w:t>
      </w:r>
      <w:r>
        <w:t xml:space="preserve"> </w:t>
      </w:r>
      <w:r>
        <w:t xml:space="preserve">(falsifiable) kèm</w:t>
      </w:r>
      <w:r>
        <w:t xml:space="preserve"> </w:t>
      </w:r>
      <w:r>
        <w:rPr>
          <w:bCs/>
          <w:b/>
        </w:rPr>
        <w:t xml:space="preserve">điều kiện phạm vi</w:t>
      </w:r>
      <w:r>
        <w:t xml:space="preserve"> </w:t>
      </w:r>
      <w:r>
        <w:t xml:space="preserve">(scope conditions) tường minh, đặc điểm mà khung CDCM–ICRV–FIP đáp ứng vì nó dự đoán</w:t>
      </w:r>
      <w:r>
        <w:t xml:space="preserve"> </w:t>
      </w:r>
      <w:r>
        <w:rPr>
          <w:iCs/>
          <w:i/>
        </w:rPr>
        <w:t xml:space="preserve">trước</w:t>
      </w:r>
      <w:r>
        <w:t xml:space="preserve"> </w:t>
      </w:r>
      <w:r>
        <w:t xml:space="preserve">vị trí và sự tồn tại của điểm uốn theo chế độ thể chế, do đó có thể sai nếu dữ liệu không khớp. Bốn đóng góp dưới đây (5.3.1–5.3.7) lần lượt trả lời:</w:t>
      </w:r>
      <w:r>
        <w:t xml:space="preserve"> </w:t>
      </w:r>
      <w:r>
        <w:rPr>
          <w:iCs/>
          <w:i/>
        </w:rPr>
        <w:t xml:space="preserve">cái gì</w:t>
      </w:r>
      <w:r>
        <w:t xml:space="preserve"> </w:t>
      </w:r>
      <w:r>
        <w:t xml:space="preserve">mới được đưa vào (DAI là nguồn lực tình huống; FIP; ICRV; điều kiện ổn định thể chế),</w:t>
      </w:r>
      <w:r>
        <w:t xml:space="preserve"> </w:t>
      </w:r>
      <w:r>
        <w:rPr>
          <w:iCs/>
          <w:i/>
        </w:rPr>
        <w:t xml:space="preserve">như thế nào</w:t>
      </w:r>
      <w:r>
        <w:t xml:space="preserve"> </w:t>
      </w:r>
      <w:r>
        <w:t xml:space="preserve">các cấu trúc này vận hành (qua nâng mặt bằng vs uốn đường cong; qua dịch chuyển vs hòa tan điểm uốn), và</w:t>
      </w:r>
      <w:r>
        <w:t xml:space="preserve"> </w:t>
      </w:r>
      <w:r>
        <w:rPr>
          <w:iCs/>
          <w:i/>
        </w:rPr>
        <w:t xml:space="preserve">vì sao bây giờ</w:t>
      </w:r>
      <w:r>
        <w:t xml:space="preserve"> </w:t>
      </w:r>
      <w:r>
        <w:t xml:space="preserve">(kỷ nguyên số và sự sẵn có lần đầu của dữ liệu doanh nghiệp hài hòa cho 50 nền châu Á – Thái Bình Dương, gồm Nhật Bản 2025).</w:t>
      </w:r>
    </w:p>
    <w:bookmarkEnd w:id="39"/>
    <w:bookmarkStart w:id="40"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Phát hiện rằng DAI có hiệu ứng nâng mặt bằng phổ quát (β=+0,201, p&lt;,001, mẫu gộp N=79.080 từ 50 nền kinh tế) nhưng vai trò điều tiết đường cong quốc tế hóa và hiệu quả là</w:t>
      </w:r>
      <w:r>
        <w:t xml:space="preserve"> </w:t>
      </w:r>
      <w:r>
        <w:rPr>
          <w:bCs/>
          <w:b/>
        </w:rPr>
        <w:t xml:space="preserve">bối cảnh-phụ thuộc</w:t>
      </w:r>
      <w:r>
        <w:t xml:space="preserve"> </w:t>
      </w:r>
      <w:r>
        <w:t xml:space="preserve">(các tương tác đường cong cùng chiều nhưng không ý nghĩa toàn mẫu; bằng chứng rõ nhất ở bối cảnh đơn quốc gia P4) gợi ý rằng DAI không phải là năng lực nền tảng (như TCI) mà là</w:t>
      </w:r>
      <w:r>
        <w:t xml:space="preserve"> </w:t>
      </w:r>
      <w:r>
        <w:rPr>
          <w:bCs/>
          <w:b/>
        </w:rPr>
        <w:t xml:space="preserve">nguồn lực tình huống</w:t>
      </w:r>
      <w:r>
        <w:t xml:space="preserve">, tài nguyên có vai trò thay đổi theo bối cảnh thể chế. Quan trọng: tương tác chế độ-yếu (FSTS×Weak = −0,523, p =,087, biên ý nghĩa) cho thấy hiệu ứng điều tiết của DAI</w:t>
      </w:r>
      <w:r>
        <w:t xml:space="preserve"> </w:t>
      </w:r>
      <w:r>
        <w:rPr>
          <w:bCs/>
          <w:b/>
        </w:rPr>
        <w:t xml:space="preserve">mạnh hơn</w:t>
      </w:r>
      <w:r>
        <w:t xml:space="preserve"> </w:t>
      </w:r>
      <w:r>
        <w:t xml:space="preserve">tại các nền kinh tế thể chế yếu hơn (đang nổi, SIDS),</w:t>
      </w:r>
      <w:r>
        <w:t xml:space="preserve"> </w:t>
      </w:r>
      <w:r>
        <w:t xml:space="preserve">“</w:t>
      </w:r>
      <w:r>
        <w:t xml:space="preserve">lá chắn số</w:t>
      </w:r>
      <w:r>
        <w:t xml:space="preserve">”</w:t>
      </w:r>
      <w:r>
        <w:t xml:space="preserve"> </w:t>
      </w:r>
      <w:r>
        <w:t xml:space="preserve">bù đắp cho thiếu hụt thể chế.</w:t>
      </w:r>
    </w:p>
    <w:p>
      <w:pPr>
        <w:pStyle w:val="BodyText"/>
      </w:pPr>
      <w:r>
        <w:t xml:space="preserve">Điều này có hàm ý lý thuyết quan trọng cho lý thuyết dựa trên nguồn lực và tài liệu năng lực số (Bhandari et al., 2023; Verhoef et al., 2021): không phải mọi nguồn lực số đều tạo ra lợi thế cạnh tranh theo cùng một cơ chế trong mọi bối cảnh. Giá trị của DAI là</w:t>
      </w:r>
      <w:r>
        <w:t xml:space="preserve"> </w:t>
      </w:r>
      <w:r>
        <w:rPr>
          <w:bCs/>
          <w:b/>
        </w:rPr>
        <w:t xml:space="preserve">tài sản bổ trợ</w:t>
      </w:r>
      <w:r>
        <w:t xml:space="preserve"> </w:t>
      </w:r>
      <w:r>
        <w:t xml:space="preserve">(Teece, 1986) với bối cảnh thể chế, nhưng theo hướng</w:t>
      </w:r>
      <w:r>
        <w:t xml:space="preserve"> </w:t>
      </w:r>
      <w:r>
        <w:rPr>
          <w:bCs/>
          <w:b/>
        </w:rPr>
        <w:t xml:space="preserve">nghịch chiều</w:t>
      </w:r>
      <w:r>
        <w:t xml:space="preserve">: DAI hoạt động như lá chắn bù đắp (compensatory asset) trong bối cảnh thể chế yếu, nơi hạ tầng thể chế chưa đủ hỗ trợ cho doanh nghiệp xuất khẩu. Đây là bằng chứng thực nghiệm bổ sung cho lý thuyết về vai trò thay thế giữa thể chế và năng lực số.</w:t>
      </w:r>
    </w:p>
    <w:bookmarkEnd w:id="40"/>
    <w:bookmarkStart w:id="41" w:name="X3b1084bbd444ca85d063deaaac052e856e27e72"/>
    <w:p>
      <w:pPr>
        <w:pStyle w:val="Heading3"/>
      </w:pPr>
      <w:r>
        <w:t xml:space="preserve">5.3.1.1 Phân biệt nâng mặt bằng phổ quát và uốn đường cong phi phổ quát</w:t>
      </w:r>
    </w:p>
    <w:p>
      <w:pPr>
        <w:pStyle w:val="FirstParagraph"/>
      </w:pPr>
      <w:r>
        <w:t xml:space="preserve">Một đóng góp lý thuyết tinh tế nhưng có hệ quả sâu của luận án là phân biệt rạch ròi giữa hai loại hiệu ứng mà các cấu trúc năng lực có thể tạo ra trên quan hệ quốc tế hóa và hiệu quả: hiệu ứng nâng mặt bằng (dịch chuyển toàn bộ đường cong lên trên) và hiệu ứng uốn đường cong (thay đổi hình dạng, độ dốc hoặc vị trí điểm uốn). Sự phân biệt này, vốn được hình thức hóa trong tài liệu kiểm định quan hệ phi tuyến của Haans, Pieters và He (2016), trở thành lăng kính tổ chức cho toàn bộ bằng chứng về TCI và DAI.</w:t>
      </w:r>
    </w:p>
    <w:p>
      <w:pPr>
        <w:pStyle w:val="BodyText"/>
      </w:pPr>
      <w:r>
        <w:t xml:space="preserve">Đối với năng lực công nghệ, bằng chứng hội tụ mạnh mẽ rằng đây là yếu tố nâng mặt bằng phổ quát: hiệu ứng trực tiếp dương và có ý nghĩa cao xuất hiện nhất quán ở mọi bối cảnh (Việt Nam +0,179 dạng biến công cụ; Trung Quốc từ +0,28 đến +0,43; toàn mẫu 50 nền +0,141; Nhật Bản +0,100; SIDS +0,064), trong khi các tương tác uốn đường cong với cường độ xuất khẩu không đạt ý nghĩa thống kê trên toàn mẫu và chỉ định hình ở một bối cảnh đơn quốc gia. Ngay cả tại SIDS, nơi dạng chữ U ngược mất cấu trúc, năng lực công nghệ vẫn nâng mặt bằng năng suất nhưng không thể uốn độ dốc sang vùng có lợi, một bằng chứng cho thấy vai trò của năng lực công nghệ là nâng sàn chứ không phải định hình đường cong.</w:t>
      </w:r>
    </w:p>
    <w:p>
      <w:pPr>
        <w:pStyle w:val="BodyText"/>
      </w:pPr>
      <w:r>
        <w:t xml:space="preserve">Đối với chấp nhận số, mô thức cũng tương tự nhưng với một khác biệt then chốt về cường độ ngữ cảnh. Hiệu ứng nâng mặt bằng của DAI là phổ quát và lớn hơn cả TCI trên toàn mẫu 50 nền (+0,201, p &lt; 0,001), nhưng vai trò uốn đường cong của nó không phổ quát: các tương tác đường cong trên toàn mẫu mang đúng chiều nén mà khung CDCM dự đoán nhưng không đạt ý nghĩa thống kê, và chỉ phát huy rõ rệt ở bối cảnh đặc thù (Singapore, tương tác bậc hai +3,119, p = 0,005). Phát hiện này tinh chỉnh đóng góp lý thuyết theo hướng quan trọng: sự khác biệt giữa TCI và DAI không nằm ở việc cái nào nâng mặt bằng (cả hai đều nâng), mà ở chỗ vai trò uốn đường cong của DAI bị điều kiện hóa bởi tầng phát triển thể chế và mức độ chiều sâu của thước đo, trong khi TCI thuần túy là yếu tố nền tảng nâng sàn. Đây là cơ sở thực nghiệm trực tiếp cho lập luận rằng năng lực công nghệ là năng lực nền tảng còn chấp nhận số là nguồn lực tình huống trong khung CDCM.</w:t>
      </w:r>
    </w:p>
    <w:p>
      <w:pPr>
        <w:pStyle w:val="BodyText"/>
      </w:pPr>
      <w:r>
        <w:t xml:space="preserve">Phân biệt này còn có hệ quả về mặt phương pháp. Tài liệu số hóa thường gộp hai cấu trúc thành một chỉ số tổng hợp duy nhất, làm che khuất chính sự khác biệt về cơ chế mà luận án phát hiện. Việc tách bạch TCI và DAI thành hai hợp phần hình thành độc lập, dựa trên các tiêu chí đo lường của Coltman và cộng sự (2008) và phân biệt khái niệm của Bharadwaj và cộng sự (2013), cho phép luận án nhận diện rằng hai nguồn lực số tham gia vào quan hệ quốc tế hóa và hiệu quả qua hai con đường khác nhau, một phát hiện không thể đạt được nếu chúng bị gộp chung.</w:t>
      </w:r>
    </w:p>
    <w:bookmarkEnd w:id="41"/>
    <w:bookmarkStart w:id="42"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hình phạt quốc tế hóa cưỡng bức</w:t>
      </w:r>
      <w:r>
        <w:t xml:space="preserve"> </w:t>
      </w:r>
      <w:r>
        <w:t xml:space="preserve">(Forced Internationalization Penalty, FIP), một cấu trúc lý thuyết mới chưa được định danh trong tài liệu kinh doanh quốc tế, như một hiện tượng lý thuyết độc lập, khác biệt về bản chất với nhánh đi xuống giai đoạn đầu trong đường cong chữ S. FIP không phải là giai đoạn đầu của quá trình học hỏi với chi phí học hỏi như mô hình Uppsala dự đoán, mà là một trạng thái cấu trúc bất lợi dài hạn: doanh nghiệp ở các nền đảo nhỏ phải xuất khẩu để tồn tại vì thị trường nội địa quá nhỏ, nhưng không có năng lực và môi trường để đạt lợi thế từ xuất khẩu. Cần nhấn mạnh rằng đóng góp này chủ yếu mang tính</w:t>
      </w:r>
      <w:r>
        <w:t xml:space="preserve"> </w:t>
      </w:r>
      <w:r>
        <w:rPr>
          <w:bCs/>
          <w:b/>
        </w:rPr>
        <w:t xml:space="preserve">khái niệm</w:t>
      </w:r>
      <w:r>
        <w:t xml:space="preserve">: FIP định danh một điều kiện biên lý thuyết của họ mô hình chữ U ngược. Bằng chứng thực nghiệm đi kèm (P8) mang tính</w:t>
      </w:r>
      <w:r>
        <w:t xml:space="preserve"> </w:t>
      </w:r>
      <w:r>
        <w:rPr>
          <w:bCs/>
          <w:b/>
        </w:rPr>
        <w:t xml:space="preserve">thăm dò</w:t>
      </w:r>
      <w:r>
        <w:t xml:space="preserve"> </w:t>
      </w:r>
      <w:r>
        <w:t xml:space="preserve">và nhạy cảm với phiên bản dữ liệu cũng như số nền đảo nhỏ có dữ liệu doanh nghiệp đầy đủ (Mục 4.7.8); việc kiểm định FIP một cách dứt khoát đòi hỏi mẫu doanh nghiệp đầy đủ hơn ở nhiều nền SIDS với số cụm đủ lớn cho suy luận hợp lệ, một hướng nghiên cứu tương lai trực tiếp. Giá trị của FIP vì vậy nằm ở chỗ nó</w:t>
      </w:r>
      <w:r>
        <w:t xml:space="preserve"> </w:t>
      </w:r>
      <w:r>
        <w:rPr>
          <w:bCs/>
          <w:b/>
        </w:rPr>
        <w:t xml:space="preserve">xác định ranh giới ứng dụng</w:t>
      </w:r>
      <w:r>
        <w:t xml:space="preserve"> </w:t>
      </w:r>
      <w:r>
        <w:t xml:space="preserve">của các lý thuyết quốc tế hóa phổ quát, độc lập với độ lớn chính xác của hệ số ước lượng được.</w:t>
      </w:r>
    </w:p>
    <w:p>
      <w:pPr>
        <w:pStyle w:val="BodyText"/>
      </w:pPr>
      <w:r>
        <w:t xml:space="preserve">Giá trị khái niệm của FIP được làm rõ qua việc phân biệt nó với bốn cấu trúc lân cận trong tài liệu, cho thấy FIP là một khái niệm độc lập chứ không phải tên gọi mới cho một ý tưởng đã có. Thứ nhất, khác với chi phí giai đoạn đầu trong lý thuyết ba giai đoạn (Contractor et al., 2003), vốn là chi phí học hỏi tạm thời sẽ được bù đắp sau khi vượt điểm uốn, FIP không có điểm uốn trong miền dữ liệu quan sát vì ràng buộc của nó mang tính cấu trúc chứ không phải giai đoạn. Thứ hai, khác với gánh nặng người nước ngoài (Zaheer, 1995), vốn vận hành ở phía thị trường đích khi doanh nghiệp nước ngoài thâm nhập, FIP vận hành ở phía thị trường nguồn, tức là phần thiệt mà chính doanh nghiệp đảo nhỏ gánh chịu khi xuất khẩu. Thứ ba, khác với khởi nghiệp do nhu cầu thiết yếu trong tài liệu khởi nghiệp, nơi doanh nhân trong bối cảnh phát triển có thể đạt ngang bằng hiệu quả khi có đủ thời gian và hỗ trợ thể chế, FIP đặc trưng cho bối cảnh nơi hỗ trợ thể chế vắng mặt một cách hệ thống, khiến con đường quốc tế hóa do cưỡng bức bị bất lợi dai dẳng. Thứ tư, khác với chỉ số tổn thương vĩ mô vốn đo mức phơi nhiễm của nền kinh tế trước cú sốc bên ngoài, FIP là một cấu trúc vi mô ở cấp doanh nghiệp, định danh chính cơ chế hiệu quả mà qua đó tổn thương cấu trúc vĩ mô chuyển hóa thành kết quả cấp doanh nghiệp.</w:t>
      </w:r>
    </w:p>
    <w:p>
      <w:pPr>
        <w:pStyle w:val="BodyText"/>
      </w:pPr>
      <w:r>
        <w:t xml:space="preserve">Đặt cạnh lý thuyết bàn đạp (Luo &amp; Tung, 2007), FIP còn mang một giá trị bổ sung: nó xác định điều kiện biên nơi chính logic bàn đạp thất bại. Lý thuyết bàn đạp giả định rằng doanh nghiệp nền kinh tế mới nổi có thể dùng quốc tế hóa như một bàn đạp để thâu nhận tài sản chiến lược và bù đắp bất lợi quê nhà. FIP cho thấy một chế độ thể chế, nhóm đảo nhỏ, nơi giả định này sụp đổ: doanh nghiệp buộc phải quốc tế hóa nhưng thiếu cả nền tảng quy mô nội địa lẫn đệm thể chế để biến quốc tế hóa thành tích lũy năng lực, nên không có bàn đạp nào để bật lên mà chỉ còn gánh nặng. Theo nghĩa này, luận án đóng góp một điều kiện biên cho lý thuyết bàn đạp: cơ chế bàn đạp chỉ vận hành khi tồn tại tối thiểu một nền tảng quy mô và một mức hỗ trợ thể chế; dưới ngưỡng đó, cùng một hành vi quốc tế hóa chuyển từ cơ chế xây dựng năng lực sang cơ chế bào mòn hiệu quả. Đây là một đóng góp lý thuyết kép: vừa định danh FIP như một hiện tượng độc lập, vừa định vị nó như ranh giới áp dụng của một lý thuyết quốc tế hóa nền mới nổi đang có ảnh hưởng, qua đó nối liền mạch lập luận từ lăng kính bàn đạp được giới thiệu ở Mục 2.2.3.1 đến trường hợp biên thực nghiệm của luận án.</w:t>
      </w:r>
    </w:p>
    <w:p>
      <w:pPr>
        <w:pStyle w:val="BodyText"/>
      </w:pPr>
      <w:r>
        <w:t xml:space="preserve">Khái niệm FIP do đó mở ra hướng nghiên cứu mới về</w:t>
      </w:r>
      <w:r>
        <w:t xml:space="preserve"> </w:t>
      </w:r>
      <w:r>
        <w:rPr>
          <w:bCs/>
          <w:b/>
        </w:rPr>
        <w:t xml:space="preserve">điều kiện biên của lý thuyết quốc tế hóa</w:t>
      </w:r>
      <w:r>
        <w:t xml:space="preserve">: trong điều kiện nào thì quốc tế hóa nhiều hơn luôn đồng nghĩa với hiệu quả kém hơn? Luận án đề xuất rằng FIP xuất hiện khi ba điều kiện đồng thời thỏa mãn: thứ nhất, thể chế ICRV ở mức thấp nhất; thứ hai, quy mô nền kinh tế quá nhỏ để tạo cơ sở nội địa; và thứ ba, thiếu hỗ trợ năng lực xuất khẩu từ chính sách. Kết hợp ba điều kiện này tạo ra một cái bẫy quốc tế hóa cưỡng bức mà không có điểm uốn để thoát khỏi. Về mặt lý thuyết, phát hiện này dịch chuyển trọng tâm của tài liệu từ mệnh đề</w:t>
      </w:r>
      <w:r>
        <w:t xml:space="preserve"> </w:t>
      </w:r>
      <w:r>
        <w:t xml:space="preserve">“</w:t>
      </w:r>
      <w:r>
        <w:t xml:space="preserve">thể chế điều tiết quan hệ quốc tế hóa và hiệu quả</w:t>
      </w:r>
      <w:r>
        <w:t xml:space="preserve">”</w:t>
      </w:r>
      <w:r>
        <w:t xml:space="preserve"> </w:t>
      </w:r>
      <w:r>
        <w:t xml:space="preserve">(Marano et al., 2016) sang một mệnh đề mạnh hơn:</w:t>
      </w:r>
      <w:r>
        <w:t xml:space="preserve"> </w:t>
      </w:r>
      <w:r>
        <w:t xml:space="preserve">“</w:t>
      </w:r>
      <w:r>
        <w:t xml:space="preserve">thể chế quyết định cả dấu của quan hệ quốc tế hóa và hiệu quả</w:t>
      </w:r>
      <w:r>
        <w:t xml:space="preserve">”</w:t>
      </w:r>
      <w:r>
        <w:t xml:space="preserve">.</w:t>
      </w:r>
    </w:p>
    <w:bookmarkEnd w:id="42"/>
    <w:bookmarkStart w:id="43" w:name="X32e974f098fd5f6a541421aa79c33111fe833eb"/>
    <w:p>
      <w:pPr>
        <w:pStyle w:val="Heading3"/>
      </w:pPr>
      <w:r>
        <w:t xml:space="preserve">5.3.3 Khung ICRV sáu chế độ: Phân loại thể chế đặc thù cho khu vực châu Á và Thái Bình Dương</w:t>
      </w:r>
    </w:p>
    <w:p>
      <w:pPr>
        <w:pStyle w:val="FirstParagraph"/>
      </w:pPr>
      <w:r>
        <w:t xml:space="preserve">Đóng góp lý thuyết thứ ba là phát triển và kiểm định</w:t>
      </w:r>
      <w:r>
        <w:t xml:space="preserve"> </w:t>
      </w:r>
      <w:r>
        <w:rPr>
          <w:bCs/>
          <w:b/>
        </w:rPr>
        <w:t xml:space="preserve">khung ICRV sáu chế độ</w:t>
      </w:r>
      <w:r>
        <w:t xml:space="preserve"> </w:t>
      </w:r>
      <w:r>
        <w:t xml:space="preserve">như một công cụ phân loại thể chế đặc thù cho khu vực châu Á và Thái Bình Dương, thay thế cho các phân loại nhị phân (phát triển và mới nổi) hoặc các thang điểm liên tục như chỉ số quản trị toàn cầu trong tài liệu hiện tại.</w:t>
      </w:r>
      <w:r>
        <w:t xml:space="preserve"> </w:t>
      </w:r>
      <w:r>
        <w:rPr>
          <w:bCs/>
          <w:b/>
        </w:rPr>
        <w:t xml:space="preserve">Lưu ý về phạm vi áp dụng:</w:t>
      </w:r>
      <w:r>
        <w:t xml:space="preserve"> </w:t>
      </w:r>
      <w:r>
        <w:t xml:space="preserve">khung sáu chế độ đầy đủ (Nhóm I tới VI, trong đó Nhóm VI là SIDS) được vận hành ở phân tích cấp doanh nghiệp (P7), nơi tồn tại các doanh nghiệp đảo nhỏ trong dữ liệu WBES; còn phân tích tổng hợp ba tầng (P6) sử dụng năm chế độ vì chế độ SIDS không có nghiên cứu sơ cấp công bố cung cấp cỡ ảnh hưởng quốc tế hóa–hiệu quả (</w:t>
      </w:r>
      <m:oMath>
        <m:r>
          <m:t>k</m:t>
        </m:r>
        <m:r>
          <m:rPr>
            <m:sty m:val="p"/>
          </m:rPr>
          <m:t>=</m:t>
        </m:r>
        <m:r>
          <m:t>0</m:t>
        </m:r>
      </m:oMath>
      <w:r>
        <w:t xml:space="preserve">), nên không thể đưa vào kiểm định giữa các chế độ ở cấp phân tích tổng hợp.</w:t>
      </w:r>
    </w:p>
    <w:p>
      <w:pPr>
        <w:pStyle w:val="BodyText"/>
      </w:pPr>
      <w:r>
        <w:t xml:space="preserve">Khung ICRV nắm bắt được sự đa dạng thể chế chưa từng được vận hành hóa đầy đủ: sự khác biệt giữa Singapore (chế độ tiên tiến đổi mới, kết hợp pháp quyền mạnh và hệ sinh thái đổi mới) với các nền vùng Vịnh (chế độ tiên tiến tài nguyên, giàu tài nguyên nhưng hệ sinh thái đổi mới khác biệt), và sự khác biệt giữa Trung Quốc (chế độ trung bình cao, chính phủ can thiệp mạnh) với Việt Nam (chế độ chuyển đổi thu nhập trung bình thấp, đang trong quá trình cải cách) và với Campuchia (chế độ đang nổi, khoảng trống thể chế cao). Khung ICRV không chỉ là một phân loại mô tả mà còn là một phân loại có sức dự đoán: vị trí và sự tồn tại của điểm uốn trong quan hệ quốc tế hóa và hiệu quả thay đổi có hệ thống theo ba vùng của phổ thể chế: chữ U ngược định hình rõ nhất ở vùng giữa (Nhóm IV, điểm uốn 43,0%), duỗi thẳng gần tuyến tính ở biên trên nơi thể chế mạnh đẩy điểm uốn ra mức cường độ xuất khẩu rất cao (Singapore khoảng 88,6%), và mất cấu trúc ở biên dưới; nghĩa là thể chế càng mạnh, doanh nghiệp càng duy trì lợi ích từ quốc tế hóa đến mức cường độ cao hơn trước khi đạt đỉnh, xác nhận giá trị dự đoán của phân loại.</w:t>
      </w:r>
    </w:p>
    <w:p>
      <w:r>
        <w:pict>
          <v:rect style="width:0;height:1.5pt" o:hralign="center" o:hrstd="t" o:hr="t"/>
        </w:pict>
      </w:r>
    </w:p>
    <w:bookmarkEnd w:id="43"/>
    <w:bookmarkStart w:id="44" w:name="X61786cb178b6b5fccafd093d17dbdb91bb4eb71"/>
    <w:p>
      <w:pPr>
        <w:pStyle w:val="Heading3"/>
      </w:pPr>
      <w:r>
        <w:t xml:space="preserve">5.3.4 Điều kiện ổn định thể chế như tiền đề ngầm của khung CDCM</w:t>
      </w:r>
    </w:p>
    <w:p>
      <w:pPr>
        <w:pStyle w:val="FirstParagraph"/>
      </w:pPr>
      <w:r>
        <w:t xml:space="preserve">Đóng góp lý thuyết thứ tư, nổi lên từ bằng chứng Ấn Độ (P9), là xác định một tiền đề ngầm mà phiên bản ban đầu của khung CDCM chưa nêu rõ: bản thân sự tồn tại của chữ U ngược giả định một môi trường thể chế ổn định tương đối trong cửa sổ quan sát. Phát hiện ngưỡng tan biến tại Ấn Độ, với điểm uốn dịch chuyển từ 61,8% năm 2014 xuống 40,7% năm 2022 rồi mất ý nghĩa độ cong năm 2025 dưới áp lực tích lũy của một chuỗi cú sốc thể chế cực đoan, cho thấy biến động thể chế đủ lớn có thể hòa tan chứ không chỉ dịch chuyển điểm tối ưu. Sự đối lập trực tiếp với Trung Quốc, nơi điểm uốn bền vững cấu trúc qua mười hai năm (Paternoster z = 0,82, p = 0,412), làm rõ rằng tính bền vững của ngưỡng không phải đặc tính cố hữu của một chế độ thể chế mà phụ thuộc vào tốc độ và biên độ thay đổi thể chế tích lũy.</w:t>
      </w:r>
    </w:p>
    <w:p>
      <w:pPr>
        <w:pStyle w:val="BodyText"/>
      </w:pPr>
      <w:r>
        <w:t xml:space="preserve">Phát hiện này tinh chỉnh khung CDCM theo hướng đệ quy: thể chế không chỉ là biến điều tiết quyết định vị trí điểm uốn (tầng tĩnh) mà còn là điều kiện ổn định nền cho phép một điểm tối ưu được hình thành (tầng động). Khi thể chế biến động quá nhanh, doanh nghiệp không kịp thiết lập kỳ vọng ổn định về phần thưởng của quốc tế hóa, và quan hệ quốc tế hóa và hiệu quả mất cấu trúc bất kể mức thu nhập của nền kinh tế. Hệ quả là khung CDCM không khẳng định chữ U ngược là quan hệ phổ quát mà là quan hệ có điều kiện kép: điều kiện về mức chất lượng thể chế (định vị điểm uốn) và điều kiện về độ ổn định thể chế (cho phép điểm uốn tồn tại).</w:t>
      </w:r>
    </w:p>
    <w:p>
      <w:pPr>
        <w:pStyle w:val="BodyText"/>
      </w:pPr>
      <w:r>
        <w:t xml:space="preserve">Bằng chứng Ấn Độ cũng tinh chỉnh một mệnh đề phụ trợ của khung về vai trò thay thế của hạ tầng số công cộng. Tương tác âm giữa chấp nhận số Bậc 2 (hạ tầng thanh toán hợp nhất UPI) và cường độ xuất khẩu (hệ số −4,02, p = 0,004) cho thấy hạ tầng số công cộng chỉ thay thế năng lực số tư nhân khi hai loại hạ tầng có cùng định hướng mục đích. Hạ tầng thanh toán nội địa vận hành trên đường ray nội tệ và yêu cầu định danh cư trú, không thể thay thế hạ tầng tài chính xuyên biên giới mà doanh nghiệp xuất khẩu yêu cầu. Mệnh đề tinh chỉnh này, rằng tính thay thế giữa hạ tầng công và năng lực tư là có điều kiện về định hướng mục đích chứ không phổ quát, là một đóng góp khái niệm bổ sung cho tài liệu về vai trò của thể chế công trong chuyển đổi số doanh nghiệp.</w:t>
      </w:r>
    </w:p>
    <w:bookmarkEnd w:id="44"/>
    <w:bookmarkStart w:id="45" w:name="X7499618036119d4d3a3f62eaaac92be96e0a89b"/>
    <w:p>
      <w:pPr>
        <w:pStyle w:val="Heading3"/>
      </w:pPr>
      <w:r>
        <w:t xml:space="preserve">5.3.5 Tích hợp bốn lý thuyết nền qua trục thể chế</w:t>
      </w:r>
    </w:p>
    <w:p>
      <w:pPr>
        <w:pStyle w:val="FirstParagraph"/>
      </w:pPr>
      <w:r>
        <w:t xml:space="preserve">Đóng góp lý thuyết thứ năm mang tính tích hợp: luận án cho thấy bốn lý thuyết nền của khung CDCM không phải là bốn cách giải thích cạnh tranh nhau cho cùng một hiện tượng, mà là bốn lớp giải thích vận hành đồng thời ở các tầng khác nhau và được liên kết bởi một trục chung là chế độ thể chế. Mô hình quá trình quốc tế hóa của Johanson và Vahlne (1977) giải thích vòng học hỏi qua đó doanh nghiệp tích lũy tri thức thị trường nước ngoài và tăng cam kết, cơ chế làm nền cho nhánh đi lên của đường cong ở các chế độ thể chế trung bình và cao. Lý thuyết dựa trên nguồn lực (Barney, 1991) giải thích vì sao năng lực công nghệ chiều sâu nâng mặt bằng năng suất một cách phổ quát: TCI là nguồn lực có giá trị, hiếm, khó sao chép và khó thay thế, nên hiệu ứng nâng sàn của nó không lệ thuộc vào chế độ thể chế. Lý thuyết thể chế (North, 1990; Khanna &amp; Palepu, 2010) giải thích vì sao điểm uốn dịch chuyển và vì sao quan hệ mất cấu trúc hoặc đảo dấu ở các chế độ thể chế yếu, qua cơ chế chi phí giao dịch và khoảng trống thể chế. Và lý thuyết thượng tầng quản trị (Hambrick &amp; Mason, 1984) giải thích kênh cá nhân hóa qua đặc điểm nhà quản trị cấp cao, kênh mà luận án cho thấy chỉ vận hành có điều kiện theo bối cảnh chứ không đồng nhất.</w:t>
      </w:r>
    </w:p>
    <w:p>
      <w:pPr>
        <w:pStyle w:val="BodyText"/>
      </w:pPr>
      <w:r>
        <w:t xml:space="preserve">Điểm tích hợp then chốt là cả bốn cơ chế đều bị điều kiện hóa bởi cùng một biến trục là chế độ thể chế ICRV. Vòng học hỏi Uppsala vận hành trơn tru khi đệm thể chế đủ dày nhưng bị gián đoạn khi khoảng trống thể chế quá lớn; lợi thế nguồn lực theo lý thuyết dựa trên nguồn lực được hiện thực hóa thành hiệu quả ở mọi chế độ nhưng phần thưởng biên của nó thay đổi theo độ dày của hệ sinh thái hỗ trợ; và kênh quản trị cấp cao phụ thuộc cấu trúc ngành và thể chế nơi doanh nghiệp hoạt động. Cách đọc tích hợp này lý giải vì sao một khung đơn lý thuyết không thể nắm bắt đầy đủ cấu trúc ba vùng: mỗi lý thuyết nền chiếu sáng một đoạn của họ đường cong, và chỉ khi xếp chồng cả bốn lớp dọc theo trục thể chế thì một dải liên tục từ chữ U ngược đến mất cấu trúc và đảo dấu mới hiện ra trọn vẹn. Về mặt kiến trúc lý thuyết, thay vì chọn một lý thuyết trội nhất, luận án định vị rõ phạm vi áp dụng và điều kiện biên của từng lý thuyết, và chỉ ra thể chế là biến liên kết chúng thành một hệ giải thích nhất quán.</w:t>
      </w:r>
    </w:p>
    <w:bookmarkEnd w:id="45"/>
    <w:bookmarkStart w:id="46" w:name="Xaf4611420c0d9e18880fab8918c5deec248ab26"/>
    <w:p>
      <w:pPr>
        <w:pStyle w:val="Heading3"/>
      </w:pPr>
      <w:r>
        <w:t xml:space="preserve">5.3.6 Hệ quả phương pháp luận cho nghiên cứu phi tuyến đa bối cảnh (đóng góp phụ trợ)</w:t>
      </w:r>
    </w:p>
    <w:p>
      <w:pPr>
        <w:pStyle w:val="FirstParagraph"/>
      </w:pPr>
      <w:r>
        <w:t xml:space="preserve">Đóng góp lý thuyết thứ sáu mang tính phương pháp luận và có hệ quả vượt ra ngoài chủ đề quốc tế hóa và hiệu quả. Luận án minh họa cụ thể một vấn đề mà tài liệu kiểm định quan hệ phi tuyến đã cảnh báo ở mức nguyên tắc (Haans và cộng sự, 2016; Lind &amp; Mehlum, 2010): khi một dạng hàm phi tuyến được ước lượng trên một mẫu gộp nhiều bối cảnh không đồng nhất về cơ chế nền, hệ số bậc hai gộp và điểm uốn gộp có thể là một tạo tác của phép trộn chứ không phản ánh bất kỳ bối cảnh đơn lẻ nào. Bằng chứng của luận án cho thấy ba dạng quan hệ khác nhau về bản chất (chữ U ngược sắc nét, gần tuyến tính dương, âm đơn điệu) cùng tồn tại trong một mẫu khu vực, và việc gộp chúng tạo ra một tín hiệu nén và bất ổn đúng như các nghiên cứu nhân rộng quy mô lớn ghi nhận (Pisani và cộng sự, 2020; Berry &amp; Kaul, 2016).</w:t>
      </w:r>
    </w:p>
    <w:p>
      <w:pPr>
        <w:pStyle w:val="BodyText"/>
      </w:pPr>
      <w:r>
        <w:t xml:space="preserve">Hệ quả phương pháp luận trực tiếp là: trong nghiên cứu phi tuyến đa bối cảnh, việc phân tầng theo một biến điều tiết có cơ sở lý thuyết trước khi ước lượng dạng hàm không phải là một bước tinh chỉnh tùy chọn mà là điều kiện cần để diễn giải đúng. Khung phân loại thể chế ICRV mà luận án phát triển có thể coi là một ví dụ về cách vận hành hóa nguyên tắc này: thay vì hỏi</w:t>
      </w:r>
      <w:r>
        <w:t xml:space="preserve"> </w:t>
      </w:r>
      <w:r>
        <w:t xml:space="preserve">“</w:t>
      </w:r>
      <w:r>
        <w:t xml:space="preserve">dạng hàm trung bình là gì</w:t>
      </w:r>
      <w:r>
        <w:t xml:space="preserve">”</w:t>
      </w:r>
      <w:r>
        <w:t xml:space="preserve">, câu hỏi đúng là</w:t>
      </w:r>
      <w:r>
        <w:t xml:space="preserve"> </w:t>
      </w:r>
      <w:r>
        <w:t xml:space="preserve">“</w:t>
      </w:r>
      <w:r>
        <w:t xml:space="preserve">dạng hàm thay đổi như thế nào dọc theo chiều điều tiết có cơ sở lý thuyết</w:t>
      </w:r>
      <w:r>
        <w:t xml:space="preserve">”</w:t>
      </w:r>
      <w:r>
        <w:t xml:space="preserve">. Cách tiếp cận này cũng nhất quán với quan điểm về nhận dạng nhân quả tích lũy qua một khối nghiên cứu (Shaver, 2020): bằng chứng vững không đến từ một ước lượng gộp đơn lẻ mà từ sự hội tụ của nhiều nguồn dữ liệu và phương pháp với các điểm yếu không trùng nhau, đúng như tam giác hóa giữa phân tích tổng hợp P6 và ước lượng gộp toàn mẫu P7 đã trình bày ở Mục 5.2.5. Đây là một đóng góp mà giá trị của nó vượt ra ngoài chủ đề luận án, áp dụng được cho bất kỳ lĩnh vực nào mà quan hệ phi tuyến được kiểm định trên dữ liệu gộp từ nhiều bối cảnh thể chế khác biệt.</w:t>
      </w:r>
    </w:p>
    <w:bookmarkEnd w:id="46"/>
    <w:bookmarkStart w:id="47" w:name="X199901e49870a9d6e052a6e6d25749e642dce02"/>
    <w:p>
      <w:pPr>
        <w:pStyle w:val="Heading3"/>
      </w:pPr>
      <w:r>
        <w:t xml:space="preserve">5.3.7 Định vị trong chương trình nghị sự nền tảng vi mô của kinh doanh quốc tế</w:t>
      </w:r>
    </w:p>
    <w:p>
      <w:pPr>
        <w:pStyle w:val="FirstParagraph"/>
      </w:pPr>
      <w:r>
        <w:t xml:space="preserve">Đóng góp lý thuyết thứ bảy nằm ở cách luận án bắc cầu giữa cấp độ vĩ mô và cấp độ vi mô của phân tích, một hướng đang được giới kinh doanh quốc tế quan tâm mạnh dưới tên gọi nền tảng vi mô. Khung CDCM của luận án vốn đã phân tầng tường minh thành tầng vĩ mô (chế độ thể chế ICRV), tầng tổ chức (năng lực công nghệ và số), và tầng cá nhân (đặc điểm nhà quản trị cấp cao). Chính tương tác giữa tầng vĩ mô và tầng cá nhân, tức câu hỏi bối cảnh thể chế định hình hay ràng buộc nhận thức và quyết định của nhà quản trị như thế nào, là nội dung cốt lõi của chương trình nghị sự nền tảng vi mô.</w:t>
      </w:r>
    </w:p>
    <w:p>
      <w:pPr>
        <w:pStyle w:val="BodyText"/>
      </w:pPr>
      <w:r>
        <w:t xml:space="preserve">Lý thuyết thượng tầng quản trị (Hambrick &amp; Mason, 1984) từ lâu đã đặt nền cho cách đọc này khi lập luận rằng kết quả tổ chức là sự phản chiếu nhận thức và giá trị của nhà quản trị; bước tiến gần đây của Grego và cộng sự (2025) bổ sung chiều nhận thức cảm tính, cho thấy quyết định quốc tế hóa không quy giản về tính toán duy lý lạnh lùng. Luận án đóng góp vào mạch này một bằng chứng đặc thù: hiệu ứng của đặc điểm nhà quản trị không phải một hằng số phổ quát mà thay đổi theo thước đo hiệu quả và bối cảnh thể chế, biểu hiện rõ ở việc hệ số của biến quản trị nữ đổi dấu giữa thước đo lợi nhuận đơn quốc gia (dương, trong chương sách Ấn Độ) và thước đo năng suất gộp đa quốc gia (âm, trong P7 và P10). Phát hiện này hàm ý rằng việc đưa đặc trưng cá nhân vào mô hình quan hệ quốc tế hóa và hiệu quả mà không kiểm soát đồng thời bối cảnh thể chế và thước đo dễ dẫn đến kết luận mâu thuẫn, qua đó củng cố lời kêu gọi của tài liệu nền tảng vi mô về thiết kế đa cấp độ. Định vị này không chỉ làm rõ giá trị của tầng cá nhân trong khung CDCM mà còn kết nối luận án với một trong những hướng lý thuyết thời sự nhất của ngành. Cách định vị này nhất quán với hướng dẫn của giới biên tập kinh doanh quốc tế về đóng góp lý thuyết: Santangelo và Verbeke (2022) xác định việc làm rõ các điều kiện biên của một lý thuyết và việc đánh giá thận trọng tính hợp lệ khi áp dụng lý thuyết qua các cấp độ phân tích khác nhau là hai con đường cốt lõi để tạo đóng góp lý thuyết cho kinh doanh quốc tế. Luận án thực hiện đúng cả hai: vận hành hóa điều kiện biên thể chế bằng khung ICRV thay vì giả định một quy luật phổ quát, và nối tầng vĩ mô thể chế với tầng cá nhân nhà quản trị trong một khung đa cấp được lập luận tường minh thay vì chuyển dịch lý thuyết giữa các cấp độ một cách máy móc.</w:t>
      </w:r>
    </w:p>
    <w:bookmarkEnd w:id="47"/>
    <w:bookmarkStart w:id="48" w:name="X424c76d92b37ed9a157ad7d30d86350b2c8bf81"/>
    <w:p>
      <w:pPr>
        <w:pStyle w:val="Heading3"/>
      </w:pPr>
      <w:r>
        <w:t xml:space="preserve">5.3.8 Điều kiện phạm vi và cơ sở nhận dạng nhân quả của khung CDCM</w:t>
      </w:r>
    </w:p>
    <w:p>
      <w:pPr>
        <w:pStyle w:val="FirstParagraph"/>
      </w:pPr>
      <w:r>
        <w:t xml:space="preserve">Một đóng góp lý thuyết đạt chuẩn quốc tế phải nêu rõ không chỉ</w:t>
      </w:r>
      <w:r>
        <w:t xml:space="preserve"> </w:t>
      </w:r>
      <w:r>
        <w:rPr>
          <w:iCs/>
          <w:i/>
        </w:rPr>
        <w:t xml:space="preserve">nó khẳng định điều gì</w:t>
      </w:r>
      <w:r>
        <w:t xml:space="preserve"> </w:t>
      </w:r>
      <w:r>
        <w:t xml:space="preserve">mà cả</w:t>
      </w:r>
      <w:r>
        <w:t xml:space="preserve"> </w:t>
      </w:r>
      <w:r>
        <w:rPr>
          <w:iCs/>
          <w:i/>
        </w:rPr>
        <w:t xml:space="preserve">trong những điều kiện nào điều đó đúng</w:t>
      </w:r>
      <w:r>
        <w:t xml:space="preserve"> </w:t>
      </w:r>
      <w:r>
        <w:t xml:space="preserve">và</w:t>
      </w:r>
      <w:r>
        <w:t xml:space="preserve"> </w:t>
      </w:r>
      <w:r>
        <w:rPr>
          <w:iCs/>
          <w:i/>
        </w:rPr>
        <w:t xml:space="preserve">cơ sở suy luận nào nâng đỡ khẳng định</w:t>
      </w:r>
      <w:r>
        <w:t xml:space="preserve"> </w:t>
      </w:r>
      <w:r>
        <w:t xml:space="preserve">(Santangelo &amp; Verbeke, 2022). Mục này phát biểu tường minh hai điều đó cho khung CDCM, tách bạch khỏi các hạn chế nghiên cứu (Mục 5.5) vốn nói về điểm yếu của thiết kế chứ không phải ranh giới của lý thuyết.</w:t>
      </w:r>
    </w:p>
    <w:p>
      <w:pPr>
        <w:pStyle w:val="BodyText"/>
      </w:pPr>
      <w:r>
        <w:rPr>
          <w:bCs/>
          <w:b/>
        </w:rPr>
        <w:t xml:space="preserve">Điều kiện phạm vi (boundary conditions).</w:t>
      </w:r>
      <w:r>
        <w:t xml:space="preserve"> </w:t>
      </w:r>
      <w:r>
        <w:t xml:space="preserve">Khung CDCM được phát biểu trong một miền ứng dụng xác định, và chính sự xác định này làm cho nó có thể bị bác bỏ. Thứ nhất,</w:t>
      </w:r>
      <w:r>
        <w:t xml:space="preserve"> </w:t>
      </w:r>
      <w:r>
        <w:rPr>
          <w:iCs/>
          <w:i/>
        </w:rPr>
        <w:t xml:space="preserve">đơn vị và thước đo</w:t>
      </w:r>
      <w:r>
        <w:t xml:space="preserve">: khung áp dụng cho quan hệ ở</w:t>
      </w:r>
      <w:r>
        <w:t xml:space="preserve"> </w:t>
      </w:r>
      <w:r>
        <w:rPr>
          <w:bCs/>
          <w:b/>
        </w:rPr>
        <w:t xml:space="preserve">cấp doanh nghiệp</w:t>
      </w:r>
      <w:r>
        <w:t xml:space="preserve"> </w:t>
      </w:r>
      <w:r>
        <w:t xml:space="preserve">với mức độ quốc tế hóa được đo bằng</w:t>
      </w:r>
      <w:r>
        <w:t xml:space="preserve"> </w:t>
      </w:r>
      <w:r>
        <w:rPr>
          <w:bCs/>
          <w:b/>
        </w:rPr>
        <w:t xml:space="preserve">cường độ xuất khẩu (chiều doanh số của DOI)</w:t>
      </w:r>
      <w:r>
        <w:t xml:space="preserve">; các chiều khác của quốc tế hóa (phạm vi địa lý, chiều sâu cam kết qua đầu tư trực tiếp ra nước ngoài) nằm ngoài phạm vi đã kiểm định và là điều kiện biên cần nhân rộng (Mục 5.5.3.3). Thứ hai,</w:t>
      </w:r>
      <w:r>
        <w:t xml:space="preserve"> </w:t>
      </w:r>
      <w:r>
        <w:rPr>
          <w:iCs/>
          <w:i/>
        </w:rPr>
        <w:t xml:space="preserve">miền thể chế</w:t>
      </w:r>
      <w:r>
        <w:t xml:space="preserve">: khung được hiệu chỉnh và kiểm định trên</w:t>
      </w:r>
      <w:r>
        <w:t xml:space="preserve"> </w:t>
      </w:r>
      <w:r>
        <w:rPr>
          <w:bCs/>
          <w:b/>
        </w:rPr>
        <w:t xml:space="preserve">phổ thể chế châu Á và Thái Bình Dương</w:t>
      </w:r>
      <w:r>
        <w:t xml:space="preserve"> </w:t>
      </w:r>
      <w:r>
        <w:t xml:space="preserve">giai đoạn 2006–2026; việc mở rộng sang các khu vực có cấu hình thể chế khác (Mỹ Latinh, châu Phi hạ Sahara) là một kiểm định phạm vi mở. Thứ ba,</w:t>
      </w:r>
      <w:r>
        <w:t xml:space="preserve"> </w:t>
      </w:r>
      <w:r>
        <w:rPr>
          <w:iCs/>
          <w:i/>
        </w:rPr>
        <w:t xml:space="preserve">giả định cấu trúc tối thiểu</w:t>
      </w:r>
      <w:r>
        <w:t xml:space="preserve">: khung ngầm giả định ba điều kiện cấu trúc, thị trường nội địa đủ lớn, chi phí thương mại không quá cao, và tồn tại hỗ trợ thể chế tối thiểu, được thỏa mãn; chính việc</w:t>
      </w:r>
      <w:r>
        <w:t xml:space="preserve"> </w:t>
      </w:r>
      <w:r>
        <w:rPr>
          <w:bCs/>
          <w:b/>
        </w:rPr>
        <w:t xml:space="preserve">định danh trường hợp các giả định này đồng thời bị vi phạm</w:t>
      </w:r>
      <w:r>
        <w:t xml:space="preserve"> </w:t>
      </w:r>
      <w:r>
        <w:t xml:space="preserve">(chế độ SIDS, qua khái niệm FIP) là cách luận án biến điều kiện biên ngầm của cả họ lý thuyết chữ U ngược thành một mệnh đề tường minh. Khung do đó tự nêu ranh giới ứng dụng của chính nó: tại biên dưới cực trị của phổ thể chế, dạng hàm chữ U ngược không còn là mô tả đúng.</w:t>
      </w:r>
    </w:p>
    <w:p>
      <w:pPr>
        <w:pStyle w:val="BodyText"/>
      </w:pPr>
      <w:r>
        <w:rPr>
          <w:bCs/>
          <w:b/>
        </w:rPr>
        <w:t xml:space="preserve">Cơ sở nhận dạng nhân quả.</w:t>
      </w:r>
      <w:r>
        <w:t xml:space="preserve"> </w:t>
      </w:r>
      <w:r>
        <w:t xml:space="preserve">Luận án giữ thái độ suy luận thận trọng và nhất quán: thiết kế dữ liệu là</w:t>
      </w:r>
      <w:r>
        <w:t xml:space="preserve"> </w:t>
      </w:r>
      <w:r>
        <w:rPr>
          <w:bCs/>
          <w:b/>
        </w:rPr>
        <w:t xml:space="preserve">chuỗi cắt ngang lặp lại</w:t>
      </w:r>
      <w:r>
        <w:t xml:space="preserve"> </w:t>
      </w:r>
      <w:r>
        <w:t xml:space="preserve">(không phải dữ liệu bảng theo dõi cùng doanh nghiệp), nên các phát biểu được hiểu là</w:t>
      </w:r>
      <w:r>
        <w:t xml:space="preserve"> </w:t>
      </w:r>
      <w:r>
        <w:rPr>
          <w:bCs/>
          <w:b/>
        </w:rPr>
        <w:t xml:space="preserve">quan hệ cấu trúc có điều kiện</w:t>
      </w:r>
      <w:r>
        <w:t xml:space="preserve"> </w:t>
      </w:r>
      <w:r>
        <w:t xml:space="preserve">chứ không phải hiệu ứng nhân quả điểm được nhận dạng chặt. Tuy vậy, độ tin cậy của luận điểm trung tâm không dựa trên một ước lượng đơn lẻ mà trên</w:t>
      </w:r>
      <w:r>
        <w:t xml:space="preserve"> </w:t>
      </w:r>
      <w:r>
        <w:rPr>
          <w:bCs/>
          <w:b/>
        </w:rPr>
        <w:t xml:space="preserve">tam giác hóa nhiều nguồn nhận dạng có thiên lệch không trùng nhau</w:t>
      </w:r>
      <w:r>
        <w:t xml:space="preserve">: (i) biến công cụ cho chấp nhận số với kiểm định độ mạnh công cụ (Mục 3.5.6.1), cho hệ số DAI được công cụ hóa gần</w:t>
      </w:r>
      <w:r>
        <w:t xml:space="preserve"> </w:t>
      </w:r>
      <w:r>
        <w:t xml:space="preserve">“</w:t>
      </w:r>
      <w:r>
        <w:t xml:space="preserve">không</w:t>
      </w:r>
      <w:r>
        <w:t xml:space="preserve">”</w:t>
      </w:r>
      <w:r>
        <w:t xml:space="preserve">, gợi ý phần lớn tương quan DAI–hiệu quả mang tính chọn lọc chứ không nhân quả, một kết luận</w:t>
      </w:r>
      <w:r>
        <w:t xml:space="preserve"> </w:t>
      </w:r>
      <w:r>
        <w:rPr>
          <w:iCs/>
          <w:i/>
        </w:rPr>
        <w:t xml:space="preserve">khiêm tốn hóa</w:t>
      </w:r>
      <w:r>
        <w:t xml:space="preserve"> </w:t>
      </w:r>
      <w:r>
        <w:t xml:space="preserve">chứ không thổi phồng; (ii) giới hạn Oster về thiên lệch do biến bỏ sót không quan sát (Mục 3.5.6.2); (iii) kiểm định ổn định hệ số Paternoster xuyên đợt khảo sát (P5:</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(iv)</w:t>
      </w:r>
      <w:r>
        <w:t xml:space="preserve"> </w:t>
      </w:r>
      <w:r>
        <w:rPr>
          <w:bCs/>
          <w:b/>
        </w:rPr>
        <w:t xml:space="preserve">tính nhất quán về dấu xuyên nhiều mô hình</w:t>
      </w:r>
      <w:r>
        <w:t xml:space="preserve"> </w:t>
      </w:r>
      <w:r>
        <w:t xml:space="preserve">như nguyên tắc suy luận nền tảng (Mục 3.5.6.3); và (v) sự hội tụ giữa phân tích tổng hợp (P6) và ước lượng gộp cấp doanh nghiệp (P7), hai phương pháp chịu các nguồn thiên lệch khác nhau nhưng cùng định vị thể chế là biến điều tiết then chốt (Mục 5.2.5). Khi năm nguồn nhận dạng với điểm yếu bù trừ lẫn nhau cùng chỉ về một kết luận, luận điểm cấu trúc trở nên khó quy về tạo tác của một quy trình phân tích đơn lẻ, ngay cả khi từng nguồn riêng lẻ không đủ để nhận dạng nhân quả điểm. Đây chính là chuẩn suy luận mà tài liệu kinh doanh quốc tế đương đại kỳ vọng ở thiết kế quan sát đa bối cảnh.</w:t>
      </w:r>
    </w:p>
    <w:bookmarkEnd w:id="48"/>
    <w:bookmarkEnd w:id="49"/>
    <w:bookmarkStart w:id="56" w:name="đề-xuất-chính-sách-và-quản-trị"/>
    <w:p>
      <w:pPr>
        <w:pStyle w:val="Heading2"/>
      </w:pPr>
      <w:r>
        <w:t xml:space="preserve">5.4 Đề xuất chính sách và quản trị</w:t>
      </w:r>
    </w:p>
    <w:p>
      <w:pPr>
        <w:pStyle w:val="FirstParagraph"/>
      </w:pPr>
      <w:r>
        <w:t xml:space="preserve">Cần phân định rõ tính chất của phần này so với các phần trước. Chương 4 và các mục 5.1 đến 5.3 mang tính thực chứng: chúng mô tả, giải thích và dự đoán quan hệ giữa quốc tế hóa và hiệu quả dựa trên bằng chứng. Các đề xuất dưới đây mang tính quy chuẩn: chúng là suy luận chính sách rút ra từ các phát hiện thực chứng nhưng không đồng nhất với chúng, vì việc chuyển từ một quy luật quan sát được sang một khuyến nghị hành động luôn đòi hỏi thêm các giả định về mục tiêu, chi phí và năng lực thực thi. Vì luận án dựa trên thiết kế lát cắt ngang và phần lớn suy luận là về liên hệ chứ chưa phải nhân quả đã chứng minh trực tiếp (Mục 5.5.3.2), các đề xuất nên được đọc như định hướng ưu tiên có cơ sở thực nghiệm, cần được kiểm chứng và hiệu chỉnh trong từng bối cảnh triển khai, chứ không phải như công thức nhân quả chắc chắn.</w:t>
      </w:r>
    </w:p>
    <w:bookmarkStart w:id="50"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có hàm ý chính sách rõ ràng:</w:t>
      </w:r>
      <w:r>
        <w:t xml:space="preserve"> </w:t>
      </w:r>
      <w:r>
        <w:rPr>
          <w:bCs/>
          <w:b/>
        </w:rPr>
        <w:t xml:space="preserve">đầu tư vào năng lực công nghệ của doanh nghiệp</w:t>
      </w:r>
      <w:r>
        <w:t xml:space="preserve"> </w:t>
      </w:r>
      <w:r>
        <w:t xml:space="preserve">là can thiệp chính sách có thể nâng cao lợi ích từ quốc tế hóa, đặc biệt trong các bối cảnh ICRV trung bình như Việt Nam và Trung Quốc. Chính sách hỗ trợ doanh nghiệp tiếp cận công nghệ nước ngoài (thông qua chương trình kết nối với MNCs, giảm thuế nhập khẩu công nghệ), khuyến khích R&amp;D, và hỗ trợ chứng nhận chất lượng quốc tế sẽ nâng cao TCI của toàn bộ doanh nghiệp trong nền kinh tế, từ đó dịch chuyển đường quốc tế hóa và hiệu quả lên trên và có thể mở rộng điểm uốn về phía phải.</w:t>
      </w:r>
    </w:p>
    <w:p>
      <w:pPr>
        <w:pStyle w:val="BodyText"/>
      </w:pPr>
      <w:r>
        <w:t xml:space="preserve">Phổ ICRV gợi ý rằng</w:t>
      </w:r>
      <w:r>
        <w:t xml:space="preserve"> </w:t>
      </w:r>
      <w:r>
        <w:rPr>
          <w:bCs/>
          <w:b/>
        </w:rPr>
        <w:t xml:space="preserve">cải thiện chất lượng thể chế</w:t>
      </w:r>
      <w:r>
        <w:t xml:space="preserve"> </w:t>
      </w:r>
      <w:r>
        <w:t xml:space="preserve">(pháp quyền, bảo vệ quyền sở hữu trí tuệ, giảm chi phí tuân thủ thương mại) là can thiệp dài hạn quan trọng nhất. Doanh nghiệp trong nền kinh tế thể chế tốt hơn có thể quốc tế hóa đến mức độ cao hơn trước khi chi phí vượt qua lợi ích, điều này có nghĩa là cải cách thể chế không chỉ có lợi về mặt kinh doanh nội địa mà còn mở rộng không gian lợi ích từ xuất khẩu.</w:t>
      </w:r>
    </w:p>
    <w:p>
      <w:pPr>
        <w:pStyle w:val="BodyText"/>
      </w:pPr>
      <w:r>
        <w:t xml:space="preserve">Đối với Việt Nam cụ thể: điểm uốn dịch chuyển từ 46,2% (2009) xuống 39,3% (2015) là tín hiệu đáng lo ngại. Nếu điểm uốn tiếp tục dịch trái, điều đó hàm ý rằng lợi ích từ xuất khẩu đạt đỉnh sớm hơn và suy giảm nhanh hơn, có thể do cấu trúc xuất khẩu tập trung vào gia công với biên lợi nhuận mỏng. Chính sách nâng cao giá trị gia tăng trong xuất khẩu (moving up the value chain) kết hợp với tăng cường TCI có thể giúp đảo ngược xu hướng này.</w:t>
      </w:r>
    </w:p>
    <w:bookmarkEnd w:id="50"/>
    <w:bookmarkStart w:id="51"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w:t>
      </w:r>
      <w:r>
        <w:t xml:space="preserve"> </w:t>
      </w:r>
      <w:r>
        <w:rPr>
          <w:bCs/>
          <w:b/>
        </w:rPr>
        <w:t xml:space="preserve">hướng dẫn thực tế</w:t>
      </w:r>
      <w:r>
        <w:t xml:space="preserve"> </w:t>
      </w:r>
      <w:r>
        <w:t xml:space="preserve">cho nhà quản trị về mức độ quốc tế hóa tối ưu theo bối cảnh:</w:t>
      </w:r>
    </w:p>
    <w:p>
      <w:pPr>
        <w:numPr>
          <w:ilvl w:val="0"/>
          <w:numId w:val="1001"/>
        </w:numPr>
      </w:pPr>
      <w:r>
        <w:rPr>
          <w:bCs/>
          <w:b/>
        </w:rPr>
        <w:t xml:space="preserve">Doanh nghiệp Singapore (Nhóm I)</w:t>
      </w:r>
      <w:r>
        <w:t xml:space="preserve">: không quan sát thấy ngưỡng bất lợi của quốc tế hóa trong miền dữ liệu (điểm uốn ước lượng ≈ 88,6% nhưng không định vị tin cậy) cho thấy không gian quốc tế hóa rất rộng. Chiến lược mở rộng quốc tế mạnh mẽ (high-commitment internationalization) phù hợp với bối cảnh này, đặc biệt khi kết hợp với DAI cao.</w:t>
      </w:r>
    </w:p>
    <w:p>
      <w:pPr>
        <w:numPr>
          <w:ilvl w:val="0"/>
          <w:numId w:val="1001"/>
        </w:numPr>
      </w:pPr>
      <w:r>
        <w:rPr>
          <w:bCs/>
          <w:b/>
        </w:rPr>
        <w:t xml:space="preserve">Doanh nghiệp Trung Quốc (Nhóm III)</w:t>
      </w:r>
      <w:r>
        <w:t xml:space="preserve">: điểm uốn TP ≈ 48,78% ổn định qua thập kỷ 2012–2024, gợi ý rằng chiến lược xuất khẩu tối ưu là duy trì tỷ lệ FSTS trong khoảng 40–50%, kết hợp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(39,3–46,2%), hàm ý rằng nhà quản trị cần thận trọng hơn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tăng FSTS thuần túy.</w:t>
      </w:r>
    </w:p>
    <w:p>
      <w:pPr>
        <w:numPr>
          <w:ilvl w:val="0"/>
          <w:numId w:val="1001"/>
        </w:numPr>
      </w:pPr>
      <w:r>
        <w:rPr>
          <w:bCs/>
          <w:b/>
        </w:rPr>
        <w:t xml:space="preserve">Doanh nghiệp SIDS (Nhóm VI)</w:t>
      </w:r>
      <w:r>
        <w:t xml:space="preserve">: kết quả FIP là cảnh báo nghiêm túc, đẩy mạnh xuất khẩu trong bối cảnh thiếu năng lực và hỗ trợ thể chế không cải thiện mà còn có thể làm xấu đi hiệu quả hoạt động. Doanh nghiệp SIDS nên ưu tiên xây dựng năng lực nội địa và nâng cao TCI trước khi mở rộng xuất khẩu đáng kể.</w:t>
      </w:r>
    </w:p>
    <w:bookmarkEnd w:id="51"/>
    <w:bookmarkStart w:id="52" w:name="X3f7c356bbecb0845bc3ba35928bc46323a69176"/>
    <w:p>
      <w:pPr>
        <w:pStyle w:val="Heading3"/>
      </w:pPr>
      <w:r>
        <w:t xml:space="preserve">5.4.3 Đề xuất đặc biệt cho SIDS: Tránh bẫy quốc tế hóa bắt buộc</w:t>
      </w:r>
    </w:p>
    <w:p>
      <w:pPr>
        <w:pStyle w:val="FirstParagraph"/>
      </w:pPr>
      <w:r>
        <w:t xml:space="preserve">Phát hiện hình phạt quốc tế hóa cưỡng bức tại bảy nền kinh tế đảo nhỏ Thái Bình Dương có hàm ý chính sách cụ thể và cấp bách. Khác với năm bối cảnh còn lại, nơi quan hệ có dạng chữ U ngược với một ngưỡng tối ưu, ở nhóm đảo nhỏ hệ số nhánh cường độ xuất khẩu mang dấu âm và có ý nghĩa cao (</w:t>
      </w:r>
      <m:oMath>
        <m:r>
          <m:t>β</m:t>
        </m:r>
        <m:r>
          <m:rPr>
            <m:sty m:val="p"/>
          </m:rPr>
          <m:t>=</m:t>
        </m:r>
        <m:r>
          <m:rPr>
            <m:sty m:val="p"/>
          </m:rPr>
          <m:t>−</m:t>
        </m:r>
        <m:r>
          <m:t>1</m:t>
        </m:r>
        <m:r>
          <m:rPr>
            <m:sty m:val="p"/>
          </m:rPr>
          <m:t>,</m:t>
        </m:r>
        <m:r>
          <m:t>339</m:t>
        </m:r>
      </m:oMath>
      <w:r>
        <w:t xml:space="preserve"> </w:t>
      </w:r>
      <w:r>
        <w:t xml:space="preserve">trên thang căn giữa), nghĩa là mọi mức tăng cường độ xuất khẩu đều đi kèm năng suất thấp hơn, không tồn tại điểm uốn để doanh nghiệp hướng tới. Hiện nay nhiều chương trình phát triển quốc tế và viện trợ thương mại cho các nền đảo nhỏ tập trung vào khuyến khích xuất khẩu như một chiến lược tăng trưởng tự thân. Kết quả này đặt câu hỏi nghiêm túc về hiệu quả của cách tiếp cận đó khi ba điều kiện cấu trúc nền tảng của một quan hệ chữ U ngược, gồm thị trường nội địa đủ lớn, chi phí thương mại chấp nhận được, và hỗ trợ thể chế tối thiểu, đồng thời bị vi phạm.</w:t>
      </w:r>
    </w:p>
    <w:p>
      <w:pPr>
        <w:pStyle w:val="BodyText"/>
      </w:pPr>
      <w:r>
        <w:t xml:space="preserve">Thay vào đó, ưu tiên chính sách nên là chất lượng xuất khẩu chứ không phải khối lượng xuất khẩu. Cụ thể, ưu tiên nên là, thứ nhất, xây dựng hạ tầng vận tải và kết nối để giảm chi phí cố định của xuất khẩu, vốn là ràng buộc gay gắt nhất với các nền đảo phân tán địa lý; thứ hai, phát triển năng lực doanh nghiệp thông qua năng lực công nghệ chiều sâu chứ không chỉ hiện diện số bề mặt, vì bằng chứng cho thấy năng lực công nghệ nâng mặt bằng năng suất ngay cả ở nhóm đảo nhỏ nhưng không tự nó đảo được độ dốc âm; và thứ ba, thiết kế chương trình hỗ trợ xuất khẩu có chọn lọc, tập trung vào doanh nghiệp đã đủ năng lực để hưởng lợi, thay vì khuyến khích đại trà. Tóm lại, muốn tránh bẫy quốc tế hóa cưỡng bức thì can thiệp chính sách phải xây dựng năng lực hấp thụ trước khi thúc đẩy mở rộng thị trường. Một hệ quả thực tiễn quan trọng là các chỉ số đánh giá hiệu quả viện trợ thương mại cho nhóm này không nên lấy mức tăng kim ngạch xuất khẩu làm thước đo thành công chính, vì trong điều kiện hình phạt quốc tế hóa cưỡng bức, mở rộng xuất khẩu mà không kèm nâng cấp năng lực có thể đồng nghĩa với suy giảm năng suất.</w:t>
      </w:r>
    </w:p>
    <w:bookmarkEnd w:id="52"/>
    <w:bookmarkStart w:id="53" w:name="Xae585b9a1c03e57dcce9cad1f8f2ae171a592a6"/>
    <w:p>
      <w:pPr>
        <w:pStyle w:val="Heading3"/>
      </w:pPr>
      <w:r>
        <w:t xml:space="preserve">5.4.4 Hàm ý chính sách trong bối cảnh phát triển đương đại</w:t>
      </w:r>
    </w:p>
    <w:p>
      <w:pPr>
        <w:pStyle w:val="FirstParagraph"/>
      </w:pPr>
      <w:r>
        <w:t xml:space="preserve">Đặt các đề xuất trên vào bối cảnh phát triển vĩ mô gần nhất làm rõ tính cấp bách và phạm vi áp dụng của chúng. Thách thức việc làm là điểm khởi đầu: với hơn 230 triệu người dự kiến bước vào tuổi lao động ở các thị trường biên giai đoạn 2025–2035, năng lực tạo việc làm năng suất cao của khu vực doanh nghiệp trở thành ưu tiên phát triển hàng đầu (World Bank, 2026c). Phát hiện của luận án rằng quốc tế hóa chỉ tạo phần thưởng năng suất khi đi kèm năng lực công nghệ và đệm thể chế đủ mạnh hàm ý rằng chương trình nghị sự việc làm cần đặt nâng cấp năng lực doanh nghiệp làm trụ cột, thay vì chỉ theo đuổi mở rộng thương mại như mục tiêu tự thân.</w:t>
      </w:r>
    </w:p>
    <w:p>
      <w:pPr>
        <w:pStyle w:val="BodyText"/>
      </w:pPr>
      <w:r>
        <w:t xml:space="preserve">Thứ hai, bằng chứng vĩ mô cho thấy không tồn tại một con đường phát triển phổ quát: các nền kinh tế biên thành công đã đi những lối khác nhau, từ đầu tư năng lượng và khoáng sản, đến chế tạo giá trị gia tăng, đến dịch vụ và du lịch (World Bank, 2026c). Điều này củng cố nguyên tắc chính sách phái sinh từ khung ICRV: gói can thiệp phải được hiệu chỉnh theo chế độ thể chế và mô hình tăng trưởng đặc thù của từng nhóm, thay vì áp dụng một công thức chung. Với Việt Nam (Nhóm IV), con đường chế tạo giá trị gia tăng và dịch chuyển lên chuỗi giá trị là phù hợp với cả bằng chứng cấp doanh nghiệp của luận án lẫn kinh nghiệm của các thị trường biên thành công.</w:t>
      </w:r>
    </w:p>
    <w:p>
      <w:pPr>
        <w:pStyle w:val="BodyText"/>
      </w:pPr>
      <w:r>
        <w:t xml:space="preserve">Thứ ba, đối với các nền kinh tế tài nguyên dẫn dắt (Nhóm II), cú sốc giá hàng hóa năm 2026 vừa là cơ hội thu nhập ngắn hạn vừa là lời nhắc về rủi ro phụ thuộc tài nguyên (World Bank, 2026d). Hàm ý chính sách là tận dụng thặng dư tô lợi giai đoạn giá cao để đầu tư vào đa dạng hóa năng lực công nghệ và phi tài nguyên, đúng như chiến lược Vision của các nền GCC, thay vì củng cố cấu trúc nhà nước tô vốn san bằng động lực năng suất doanh nghiệp.</w:t>
      </w:r>
    </w:p>
    <w:p>
      <w:pPr>
        <w:pStyle w:val="BodyText"/>
      </w:pPr>
      <w:r>
        <w:t xml:space="preserve">Thứ tư, trong kỷ nguyên trí tuệ nhân tạo, hạ tầng số công và quản trị dữ liệu trở thành điều kiện nền tảng để năng lực số cấp doanh nghiệp được chuyển hóa thành giá trị (World Bank, 2026e). Phát hiện của luận án rằng phần thưởng của áp dụng số phụ thuộc bối cảnh thể chế và tầng năng lực hàm ý rằng chính sách số hóa cần phân tầng: ở các nền đang chuyển đổi, ưu tiên là phổ cập hạ tầng số nền tảng và kỹ năng số cơ bản; ở các nền tiên tiến đã bão hòa Bậc 1, trọng tâm dịch sang năng lực số chiều sâu và quản trị dữ liệu, AI. Cách tiếp cận phân tầng này tránh được cả hai sai lầm: đầu tư quá sớm vào công nghệ cao ở nơi chưa có nền tảng hấp thụ, và dừng lại ở hiện diện số bề mặt ở nơi đã sẵn sàng cho tầng năng lực cao hơn.</w:t>
      </w:r>
    </w:p>
    <w:bookmarkEnd w:id="53"/>
    <w:bookmarkStart w:id="54" w:name="X06a1f524ffa641eeef7964d8ecbb8b71d6457df"/>
    <w:p>
      <w:pPr>
        <w:pStyle w:val="Heading3"/>
      </w:pPr>
      <w:r>
        <w:t xml:space="preserve">5.4.5 Khung can thiệp phân tầng theo chế độ thể chế ICRV cho ba nhóm đối tượng</w:t>
      </w:r>
    </w:p>
    <w:p>
      <w:pPr>
        <w:pStyle w:val="FirstParagraph"/>
      </w:pPr>
      <w:r>
        <w:t xml:space="preserve">Tổng hợp các đề xuất rời rạc theo từng bối cảnh thành một nguyên lý can thiệp thống nhất làm rõ giá trị ứng dụng của khung ICRV: không tồn tại một gói chính sách quốc tế hóa phổ quát, và bản thân việc áp dụng máy móc bài học từ một chế độ thể chế sang chế độ khác là sai lầm chiến lược căn bản. Bằng chứng ba vùng của luận án dịch trực tiếp thành ba định hướng can thiệp khác biệt về bản chất. Phần này trình bày khung can thiệp phân tầng đó cho ba nhóm đối tượng kế tiếp nhau, là nhà hoạch định chính sách quốc gia, nhà quản trị doanh nghiệp, và các tổ chức phát triển và tài trợ quốc tế, mỗi nhóm vận dụng cùng một logic ba vùng nhưng qua đòn bẩy hành động khác nhau.</w:t>
      </w:r>
    </w:p>
    <w:p>
      <w:pPr>
        <w:pStyle w:val="BodyText"/>
      </w:pPr>
      <w:r>
        <w:rPr>
          <w:bCs/>
          <w:b/>
        </w:rPr>
        <w:t xml:space="preserve">Đối với nhà hoạch định chính sách quốc gia.</w:t>
      </w:r>
      <w:r>
        <w:t xml:space="preserve"> </w:t>
      </w:r>
      <w:r>
        <w:t xml:space="preserve">Đối với chế độ thể chế mạnh nhất (Nhóm I, các nền như Singapore và Nhật Bản), nơi quan hệ quốc tế hóa và hiệu quả gần tuyến tính dương và cơ chế vận hành qua biên tham gia, ưu tiên chính sách không phải là khuyến khích doanh nghiệp xuất khẩu nhiều hơn mà là hạ thấp ngưỡng tham gia xuất khẩu cho nhóm doanh nghiệp đã có năng lực nhưng chưa vượt ngưỡng. Vì phần thưởng năng suất tập trung ở việc có hay không xuất khẩu, can thiệp hiệu quả nhất là giảm chi phí cố định gia nhập thị trường nước ngoài và kết nối doanh nghiệp có năng lực với cơ hội quốc tế hóa. Đối với các nền đã bão hòa hiện diện số bề mặt, trọng tâm số hóa dịch sang năng lực số chiều sâu và quản trị dữ liệu, thay vì phổ cập hạ tầng nền tảng vốn đã đạt trần.</w:t>
      </w:r>
    </w:p>
    <w:p>
      <w:pPr>
        <w:pStyle w:val="BodyText"/>
      </w:pPr>
      <w:r>
        <w:t xml:space="preserve">Đối với chế độ chuyển đổi bậc thấp–trung (Nhóm IV, gồm Việt Nam và Ấn Độ), nơi chữ U ngược sắc nét với điểm uốn quanh 40–46%, nguyên lý can thiệp là nâng cao năng lực công nghệ trước khi đẩy cường độ quốc tế hóa. Vì năng lực công nghệ nâng mặt bằng năng suất và có thể dịch điểm uốn về phía phải, đầu tư vào tiếp cận công nghệ nước ngoài, nghiên cứu và phát triển, và chứng nhận chất lượng quốc tế sẽ mở rộng không gian quốc tế hóa có lợi. Riêng với Việt Nam, việc điểm uốn dịch từ 46,2% (2009) xuống 39,3% (2015) là tín hiệu cảnh báo về cấu trúc xuất khẩu gia công biên mỏng; chính sách dịch chuyển lên chuỗi giá trị kết hợp tăng cường năng lực công nghệ là cần thiết để đảo ngược xu hướng dịch trái của điểm uốn. Đối với chế độ này, bài học Ấn Độ cũng cảnh báo rằng cải cách thể chế dồn dập trong thời gian ngắn, dù có ý định tốt, có thể tạm thời phá vỡ cơ chế chuyển hóa quốc tế hóa thành hiệu quả, nên trình tự và tốc độ cải cách cần được cân nhắc.</w:t>
      </w:r>
    </w:p>
    <w:p>
      <w:pPr>
        <w:pStyle w:val="BodyText"/>
      </w:pPr>
      <w:r>
        <w:t xml:space="preserve">Đối với chế độ thể chế yếu nhất (Nhóm V và VI, các nền đang nổi và đảo nhỏ), nơi dạng chữ U ngược mất cấu trúc và quan hệ có xu hướng nghiêng âm, nguyên lý can thiệp đảo ngược so với khuyến nghị thông thường: trọng tâm là nâng chất lượng xuất khẩu, không phải tăng khối lượng. Phát hiện gánh nặng quốc tế hóa bắt buộc tại SIDS đặt câu hỏi nghiêm túc về các chương trình viện trợ thương mại tập trung thúc đẩy xuất khẩu đại trà ở những nền thiếu nền tảng năng lực. Trình tự đúng là xây dựng hạ tầng vận tải và kết nối để giảm chi phí cố định xuất khẩu, phát triển năng lực công nghệ chiều sâu thay vì chỉ hiện diện số bề mặt, và thiết kế hỗ trợ xuất khẩu có chọn lọc cho doanh nghiệp đã đủ năng lực hưởng lợi. Nguyên lý xuyên suốt ba vùng là xây dựng năng lực hấp thụ trước khi thúc đẩy mở rộng thị trường, một thứ tự ưu tiên mà khung ICRV giúp hiệu chỉnh cụ thể theo từng chế độ.</w:t>
      </w:r>
    </w:p>
    <w:p>
      <w:pPr>
        <w:pStyle w:val="BodyText"/>
      </w:pPr>
      <w:r>
        <w:rPr>
          <w:bCs/>
          <w:b/>
        </w:rPr>
        <w:t xml:space="preserve">Đối với nhà quản trị doanh nghiệp.</w:t>
      </w:r>
      <w:r>
        <w:t xml:space="preserve"> </w:t>
      </w:r>
      <w:r>
        <w:t xml:space="preserve">Khung ba vùng cũng cho nhà quản trị doanh nghiệp một quy tắc quyết định gọn, thay cho lời khuyên chung chung</w:t>
      </w:r>
      <w:r>
        <w:t xml:space="preserve"> </w:t>
      </w:r>
      <w:r>
        <w:t xml:space="preserve">“</w:t>
      </w:r>
      <w:r>
        <w:t xml:space="preserve">quốc tế hóa nhiều hơn</w:t>
      </w:r>
      <w:r>
        <w:t xml:space="preserve">”</w:t>
      </w:r>
      <w:r>
        <w:t xml:space="preserve">. Bước thứ nhất là định vị nền kinh tế của doanh nghiệp trong sáu chế độ ICRV, vì chính vị trí này quyết định dạng quan hệ giữa cường độ xuất khẩu và năng suất mà doanh nghiệp đang vận hành bên trong. Bước thứ hai là đọc tư thế chiến lược tương ứng với vùng đó. Ở chế độ thể chế mạnh, nơi quan hệ gần tuyến tính dương, doanh nghiệp đã có năng lực nên ưu tiên vượt qua ngưỡng tham gia xuất khẩu vì phần thưởng nằm ở việc có mặt trên thị trường nước ngoài hơn là ở mức độ thâm dụng xuất khẩu. Ở chế độ chuyển đổi, nơi chữ U ngược sắc nét với điểm uốn quanh 40–46%, doanh nghiệp cần so sánh cường độ xuất khẩu hiện tại của mình với ngưỡng này: nếu còn dưới ngưỡng, dư địa mở rộng có lợi vẫn còn; nếu đã vượt ngưỡng, ràng buộc không còn là tiếp cận thị trường mà là năng lực điều phối, và đầu tư đúng là nâng năng lực công nghệ để dịch ngưỡng về phía phải trước khi đẩy thêm cường độ. Ở chế độ thể chế yếu, nơi quan hệ mất cấu trúc hoặc đảo dấu, tư thế đúng là xuất khẩu có chọn lọc dựa trên năng lực thực có thay vì mở rộng đại trà.</w:t>
      </w:r>
    </w:p>
    <w:p>
      <w:pPr>
        <w:pStyle w:val="BodyText"/>
      </w:pPr>
      <w:r>
        <w:t xml:space="preserve">Một cảnh báo diễn giải đi kèm quy tắc này. Bằng chứng về đặc trưng quản lý cho thấy hệ số người quản lý cấp cao là nữ mang dấu âm trên toàn mẫu, nhưng luận án đã lập luận rằng đây là quy luật mô tả phản ánh chọn lọc cấu thành chứ không phải bằng chứng nhân quả về hiệu quả của lãnh đạo. Do đó nhà quản trị và nhà đầu tư không nên đọc hệ số này như một chỉ báo về năng lực lãnh đạo; suy luận đúng đòi hỏi phân tích nhận biết chọn lọc trong nội bộ từng nền kinh tế. Quy tắc quyết định vì vậy đặt trọng tâm vào vị trí thể chế và cường độ xuất khẩu so với điểm uốn, là những đại lượng có cơ sở nhân quả cấu trúc rõ hơn, thay vì vào các đặc trưng nhân khẩu của người quản lý.</w:t>
      </w:r>
    </w:p>
    <w:p>
      <w:pPr>
        <w:pStyle w:val="BodyText"/>
      </w:pPr>
      <w:r>
        <w:rPr>
          <w:bCs/>
          <w:b/>
        </w:rPr>
        <w:t xml:space="preserve">Đối với các tổ chức phát triển và tài trợ quốc tế.</w:t>
      </w:r>
      <w:r>
        <w:t xml:space="preserve"> </w:t>
      </w:r>
      <w:r>
        <w:t xml:space="preserve">Bên cạnh nhà hoạch định chính sách quốc gia và nhà quản trị doanh nghiệp, một nhóm đối tượng thứ ba có khả năng tác động trực tiếp đến quỹ đạo quốc tế hóa của doanh nghiệp ở các nền kinh tế đang phát triển là các tổ chức phát triển và tài trợ quốc tế. Phát hiện của luận án có hàm ý cụ thể và đôi khi đi ngược lại thực hành phổ biến của nhóm này. Hàm ý thứ nhất liên quan đến thước đo thành công của các chương trình hỗ trợ thương mại. Trong điều kiện gánh nặng quốc tế hóa bắt buộc ở nhóm đảo nhỏ, việc lấy mức tăng kim ngạch xuất khẩu làm chỉ tiêu thành công chính là một sai lệch khuyến khích nghiêm trọng: nó có thể thưởng cho chính các can thiệp đẩy doanh nghiệp vào vùng năng suất thấp hơn. Đề xuất là chuyển trọng tâm đánh giá từ chỉ số quy mô thương mại sang chỉ số nâng cấp năng lực, chẳng hạn tỷ lệ doanh nghiệp đạt chứng nhận chất lượng quốc tế, cường độ chi cho nghiên cứu và phát triển, và mức cải thiện năng suất lao động, là những đại lượng gắn với nhánh nâng mặt bằng bền vững thay vì với cường độ xuất khẩu thuần túy.</w:t>
      </w:r>
    </w:p>
    <w:p>
      <w:pPr>
        <w:pStyle w:val="BodyText"/>
      </w:pPr>
      <w:r>
        <w:t xml:space="preserve">Hàm ý thứ hai liên quan đến trình tự can thiệp. Bằng chứng rằng năng lực công nghệ nâng mặt bằng năng suất ở mọi chế độ thể chế kể cả nhóm đảo nhỏ, nhưng không tự nó đảo được độ dốc âm, gợi ý một nguyên tắc trình tự cho thiết kế chương trình: xây dựng năng lực hấp thụ trước, thúc đẩy mở rộng thị trường sau. Các tổ chức tài trợ nên ưu tiên cấu phần phát triển năng lực công nghệ chiều sâu và hạ tầng kết nối giảm chi phí cố định xuất khẩu, trước khi hoặc song song với các cấu phần xúc tiến xuất khẩu, thay vì đặt xúc tiến xuất khẩu làm cấu phần dẫn dắt. Hàm ý thứ ba liên quan đến phân bổ nguồn lực theo chế độ thể chế: vì cùng một đồng tài trợ tạo ra phần thưởng năng suất rất khác nhau tùy chế độ thể chế của nền kinh tế thụ hưởng, các tổ chức quốc tế có thể nâng hiệu quả phân bổ bằng cách hiệu chỉnh gói can thiệp theo vị trí ICRV thay vì áp dụng một mô hình chuẩn hóa xuyên quốc gia. Cách tiếp cận phân tầng này nhất quán với khung năng lực thể chế cho thực thi chính sách mà tài liệu phát triển gần đây đề xuất (Kim và cộng sự, 2026), theo đó năng lực thực thi của tổ chức công là điều kiện trung gian quyết định liệu một can thiệp chính sách có chuyển hóa thành kết quả phát triển hay không.</w:t>
      </w:r>
    </w:p>
    <w:bookmarkEnd w:id="54"/>
    <w:bookmarkStart w:id="55" w:name="Xe0db8e28cf03dc8a65a6387c8f4ba9208afb8a3"/>
    <w:p>
      <w:pPr>
        <w:pStyle w:val="Heading3"/>
      </w:pPr>
      <w:r>
        <w:t xml:space="preserve">5.4.6 Phân biệt nội bộ nhóm tiên tiến: chế độ đổi mới so với chế độ tài nguyên</w:t>
      </w:r>
    </w:p>
    <w:p>
      <w:pPr>
        <w:pStyle w:val="FirstParagraph"/>
      </w:pPr>
      <w:r>
        <w:t xml:space="preserve">Một sắc thái chính sách mà phân loại nhị phân truyền thống bỏ sót là sự phân hóa trong nội bộ nhóm thu nhập cao giữa chế độ tiên tiến đổi mới và chế độ tiên tiến tài nguyên. Bằng chứng mô tả của luận án cho thấy hai phân nhóm cùng mức thu nhập nhưng đối lập về cấu trúc năng lực, và độ phân tán năng suất rất hẹp ở các nền tài nguyên lớn là biểu hiện của kinh tế nhà nước tô nơi phân phối lại từ tô tài nguyên thu hẹp khoảng cách năng suất giữa doanh nghiệp. Hàm ý chính sách cho chế độ tiên tiến tài nguyên (Nhóm II) khác hẳn với chế độ tiên tiến đổi mới (Nhóm I): rủi ro không phải là thiếu nguồn lực mà là cấu trúc nhà nước tô san bằng động lực năng suất, làm yếu chính cơ chế chọn lọc theo năng lực mà quan hệ quốc tế hóa và hiệu quả tích cực dựa vào. Đề xuất là tận dụng thặng dư tô trong các giai đoạn giá hàng hóa cao để đầu tư vào đa dạng hóa năng lực công nghệ phi tài nguyên, đúng theo định hướng các chiến lược tầm nhìn của khối, thay vì củng cố cấu trúc phân phối lại làm xói mòn khuyến khích nâng cấp năng lực doanh nghiệp. Phân biệt này là một ví dụ cụ thể về giá trị ứng dụng của khung ICRV sáu chế độ so với phân loại nhị phân: hai nền cùng được xếp là phát triển nhưng đòi hỏi hai gói chính sách quốc tế hóa khác nhau về bản chất.</w:t>
      </w:r>
    </w:p>
    <w:bookmarkEnd w:id="55"/>
    <w:bookmarkEnd w:id="56"/>
    <w:bookmarkStart w:id="66" w:name="hạn-chế-và-hướng-nghiên-cứu-tương-lai"/>
    <w:p>
      <w:pPr>
        <w:pStyle w:val="Heading2"/>
      </w:pPr>
      <w:r>
        <w:t xml:space="preserve">5.5 Hạn chế và hướng nghiên cứu tương lai</w:t>
      </w:r>
    </w:p>
    <w:p>
      <w:pPr>
        <w:pStyle w:val="FirstParagraph"/>
      </w:pPr>
      <w:r>
        <w:t xml:space="preserve">Các hạn chế dưới đây không phải một danh mục khuyết điểm rời rạc; chúng là đường biên suy luận của luận án: mỗi hạn chế được gắn với hệ quả cụ thể cho điều có thể và không thể kết luận, và được tách bạch với các điều kiện phạm vi lý thuyết đã nêu ở Mục 5.3.8. Đọc theo cách đó, phần này định khung chính xác miền mà bên trong đó các phát hiện được bằng chứng hỗ trợ, đồng thời chỉ ra các phép kiểm định còn thiếu mà hướng nghiên cứu tương lai ở Mục 5.5.4 được thiết kế để lấp.</w:t>
      </w:r>
    </w:p>
    <w:bookmarkStart w:id="57" w:name="hạn-chế-về-đo-lường-dai"/>
    <w:p>
      <w:pPr>
        <w:pStyle w:val="Heading3"/>
      </w:pPr>
      <w:r>
        <w:t xml:space="preserve">5.5.1 Hạn chế về đo lường DAI</w:t>
      </w:r>
    </w:p>
    <w:p>
      <w:pPr>
        <w:pStyle w:val="FirstParagraph"/>
      </w:pPr>
      <w:r>
        <w:t xml:space="preserve">Hạn chế quan trọng nhất của luận án liên quan đến đo lường DAI. Dữ liệu WBES chỉ cung cấp số lượng item hạn chế để xây dựng chỉ số DAI, và các item này thay đổi qua các thế hệ lược đồ WBES (PICS3, Standardized, BREADY/BEE). Tại Việt Nam (P3), chỉ Bậc 1 DAI (website, email, online sales) được sử dụng do hạn chế của các làn sóng 2009 và 2015, trong khi Bậc 2 (e-payment, e-supplier) chỉ có từ 2023. Điều này tạo ra khả năng đo lường không đầy đủ, đặc biệt là không nắm bắt được chiều sâu năng lực số ở bối cảnh ICRV thấp.</w:t>
      </w:r>
    </w:p>
    <w:p>
      <w:pPr>
        <w:pStyle w:val="BodyText"/>
      </w:pPr>
      <w:r>
        <w:t xml:space="preserve">Một giới hạn thứ hai của đo lường DAI là tính tĩnh tại một thời điểm khảo sát; vì hệ quả của nó đối với việc diễn giải vai trò động của năng lực số được trình bày đầy đủ ở Mục 5.5.3.1, ở đây chỉ nêu để bảo đảm tính trọn vẹn của nhóm hạn chế đo lường DAI mà không nhắc lại.</w:t>
      </w:r>
    </w:p>
    <w:bookmarkEnd w:id="57"/>
    <w:bookmarkStart w:id="58" w:name="Xa9f4dc0d92bb938d40b6358e6a43bf594a5cc9a"/>
    <w:p>
      <w:pPr>
        <w:pStyle w:val="Heading3"/>
      </w:pPr>
      <w:r>
        <w:t xml:space="preserve">5.5.2 Hạn chế về thiên lệch chọn lựa trong mẫu phụ doanh nghiệp xuất khẩu</w:t>
      </w:r>
    </w:p>
    <w:p>
      <w:pPr>
        <w:pStyle w:val="FirstParagraph"/>
      </w:pPr>
      <w:r>
        <w:t xml:space="preserve">Các phân tích sử dụng mẫu chỉ gồm doanh nghiệp xuất khẩu (ví dụ: mẫu phụ xuất khẩu Singapore N = 84, mẫu phụ chỉ doanh nghiệp xuất khẩu SIDS N = 26) đối mặt với rủi ro thiên lệch chọn lựa nghiêm trọng: doanh nghiệp xuất khẩu không phải là mẫu ngẫu nhiên từ tổng thể doanh nghiệp mà có khả năng là các doanh nghiệp đã có một số lợi thế ban đầu về năng suất, nguồn lực và quan hệ kết nối. Kết quả từ chỉ doanh nghiệp xuất khẩu không thể tổng quát hóa trực tiếp cho toàn bộ doanh nghiệp, và có thể đánh giá thấp hoặc đánh giá cao các hiệu ứng tùy thuộc vào chiều của chọn lọc.</w:t>
      </w:r>
    </w:p>
    <w:p>
      <w:pPr>
        <w:pStyle w:val="BodyText"/>
      </w:pPr>
      <w:r>
        <w:t xml:space="preserve">Phân tích Heckman hai bước (hoặc các mô hình hiệu ứng xử lý) trong các nghiên cứu tương lai có thể khắc phục phần nào hạn chế này bằng cách mô hình hóa quá trình lựa chọn tham gia xuất khẩu như giai đoạn thứ nhất trước khi ước lượng hiệu quả trong giai đoạn thứ hai.</w:t>
      </w:r>
    </w:p>
    <w:bookmarkEnd w:id="58"/>
    <w:bookmarkStart w:id="59" w:name="hạn-chế-về-nhân-quả"/>
    <w:p>
      <w:pPr>
        <w:pStyle w:val="Heading3"/>
      </w:pPr>
      <w:r>
        <w:t xml:space="preserve">5.5.3 Hạn chế về nhân quả</w:t>
      </w:r>
    </w:p>
    <w:p>
      <w:pPr>
        <w:pStyle w:val="FirstParagraph"/>
      </w:pPr>
      <w:r>
        <w:t xml:space="preserve">Thiết kế lát cắt ngang, hay dữ liệu bảng gộp nhưng với WBES không phải là dữ liệu theo dõi cùng doanh nghiệp qua thời gian, giới hạn khả năng suy luận nhân quả. Quan hệ quốc tế hóa và hiệu quả có thể bị ảnh hưởng bởi nhân quả ngược: doanh nghiệp hiệu quả hơn có thể có nhiều nguồn lực để quốc tế hóa hơn, tạo ra chiều nhân quả ngược lại. Hiệu ứng cố định nền kinh tế và hiệu ứng cố định năm giúp kiểm soát một phần, nhưng không giải quyết hoàn toàn vấn đề nội sinh.</w:t>
      </w:r>
    </w:p>
    <w:bookmarkEnd w:id="59"/>
    <w:bookmarkStart w:id="60" w:name="X02c34737bc5367594e55853a326e56967755909"/>
    <w:p>
      <w:pPr>
        <w:pStyle w:val="Heading3"/>
      </w:pPr>
      <w:r>
        <w:t xml:space="preserve">5.5.3.1 Hạn chế về bất biến đo lường qua các thế hệ lược đồ và bão hòa thước đo</w:t>
      </w:r>
    </w:p>
    <w:p>
      <w:pPr>
        <w:pStyle w:val="FirstParagraph"/>
      </w:pPr>
      <w:r>
        <w:t xml:space="preserve">Một nhóm hạn chế đo lường bổ sung cần được nêu rõ vì nó định khung mức độ chắc chắn của các so sánh xuyên thời gian và xuyên bối cảnh. Thứ nhất là vấn đề bất biến đo lường (measurement invariance) qua các thế hệ lược đồ khảo sát. Bộ chỉ báo cấu thành DAI thay đổi giữa các thế hệ công cụ WBES (PICS3, Standardized, BREADY/BEE), nghĩa là cùng một nhãn cấu trúc DAI được vận hành hóa bằng các tập chỉ báo không hoàn toàn tương đương qua các đợt. Khi diễn giải các dịch chuyển theo thời gian, chẳng hạn quỹ đạo không đơn điệu của DAI tại Việt Nam hay sự xuất hiện của Bậc 2 tại Ấn Độ 2025, cần thận trọng phân biệt giữa thay đổi thực của hiện tượng và thay đổi do cấu trúc thước đo. Đây là lý do luận án diễn giải các so sánh chéo đợt một cách dè dặt và dựa vào kiểm định Paternoster để phân biệt các dịch chuyển có ý nghĩa thống kê khỏi nhiễu đo lường.</w:t>
      </w:r>
    </w:p>
    <w:p>
      <w:pPr>
        <w:pStyle w:val="BodyText"/>
      </w:pPr>
      <w:r>
        <w:t xml:space="preserve">Thứ hai là vấn đề bão hòa thước đo Bậc 1. Khi tỷ lệ doanh nghiệp có website tiệm cận bão hòa, như ở Nhật Bản 83,8% và các nền tiên tiến nói chung, phương sai của chỉ báo nhị phân này co lại và nhóm doanh nghiệp không có website còn lại mang tính chọn lọc đặc thù. Hệ quả là hệ số đo được phản ánh giới hạn của thước đo Bậc 1 nhiều hơn là giới hạn thực của số hóa, một vấn đề đo lường cần phân biệt với quan hệ nhân quả. Bằng chứng biến công cụ tại Việt Nam, nơi hệ số DAI được công cụ hóa bằng không trong khi hệ số TCI được công cụ hóa dương mạnh, củng cố cách đọc rằng kết quả không có ý nghĩa về uốn đường cong của DAI ở nhiều bối cảnh phản ánh tính lỗi thời của biến đại diện Bậc 1 chứ không phải sự vắng mặt của cơ chế. Hạn chế này có hệ quả trực tiếp: các kết luận về DAI ở những bối cảnh chỉ đo được Bậc 1 nên được hiểu là chưa kết luận hơn là bác bỏ, và việc kiểm định lại với thước đo Bậc 2 và Bậc 3 phong phú hơn là điều kiện cần trước khi khẳng định vai trò của DAI ở các chế độ thể chế thấp.</w:t>
      </w:r>
    </w:p>
    <w:p>
      <w:pPr>
        <w:pStyle w:val="BodyText"/>
      </w:pPr>
      <w:r>
        <w:t xml:space="preserve">Thứ ba, cần nhắc lại rằng mọi đo lường DAI trong luận án đều là chỉ số chấp nhận số tĩnh tại một thời điểm khảo sát, không nắm bắt được tính động của việc cập nhật và tái cấu hình năng lực số theo nghĩa của lý thuyết năng lực động (Teece và cộng sự, 1997; Teece, 2007). Do đó các phát hiện về DAI phản ánh mức độ chấp nhận số tại thời điểm quan sát chứ không phải năng lực số năng động, và mọi suy luận về cơ chế động cần được xem là gợi mở chứ chưa được kiểm chứng trực tiếp trong khuôn khổ dữ liệu hiện có.</w:t>
      </w:r>
    </w:p>
    <w:bookmarkEnd w:id="60"/>
    <w:bookmarkStart w:id="61" w:name="X7db411eff3d5e205ae71a0f10a5589c7a2f0ba7"/>
    <w:p>
      <w:pPr>
        <w:pStyle w:val="Heading3"/>
      </w:pPr>
      <w:r>
        <w:t xml:space="preserve">5.5.3.2 Giới hạn của suy luận nhân quả và phạm vi khái quát hóa</w:t>
      </w:r>
    </w:p>
    <w:p>
      <w:pPr>
        <w:pStyle w:val="FirstParagraph"/>
      </w:pPr>
      <w:r>
        <w:t xml:space="preserve">Cần định khung rõ bản chất suy luận mà thiết kế dữ liệu cho phép. Dữ liệu doanh nghiệp WBES là lát cắt ngang trong từng đợt khảo sát; do đó khái niệm</w:t>
      </w:r>
      <w:r>
        <w:t xml:space="preserve"> </w:t>
      </w:r>
      <w:r>
        <w:t xml:space="preserve">“</w:t>
      </w:r>
      <w:r>
        <w:t xml:space="preserve">hiệu quả</w:t>
      </w:r>
      <w:r>
        <w:t xml:space="preserve">”</w:t>
      </w:r>
      <w:r>
        <w:t xml:space="preserve"> </w:t>
      </w:r>
      <w:r>
        <w:t xml:space="preserve">xuyên suốt luận án chỉ một liên hệ đồng thời giữa cường độ xuất khẩu và năng suất lao động trong một năm khảo sát nhất định, không phải một hiệu ứng nhân quả được theo dõi theo thời gian trên cùng doanh nghiệp. Chiến lược biến công cụ dùng để xử lý chọn lọc tham gia xuất khẩu trong nghiên cứu đơn quốc gia Việt Nam (P3) không khả thi ở quy mô 50 nền kinh tế, nên ở các phân tích gộp, chọn lọc tham gia xuất khẩu dựa trên năng lực vừa là một phần của hiện tượng mà điểm uốn hiệu chỉnh năng lực bộc lộ, vừa là nguồn nội sinh không thể loại bỏ hoàn toàn bằng hiệu ứng cố định nền kinh tế và năm. Vì vậy cấu trúc ba vùng nên được đọc như một quy luật liên hệ vững chắc về mặt thống kê, chứ chưa phải một cơ chế nhân quả đã được chứng minh trực tiếp.</w:t>
      </w:r>
    </w:p>
    <w:p>
      <w:pPr>
        <w:pStyle w:val="BodyText"/>
      </w:pPr>
      <w:r>
        <w:t xml:space="preserve">Phạm vi khái quát hóa cũng cần được giới hạn tương xứng. Mẫu bao gồm các nền kinh tế châu Á và Thái Bình Dương đã được ánh xạ vào khung ICRV, với cấu trúc thể chế và mô thức thương mại đặc thù của khu vực; việc mở rộng kết luận ba vùng sang các khu vực khác, chẳng hạn châu Phi hạ Sahara hay Mỹ Latinh, là một giả thuyết cần kiểm định độc lập chứ không phải một suy rộng đương nhiên. Tương tự, cấu trúc ba vùng được nhận diện trên dải cường độ xuất khẩu và phân bố quy mô doanh nghiệp của mẫu WBES, vốn thiên về doanh nghiệp vừa và nhỏ ở các nền đang phát triển và mới nổi; tính ổn định của điểm uốn ngoài dải này, đặc biệt ở các tập đoàn đa quốc gia lớn không nằm trong khung lấy mẫu WBES, vẫn là câu hỏi mở. Những giới hạn này không làm suy yếu các kết luận trong phạm vi đã định mà xác định đúng đường biên mà bên trong đó các kết luận được hỗ trợ bởi bằng chứng.</w:t>
      </w:r>
    </w:p>
    <w:p>
      <w:pPr>
        <w:pStyle w:val="BodyText"/>
      </w:pPr>
      <w:r>
        <w:t xml:space="preserve">Bên cạnh đường biên không gian còn một đường biên thời gian. Cấu trúc ba vùng được nhận diện trên dữ liệu trải dài 2006–2026, một cửa sổ mà phần lớn các chế độ thể chế giữ ổn định tương đối; nhưng chính bằng chứng Ấn Độ (Mục 5.1.6) cho thấy khi tốc độ và biên độ biến động thể chế đủ lớn, điểm uốn có thể dịch chuyển rồi tan biến, nghĩa là tính ổn định của phổ điểm uốn là một điều kiện chứ không phải một thuộc tính bất biến của khung. Ba lực đang định hình lại bối cảnh sau giai đoạn quan sát, gồm sự khuếch tán nhanh của trí tuệ nhân tạo làm thay đổi bản chất của lợi thế số, sự tái cấu trúc thương mại dưới áp lực khí hậu và dịch chuyển chuỗi cung ứng, và sự phân mảnh địa chính trị làm tăng chi phí phối hợp xuyên biên giới, đều tác động trực tiếp lên cả ba tầng điều tiết của khung CDCM; do đó vị trí điểm uốn và ngay cả ranh giới giữa ba vùng nên được đọc như một lát cắt đặc trưng cho giai đoạn 2006–2026 chứ chưa phải một hằng số cấu trúc. Kiểm định lại phổ điểm uốn trên các đợt WBES sau 2026, khi dữ liệu sẵn có, vì vậy là một phép thử trực tiếp cho tính bền thời gian của khung và là một mở rộng tự nhiên của điều kiện ổn định thể chế mà chính khung CDCM đặt ra.</w:t>
      </w:r>
    </w:p>
    <w:bookmarkEnd w:id="61"/>
    <w:bookmarkStart w:id="62" w:name="X5fcc5f3c7ed13c9cd01a29140da977f2965b04f"/>
    <w:p>
      <w:pPr>
        <w:pStyle w:val="Heading3"/>
      </w:pPr>
      <w:r>
        <w:t xml:space="preserve">5.5.3.3 Hạn chế về thước đo quốc tế hóa và thước đo hiệu quả</w:t>
      </w:r>
    </w:p>
    <w:p>
      <w:pPr>
        <w:pStyle w:val="FirstParagraph"/>
      </w:pPr>
      <w:r>
        <w:t xml:space="preserve">Một nhóm hạn chế nữa nằm ở chính việc vận hành hóa hai cấu trúc trung tâm. Về phía quốc tế hóa, luận án dùng nhất quán cường độ xuất khẩu trên doanh thu (FSTS) làm thước đo chính. Lựa chọn này có ưu điểm về tính so sánh xuyên bối cảnh và tính sẵn có trong WBES, nhưng nó chỉ nắm bắt một chiều của quốc tế hóa là cường độ thị trường nước ngoài, mà bỏ qua các chiều khác như phạm vi địa lý (số thị trường) và chiều sâu cam kết (đầu tư trực tiếp ra nước ngoài, lập cơ sở ở nước ngoài). Chính phân tích tổng hợp P6 cho thấy cỡ ảnh hưởng quan sát thay đổi theo cách đo lường quốc tế hóa, nên không loại trừ khả năng rằng dạng hàm ba vùng được nhận diện cho cường độ xuất khẩu có thể khác đi nếu đo quốc tế hóa bằng phạm vi địa lý hoặc chỉ số đa chiều. Cảnh báo này được củng cố bởi bằng chứng gần đây của Verbeke, Eschmann và Gugler (2025): khi đo mức độ toàn cầu hóa của doanh nghiệp đa quốc gia trên bốn chiều khác nhau (doanh số theo không gian địa lý, đầu tư theo tài sản, vốn nhân lực theo phân bố lao động, và vốn tri thức theo sáng chế), các tác giả phát hiện mức độ quốc tế hóa đo được chênh lệch đáng kể giữa các chiều, đến mức một doanh nghiệp có thể được xếp là toàn cầu theo chiều này nhưng định hướng nội vùng theo chiều khác. Phát hiện này hàm ý trực tiếp rằng kết luận của luận án, vốn dựa trên một chiều cường độ xuất khẩu, cần được nhân rộng bằng các thước đo quốc tế hóa đa chiều trước khi khái quát hóa. Về phía hiệu quả, luận án dùng năng suất lao động dạng logarit, một thước đo vận hành mạnh nhưng hẹp hơn so với các thước đo hiệu quả đa chiều (lợi nhuận, tăng trưởng, giá trị thị trường) mà tài liệu thường dùng; phân tích tổng hợp cho thấy thước đo hiệu quả cũng tác động đáng kể đến cỡ ảnh hưởng. Do đó các kết luận của luận án nên được đọc là gắn với cặp thước đo cụ thể (cường độ xuất khẩu và năng suất lao động) và việc nhân rộng với các cặp thước đo khác là một bước kiểm định cần thiết.</w:t>
      </w:r>
    </w:p>
    <w:bookmarkEnd w:id="62"/>
    <w:bookmarkStart w:id="63" w:name="Xf773d6dcd65d45c49760c884a817e3658a90f12"/>
    <w:p>
      <w:pPr>
        <w:pStyle w:val="Heading3"/>
      </w:pPr>
      <w:r>
        <w:t xml:space="preserve">5.5.3.4 Hạn chế về phân loại ICRV và đo lường thể chế</w:t>
      </w:r>
    </w:p>
    <w:p>
      <w:pPr>
        <w:pStyle w:val="FirstParagraph"/>
      </w:pPr>
      <w:r>
        <w:t xml:space="preserve">Khung phân loại ICRV sáu chế độ, dù là một đóng góp trung tâm, cũng mang những hạn chế đo lường cần nêu rõ. Thứ nhất, việc gán một nền kinh tế vào một chế độ là một thao tác rời rạc hóa một thực tại liên tục: các nền kinh tế nằm gần ranh giới giữa hai chế độ có thể bị phân loại nhạy cảm với ngưỡng, và một số nền có thể dịch chuyển chế độ trong giai đoạn quan sát dài 2006–2026 mà phân loại tĩnh không nắm bắt được. Thứ hai, bản thân các chỉ số thể chế nền tảng dùng để xây dựng ICRV là các đại lượng đo lường gián tiếp với sai số riêng, và một bộ phận doanh nghiệp trong mẫu gộp không được gán chế độ do thiếu chỉ số thể chế, tạo khả năng thiên lệch nếu các quan sát thiếu chỉ số không ngẫu nhiên. Thứ ba, hệ phân loại dùng ở cấp phân tích tổng hợp P6 (năm chế độ rút gọn) khác với hệ sáu nhóm ở cấp doanh nghiệp, nên việc đối chiếu trực tiếp giữa hai cấp cần thận trọng. Những hạn chế này không phủ định giá trị dự đoán của ICRV mà chỉ ra rằng phân loại nên được hiểu là một xấp xỉ có cấu trúc của phổ thể chế chứ không phải một thang đo chính xác tuyệt đối.</w:t>
      </w:r>
    </w:p>
    <w:bookmarkEnd w:id="63"/>
    <w:bookmarkStart w:id="64" w:name="Xcb06fdf004ba0783325af0b06c41565c150d92d"/>
    <w:p>
      <w:pPr>
        <w:pStyle w:val="Heading3"/>
      </w:pPr>
      <w:r>
        <w:t xml:space="preserve">5.5.3.5 Hạn chế về suy luận quanh đặc trưng quản trị</w:t>
      </w:r>
    </w:p>
    <w:p>
      <w:pPr>
        <w:pStyle w:val="FirstParagraph"/>
      </w:pPr>
      <w:r>
        <w:t xml:space="preserve">Cuối cùng, các kết quả liên quan đặc trưng nhà quản trị cấp cao mang một giới hạn suy luận đặc thù cần được nhấn mạnh để tránh diễn giải sai. Hệ số mức âm nhẹ của nữ quản lý cấp cao (</w:t>
      </w:r>
      <m:oMath>
        <m:acc>
          <m:accPr>
            <m:chr m:val="̂"/>
          </m:accPr>
          <m:e>
            <m:r>
              <m:t>β</m:t>
            </m:r>
          </m:e>
        </m:acc>
        <m:r>
          <m:rPr>
            <m:sty m:val="p"/>
          </m:rPr>
          <m:t>=</m:t>
        </m:r>
        <m:r>
          <m:rPr>
            <m:sty m:val="p"/>
          </m:rPr>
          <m:t>−</m:t>
        </m:r>
        <m:r>
          <m:t>0</m:t>
        </m:r>
        <m:r>
          <m:rPr>
            <m:sty m:val="p"/>
          </m:rPr>
          <m:t>,</m:t>
        </m:r>
        <m:r>
          <m:t>104</m:t>
        </m:r>
      </m:oMath>
      <w:r>
        <w:t xml:space="preserve">,</w:t>
      </w:r>
      <w:r>
        <w:t xml:space="preserve"> </w:t>
      </w:r>
      <m:oMath>
        <m:r>
          <m:t>p</m:t>
        </m:r>
        <m:r>
          <m:rPr>
            <m:sty m:val="p"/>
          </m:rPr>
          <m:t>&lt;</m:t>
        </m:r>
        <m:r>
          <m:rPr>
            <m:sty m:val="p"/>
          </m:rPr>
          <m:t>,</m:t>
        </m:r>
        <m:r>
          <m:t>001</m:t>
        </m:r>
      </m:oMath>
      <w:r>
        <w:t xml:space="preserve">; xem Mục 5.1.4) được luận án diễn giải là phản ánh sự phân bố không ngẫu nhiên của nữ quản lý vào các ngành thâm dụng lao động biên thấp, tức một dạng chọn lọc cấu thành, chứ không phải bằng chứng nhân quả về hiệu quả của lãnh đạo nữ. Thiết kế dữ liệu hiện tại không cho phép bóc tách kênh chọn lọc ngành khỏi kênh hiệu quả lãnh đạo, vì WBES không có đủ biến để mô hình hóa quá trình phân bổ nhà quản trị vào doanh nghiệp và ngành. Tương tự, kết quả không có ý nghĩa về kinh nghiệm nhà quản trị phản ánh hạn chế đo lường là số năm kinh nghiệm không nắm bắt được chất lượng và bề rộng kinh nghiệm quốc tế. Do đó mọi kết luận về tầng quản trị của khung CDCM trong luận án nên được đọc là có điều kiện và cần thiết kế nhận dạng riêng, một giới hạn mà chương sách bổ sung về quản trị cấp cao tại Ấn Độ chỉ giải quyết được ở phạm vi đơn quốc gia chứ chưa ở quy mô khu vực.</w:t>
      </w:r>
    </w:p>
    <w:bookmarkEnd w:id="64"/>
    <w:bookmarkStart w:id="65" w:name="hướng-nghiên-cứu-tương-lai"/>
    <w:p>
      <w:pPr>
        <w:pStyle w:val="Heading3"/>
      </w:pPr>
      <w:r>
        <w:t xml:space="preserve">5.5.4 Hướng nghiên cứu tương lai</w:t>
      </w:r>
    </w:p>
    <w:p>
      <w:pPr>
        <w:pStyle w:val="FirstParagraph"/>
      </w:pPr>
      <w:r>
        <w:t xml:space="preserve">Dựa trên các hạn chế trên, luận án đề xuất mười hướng nghiên cứu ưu tiên, được tổ chức thành ba nhóm chủ đề tương ứng với ba nhóm hạn chế chính, để cho thấy các hướng này nảy sinh từ kiến trúc lý thuyết của luận án chứ không phải một danh mục rời rạc: nhóm A củng cố nhận dạng nhân quả và xử lý nội sinh; nhóm B làm giàu đo lường đa chiều và năng lực số động; và nhóm C mở rộng phạm vi khái quát hóa cùng lập bản đồ cơ chế. Mỗi hướng dưới đây được gắn nhãn nhóm tương ứng:</w:t>
      </w:r>
    </w:p>
    <w:p>
      <w:pPr>
        <w:pStyle w:val="BodyText"/>
      </w:pPr>
      <w:r>
        <w:rPr>
          <w:bCs/>
          <w:b/>
        </w:rPr>
        <w:t xml:space="preserve">Thứ nhất</w:t>
      </w:r>
      <w:r>
        <w:t xml:space="preserve"> </w:t>
      </w:r>
      <w:r>
        <w:t xml:space="preserve">(nhóm B), xây dựng đo lường DAI phong phú hơn (Bậc 2 và Bậc 3) trên dữ liệu WBES mới nhất (2023–2026) và các nguồn dữ liệu bổ sung (ITU Digital Development Index, OECD Digital Economy Outlook) để kiểm định lại vai trò DAI trong các bối cảnh ICRV thấp hơn.</w:t>
      </w:r>
    </w:p>
    <w:p>
      <w:pPr>
        <w:pStyle w:val="BodyText"/>
      </w:pPr>
      <w:r>
        <w:rPr>
          <w:bCs/>
          <w:b/>
        </w:rPr>
        <w:t xml:space="preserve">Thứ hai</w:t>
      </w:r>
      <w:r>
        <w:t xml:space="preserve"> </w:t>
      </w:r>
      <w:r>
        <w:t xml:space="preserve">(nhóm A), sử dụng phương pháp nhận dạng nhân quả (causal identification): instrumental variables (ví dụ: sử dụng các cải cách thương mại ngoại sinh như FTA ký kết), difference-in-differences, hoặc regression discontinuity design để ước lượng hiệu ứng nhân quả của quốc tế hóa lên hiệu quả.</w:t>
      </w:r>
    </w:p>
    <w:p>
      <w:pPr>
        <w:pStyle w:val="BodyText"/>
      </w:pPr>
      <w:r>
        <w:rPr>
          <w:bCs/>
          <w:b/>
        </w:rPr>
        <w:t xml:space="preserve">Thứ ba</w:t>
      </w:r>
      <w:r>
        <w:t xml:space="preserve"> </w:t>
      </w:r>
      <w:r>
        <w:t xml:space="preserve">(nhóm C), mở rộng phân tích FIP tại SIDS với các công cụ đo lường và dữ liệu panel thực sự (theo dõi cùng doanh nghiệp qua nhiều năm) để kiểm định liệu FIP là trạng thái cấu trúc dài hạn hay chỉ là giai đoạn tạm thời khi doanh nghiệp SIDS mới bắt đầu xuất khẩu.</w:t>
      </w:r>
    </w:p>
    <w:p>
      <w:pPr>
        <w:pStyle w:val="BodyText"/>
      </w:pPr>
      <w:r>
        <w:rPr>
          <w:bCs/>
          <w:b/>
        </w:rPr>
        <w:t xml:space="preserve">Thứ tư</w:t>
      </w:r>
      <w:r>
        <w:t xml:space="preserve"> </w:t>
      </w:r>
      <w:r>
        <w:t xml:space="preserve">(nhóm C), kiểm định vai trò của đặc điểm nhà quản trị cấp cao (top manager characteristics; H4: kinh nghiệm, giới tính) trong từng bối cảnh ICRV riêng biệt, đặc biệt trong bối cảnh đang nổi và SIDS nơi tầng năng lực và thể chế yếu hơn, liệu đặc điểm nhà quản trị có thể bù đắp một phần cho những thiếu hụt đó không?</w:t>
      </w:r>
    </w:p>
    <w:p>
      <w:pPr>
        <w:pStyle w:val="BodyText"/>
      </w:pPr>
      <w:r>
        <w:rPr>
          <w:bCs/>
          <w:b/>
        </w:rPr>
        <w:t xml:space="preserve">Thứ năm</w:t>
      </w:r>
      <w:r>
        <w:t xml:space="preserve"> </w:t>
      </w:r>
      <w:r>
        <w:t xml:space="preserve">(nhóm C), khai thác sâu hơn Nhật Bản, nền kinh tế tiên tiến lớn lần đầu được WBES khảo sát năm 2025. Bước đầu tiên đã được thực hiện trong nghiên cứu thành phần P10: trên đợt khảo sát khai mở (N = 2.168), quan hệ quốc tế hóa và hiệu quả tại Nhật gần tuyến tính dương, không có điểm uốn trong miền quan sát, xác nhận dự đoán biên trên của khung ICRV; các bước tiếp theo gồm tích hợp Nhật Bản vào các mô hình điều tiết ba chiều và khai thác các phân hệ đặc thù (trường thọ doanh nghiệp, khoảng cách giới trong lãnh đạo) khi có thêm đợt khảo sát thứ hai.</w:t>
      </w:r>
    </w:p>
    <w:p>
      <w:pPr>
        <w:pStyle w:val="BodyText"/>
      </w:pPr>
      <w:r>
        <w:rPr>
          <w:bCs/>
          <w:b/>
        </w:rPr>
        <w:t xml:space="preserve">Thứ sáu</w:t>
      </w:r>
      <w:r>
        <w:t xml:space="preserve"> </w:t>
      </w:r>
      <w:r>
        <w:t xml:space="preserve">(nhóm A), một hướng nghiên cứu ưu tiên xuất phát trực tiếp từ phát hiện ngưỡng tan biến tại Ấn Độ là kiểm định nhân quả của biến động thể chế lên hình dạng quan hệ quốc tế hóa và hiệu quả. Các cú sốc thể chế rời rạc và có thể định thời điểm trong cửa sổ 2014–2025 (bãi bỏ tiền mặt, áp dụng thuế hàng hóa và dịch vụ, ban hành luật phá sản, ra mắt hạ tầng thanh toán hợp nhất) tạo điều kiện cho thiết kế khác biệt trong khác biệt hoặc nghiên cứu sự kiện nhằm phân lập tác động nhân quả của từng cú sốc lên độ cong và vị trí điểm uốn. Hướng này cũng cho phép kiểm định trực tiếp mệnh đề về điều kiện ổn định thể chế của khung CDCM, tức liệu sự tan biến ngưỡng là hệ quả của tổng biến động tích lũy hay của một cú sốc cụ thể nào đó. Việc kết hợp dữ liệu chính sách thương mại ngoại sinh, chẳng hạn các hiệp định thương mại tự do được ký kết, như công cụ nhận dạng sẽ giúp tách bạch chiều nhân quả từ quốc tế hóa đến hiệu quả khỏi chiều ngược lại, giải quyết một phần hạn chế nội sinh đã nêu ở Mục 5.5.3.</w:t>
      </w:r>
    </w:p>
    <w:p>
      <w:pPr>
        <w:pStyle w:val="BodyText"/>
      </w:pPr>
      <w:r>
        <w:rPr>
          <w:bCs/>
          <w:b/>
        </w:rPr>
        <w:t xml:space="preserve">Thứ bảy</w:t>
      </w:r>
      <w:r>
        <w:t xml:space="preserve"> </w:t>
      </w:r>
      <w:r>
        <w:t xml:space="preserve">(nhóm C), sự dịch chuyển trọng tâm giữa biên tham gia và biên cường độ dọc theo phổ thể chế, được phát hiện khi đối chiếu bằng chứng Việt Nam (cơ chế biên tham gia ở chế độ chuyển đổi) với Nhật Bản (cơ chế tự chọn lọc Melitz ở biên trên), mở ra một câu hỏi lý thuyết chưa được giải quyết: chế độ thể chế nào đánh dấu sự chuyển giao giữa hai cơ chế, và liệu có một vùng quá độ nơi cả hai cùng vận hành. Nghiên cứu tương lai có thể vận dụng mô hình hai phần (two-part model) phân tách rõ ràng quyết định tham gia xuất khẩu khỏi quyết định cường độ trên toàn phổ thể chế ICRV, qua đó lập bản đồ chính xác sự dịch chuyển cơ chế và làm giàu thêm tầng vi mô của khung CDCM, nhất quán với logic tự chọn lọc theo năng suất của Melitz (2003) và với bằng chứng về quan hệ xuất khẩu và năng suất ở cấp doanh nghiệp (Wagner, 2007).</w:t>
      </w:r>
    </w:p>
    <w:p>
      <w:pPr>
        <w:pStyle w:val="BodyText"/>
      </w:pPr>
      <w:r>
        <w:rPr>
          <w:bCs/>
          <w:b/>
        </w:rPr>
        <w:t xml:space="preserve">Thứ tám</w:t>
      </w:r>
      <w:r>
        <w:t xml:space="preserve"> </w:t>
      </w:r>
      <w:r>
        <w:t xml:space="preserve">(nhóm C), kiểm định tính khái quát hóa của cấu trúc ba vùng ra ngoài khu vực châu Á và Thái Bình Dương. Vì WBES có độ phủ toàn cầu, một hướng khả thi và trực tiếp là ánh xạ khung ICRV lên các nền kinh tế châu Phi hạ Sahara và Mỹ Latinh rồi ước lượng lại phổ điểm uốn trên cùng cặp thước đo, qua đó xác định liệu trật tự ba vùng có phải là đặc thù khu vực hay là một quy luật phổ quát hơn về điều tiết thể chế. Hướng này có giá trị vì nó kiểm định trực tiếp đường biên khái quát hóa mà Mục 5.5.3.2 đã nêu, và vì các khu vực này có những chế độ thể chế và mô thức thương mại khác với châu Á, cung cấp một phép kiểm định khắt khe cho tính bền của khung.</w:t>
      </w:r>
    </w:p>
    <w:p>
      <w:pPr>
        <w:pStyle w:val="BodyText"/>
      </w:pPr>
      <w:r>
        <w:rPr>
          <w:bCs/>
          <w:b/>
        </w:rPr>
        <w:t xml:space="preserve">Thứ chín</w:t>
      </w:r>
      <w:r>
        <w:t xml:space="preserve"> </w:t>
      </w:r>
      <w:r>
        <w:t xml:space="preserve">(nhóm B), mở rộng đo lường quốc tế hóa sang đa chiều. Vì cường độ xuất khẩu chỉ là một chiều, nghiên cứu tương lai có thể xây dựng thước đo phạm vi địa lý và chiều sâu cam kết từ các nguồn bổ sung (dữ liệu hải quan, dữ liệu đầu tư trực tiếp ra nước ngoài) rồi kiểm định liệu cấu trúc ba vùng có giữ nguyên hình dạng khi quốc tế hóa được đo đa chiều. Bằng chứng phân tích tổng hợp rằng cỡ ảnh hưởng thay đổi theo cách đo quốc tế hóa khiến đây là một hướng có khả năng làm thay đổi hoặc tinh chỉnh kết luận, chứ không chỉ là một bài tập nhân rộng.</w:t>
      </w:r>
    </w:p>
    <w:p>
      <w:pPr>
        <w:pStyle w:val="BodyText"/>
      </w:pPr>
      <w:r>
        <w:rPr>
          <w:bCs/>
          <w:b/>
        </w:rPr>
        <w:t xml:space="preserve">Thứ mười</w:t>
      </w:r>
      <w:r>
        <w:t xml:space="preserve"> </w:t>
      </w:r>
      <w:r>
        <w:t xml:space="preserve">(nhóm B), một hướng đo lường ưu tiên là phát triển và kiểm định thước đo năng lực số động thực sự. Vì mọi đo lường DAI hiện tại đều tĩnh, một bước tiến quan trọng là kết hợp các đợt khảo sát liên tiếp của cùng nền kinh tế để xây dựng đại lượng tái cấu hình năng lực số theo thời gian, tiệm cận khái niệm năng lực động (Teece và cộng sự, 1997; Teece, 2007), qua đó kiểm định trực tiếp giả thuyết rằng vai trò uốn đường cong của năng lực số đến từ tính động chứ không chỉ từ mức chấp nhận tĩnh. Kết hợp với các nguồn dữ liệu số chuyên biệt, hướng này cho phép tách bạch hiệu ứng của chiều sâu năng lực số khỏi hiệu ứng của tính động, một phân biệt mà dữ liệu WBES tĩnh hiện chưa cho phép.</w:t>
      </w:r>
    </w:p>
    <w:p>
      <w:r>
        <w:pict>
          <v:rect style="width:0;height:1.5pt" o:hralign="center" o:hrstd="t" o:hr="t"/>
        </w:pict>
      </w:r>
    </w:p>
    <w:bookmarkEnd w:id="65"/>
    <w:bookmarkEnd w:id="66"/>
    <w:bookmarkStart w:id="71" w:name="kết-luận"/>
    <w:p>
      <w:pPr>
        <w:pStyle w:val="Heading2"/>
      </w:pPr>
      <w:r>
        <w:t xml:space="preserve">5.6 Kết luận</w:t>
      </w:r>
    </w:p>
    <w:bookmarkStart w:id="67" w:name="tổng-kết-các-nghiên-cứu-thành-phần"/>
    <w:p>
      <w:pPr>
        <w:pStyle w:val="Heading3"/>
      </w:pPr>
      <w:r>
        <w:t xml:space="preserve">5.6.1 Tổng kết các nghiên cứu thành phần</w:t>
      </w:r>
    </w:p>
    <w:p>
      <w:pPr>
        <w:pStyle w:val="FirstParagraph"/>
      </w:pPr>
      <w:r>
        <w:t xml:space="preserve">Luận án này được xây dựng trên mười nghiên cứu thành phần và một chương sách bổ sung cho nhau, kết hợp bằng chứng từ phân tích tổng hợp và phân tích thực nghiệm sơ cấp:</w:t>
      </w:r>
    </w:p>
    <w:p>
      <w:pPr>
        <w:numPr>
          <w:ilvl w:val="0"/>
          <w:numId w:val="1002"/>
        </w:numPr>
      </w:pPr>
      <w:r>
        <w:rPr>
          <w:bCs/>
          <w:b/>
        </w:rPr>
        <w:t xml:space="preserve">P1</w:t>
      </w:r>
      <w:r>
        <w:t xml:space="preserve">: cơ sở thực nghiệm đa quốc gia trên 17 nền kinh tế châu Á (</w:t>
      </w:r>
      <m:oMath>
        <m:r>
          <m:t>N</m:t>
        </m:r>
        <m:r>
          <m:rPr>
            <m:sty m:val="p"/>
          </m:rPr>
          <m:t>=</m:t>
        </m:r>
        <m:r>
          <m:t>40.633</m:t>
        </m:r>
      </m:oMath>
      <w:r>
        <w:t xml:space="preserve">), xác lập phân tầng năng suất vùng và hiệu ứng lá chắn số (tương tác rào cản và công nghệ</w:t>
      </w:r>
      <w:r>
        <w:t xml:space="preserve"> </w:t>
      </w:r>
      <m:oMath>
        <m:r>
          <m:rPr>
            <m:sty m:val="p"/>
          </m:rPr>
          <m:t>+</m:t>
        </m:r>
        <m:r>
          <m:t>0</m:t>
        </m:r>
        <m:r>
          <m:rPr>
            <m:sty m:val="p"/>
          </m:rPr>
          <m:t>,</m:t>
        </m:r>
        <m:r>
          <m:t>110</m:t>
        </m:r>
      </m:oMath>
      <w:r>
        <w:t xml:space="preserve">,</w:t>
      </w:r>
      <w:r>
        <w:t xml:space="preserve"> </w:t>
      </w:r>
      <m:oMath>
        <m:r>
          <m:t>p</m:t>
        </m:r>
        <m:r>
          <m:rPr>
            <m:sty m:val="p"/>
          </m:rPr>
          <m:t>&lt;</m:t>
        </m:r>
        <m:r>
          <m:rPr>
            <m:sty m:val="p"/>
          </m:rPr>
          <m:t>,</m:t>
        </m:r>
        <m:r>
          <m:t>001</m:t>
        </m:r>
      </m:oMath>
      <w:r>
        <w:t xml:space="preserve">), đặt nền cho khung CDCM.</w:t>
      </w:r>
    </w:p>
    <w:p>
      <w:pPr>
        <w:numPr>
          <w:ilvl w:val="0"/>
          <w:numId w:val="1002"/>
        </w:numPr>
      </w:pPr>
      <w:r>
        <w:rPr>
          <w:bCs/>
          <w:b/>
        </w:rPr>
        <w:t xml:space="preserve">P2</w:t>
      </w:r>
      <w:r>
        <w:t xml:space="preserve">: doanh nghiệp nhỏ và vừa Trung Quốc (</w:t>
      </w:r>
      <m:oMath>
        <m:r>
          <m:t>N</m:t>
        </m:r>
        <m:r>
          <m:rPr>
            <m:sty m:val="p"/>
          </m:rPr>
          <m:t>=</m:t>
        </m:r>
        <m:r>
          <m:t>4.290</m:t>
        </m:r>
      </m:oMath>
      <w:r>
        <w:t xml:space="preserve">), xác nhận chữ U ngược với điểm uốn 47,8% và cơ chế bẫy vốn lưu động ở nhánh đi xuống.</w:t>
      </w:r>
    </w:p>
    <w:p>
      <w:pPr>
        <w:numPr>
          <w:ilvl w:val="0"/>
          <w:numId w:val="1002"/>
        </w:numPr>
      </w:pPr>
      <w:r>
        <w:rPr>
          <w:bCs/>
          <w:b/>
        </w:rPr>
        <w:t xml:space="preserve">P3</w:t>
      </w:r>
      <w:r>
        <w:t xml:space="preserve">: phân tích Việt Nam (chuyển đổi thu nhập trung bình thấp), xác nhận chữ U ngược với điểm uốn 39,3–46,2%, TCI là biến điều tiết dương có ý nghĩa.</w:t>
      </w:r>
    </w:p>
    <w:p>
      <w:pPr>
        <w:numPr>
          <w:ilvl w:val="0"/>
          <w:numId w:val="1002"/>
        </w:numPr>
      </w:pPr>
      <w:r>
        <w:rPr>
          <w:bCs/>
          <w:b/>
        </w:rPr>
        <w:t xml:space="preserve">P4</w:t>
      </w:r>
      <w:r>
        <w:t xml:space="preserve">: phân tích Singapore (tiên tiến đổi mới), xác nhận chữ U ngược với điểm uốn khoảng 88,6% (khoảng tin cậy rộng), DAI khuếch đại tại mức cường độ xuất khẩu cao.</w:t>
      </w:r>
    </w:p>
    <w:p>
      <w:pPr>
        <w:numPr>
          <w:ilvl w:val="0"/>
          <w:numId w:val="1002"/>
        </w:numPr>
      </w:pPr>
      <w:r>
        <w:rPr>
          <w:bCs/>
          <w:b/>
        </w:rPr>
        <w:t xml:space="preserve">P5</w:t>
      </w:r>
      <w:r>
        <w:t xml:space="preserve">: phân tích Trung Quốc 2012–2024 (trung bình cao), xác nhận chữ U ngược ổn định theo thời gian (điểm uốn khoảng 48,78%, kiểm định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P6</w:t>
      </w:r>
      <w:r>
        <w:t xml:space="preserve">: phân tích tổng hợp ba tầng với</w:t>
      </w:r>
      <w:r>
        <w:t xml:space="preserve"> </w:t>
      </w:r>
      <m:oMath>
        <m:r>
          <m:t>k</m:t>
        </m:r>
        <m:r>
          <m:rPr>
            <m:sty m:val="p"/>
          </m:rPr>
          <m:t>=</m:t>
        </m:r>
        <m:r>
          <m:t>238</m:t>
        </m:r>
      </m:oMath>
      <w:r>
        <w:t xml:space="preserve">,</w:t>
      </w:r>
      <w:r>
        <w:t xml:space="preserve"> </w:t>
      </w:r>
      <m:oMath>
        <m:acc>
          <m:accPr>
            <m:chr m:val="‾"/>
          </m:accPr>
          <m:e>
            <m:r>
              <m:t>r</m:t>
            </m:r>
          </m:e>
        </m:acc>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tầng hai cộng 8,4% tầng ba), ICRV điều tiết</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P7</w:t>
      </w:r>
      <w:r>
        <w:t xml:space="preserve">: kiểm định toàn mẫu châu Á và Thái Bình Dương trên khung 50 nền kinh tế,</w:t>
      </w:r>
      <w:r>
        <w:t xml:space="preserve"> </w:t>
      </w:r>
      <m:oMath>
        <m:r>
          <m:t>N</m:t>
        </m:r>
        <m:r>
          <m:rPr>
            <m:sty m:val="p"/>
          </m:rPr>
          <m:t>=</m:t>
        </m:r>
        <m:r>
          <m:t>81.022</m:t>
        </m:r>
      </m:oMath>
      <w:r>
        <w:t xml:space="preserve"> </w:t>
      </w:r>
      <w:r>
        <w:t xml:space="preserve">(bậc hai) và</w:t>
      </w:r>
      <w:r>
        <w:t xml:space="preserve"> </w:t>
      </w:r>
      <m:oMath>
        <m:r>
          <m:t>N</m:t>
        </m:r>
        <m:r>
          <m:rPr>
            <m:sty m:val="p"/>
          </m:rPr>
          <m:t>=</m:t>
        </m:r>
        <m:r>
          <m:t>79.080</m:t>
        </m:r>
      </m:oMath>
      <w:r>
        <w:t xml:space="preserve"> </w:t>
      </w:r>
      <w:r>
        <w:t xml:space="preserve">(mô hình đầy đủ), điểm uốn 43,6–51,5% (mô hình chính 43,6%,</w:t>
      </w:r>
      <w:r>
        <w:t xml:space="preserve"> </w:t>
      </w:r>
      <m:oMath>
        <m:sSub>
          <m:e>
            <m:r>
              <m:t>p</m:t>
            </m:r>
          </m:e>
          <m:sub>
            <m:r>
              <m:rPr>
                <m:nor/>
                <m:sty m:val="p"/>
              </m:rPr>
              <m:t>LM</m:t>
            </m:r>
          </m:sub>
        </m:sSub>
        <m:r>
          <m:rPr>
            <m:sty m:val="p"/>
          </m:rPr>
          <m:t>&lt;</m:t>
        </m:r>
        <m:r>
          <m:rPr>
            <m:sty m:val="p"/>
          </m:rPr>
          <m:t>,</m:t>
        </m:r>
        <m:r>
          <m:t>001</m:t>
        </m:r>
      </m:oMath>
      <w:r>
        <w:t xml:space="preserve">); chữ U ngược định hình rõ nhất ở Nhóm IV (43,0%), gần tuyến tính ở Nhóm I, mất cấu trúc ở Nhóm V và VI; TCI nâng mặt bằng (</w:t>
      </w:r>
      <m:oMath>
        <m:r>
          <m:rPr>
            <m:sty m:val="p"/>
          </m:rPr>
          <m:t>+</m:t>
        </m:r>
        <m:r>
          <m:t>0</m:t>
        </m:r>
        <m:r>
          <m:rPr>
            <m:sty m:val="p"/>
          </m:rPr>
          <m:t>,</m:t>
        </m:r>
        <m:r>
          <m:t>141</m:t>
        </m:r>
      </m:oMath>
      <w:r>
        <w:t xml:space="preserve">,</w:t>
      </w:r>
      <w:r>
        <w:t xml:space="preserve"> </w:t>
      </w:r>
      <m:oMath>
        <m:r>
          <m:t>p</m:t>
        </m:r>
        <m:r>
          <m:rPr>
            <m:sty m:val="p"/>
          </m:rPr>
          <m:t>&lt;</m:t>
        </m:r>
        <m:r>
          <m:rPr>
            <m:sty m:val="p"/>
          </m:rPr>
          <m:t>,</m:t>
        </m:r>
        <m:r>
          <m:t>001</m:t>
        </m:r>
      </m:oMath>
      <w:r>
        <w:t xml:space="preserve">), DAI nâng mặt bằng (</w:t>
      </w:r>
      <m:oMath>
        <m:r>
          <m:rPr>
            <m:sty m:val="p"/>
          </m:rPr>
          <m:t>+</m:t>
        </m:r>
        <m:r>
          <m:t>0</m:t>
        </m:r>
        <m:r>
          <m:rPr>
            <m:sty m:val="p"/>
          </m:rPr>
          <m:t>,</m:t>
        </m:r>
        <m:r>
          <m:t>201</m:t>
        </m:r>
      </m:oMath>
      <w:r>
        <w:t xml:space="preserve">,</w:t>
      </w:r>
      <w:r>
        <w:t xml:space="preserve"> </w:t>
      </w:r>
      <m:oMath>
        <m:r>
          <m:t>p</m:t>
        </m:r>
        <m:r>
          <m:rPr>
            <m:sty m:val="p"/>
          </m:rPr>
          <m:t>&lt;</m:t>
        </m:r>
        <m:r>
          <m:rPr>
            <m:sty m:val="p"/>
          </m:rPr>
          <m:t>,</m:t>
        </m:r>
        <m:r>
          <m:t>001</m:t>
        </m:r>
      </m:oMath>
      <w:r>
        <w:t xml:space="preserve">) với tương tác đường cong cùng chiều nhưng không có ý nghĩa toàn mẫu.</w:t>
      </w:r>
    </w:p>
    <w:p>
      <w:pPr>
        <w:numPr>
          <w:ilvl w:val="0"/>
          <w:numId w:val="1002"/>
        </w:numPr>
      </w:pPr>
      <w:r>
        <w:rPr>
          <w:bCs/>
          <w:b/>
        </w:rPr>
        <w:t xml:space="preserve">P8</w:t>
      </w:r>
      <w:r>
        <w:t xml:space="preserve">: phân tích bảy nền kinh tế đảo nhỏ đang phát triển Thái Bình Dương (loại Timor-Leste theo phân loại WB/UN;</w:t>
      </w:r>
      <w:r>
        <w:t xml:space="preserve"> </w:t>
      </w:r>
      <m:oMath>
        <m:r>
          <m:t>N</m:t>
        </m:r>
        <m:r>
          <m:rPr>
            <m:sty m:val="p"/>
          </m:rPr>
          <m:t>=</m:t>
        </m:r>
        <m:r>
          <m:t>1.450</m:t>
        </m:r>
      </m:oMath>
      <w:r>
        <w:t xml:space="preserve">, bảy cụm), phát hiện vững là</w:t>
      </w:r>
      <w:r>
        <w:t xml:space="preserve"> </w:t>
      </w:r>
      <w:r>
        <w:rPr>
          <w:bCs/>
          <w:b/>
        </w:rPr>
        <w:t xml:space="preserve">việc dạng chữ U ngược mất cấu trúc</w:t>
      </w:r>
      <w:r>
        <w:t xml:space="preserve">, độ dốc (</w:t>
      </w:r>
      <m:oMath>
        <m:r>
          <m:rPr>
            <m:sty m:val="p"/>
          </m:rPr>
          <m:t>−</m:t>
        </m:r>
        <m:r>
          <m:t>0</m:t>
        </m:r>
        <m:r>
          <m:rPr>
            <m:sty m:val="p"/>
          </m:rPr>
          <m:t>,</m:t>
        </m:r>
        <m:r>
          <m:t>085</m:t>
        </m:r>
      </m:oMath>
      <w:r>
        <w:t xml:space="preserve">,</w:t>
      </w:r>
      <w:r>
        <w:t xml:space="preserve"> </w:t>
      </w:r>
      <m:oMath>
        <m:sSub>
          <m:e>
            <m:r>
              <m:t>p</m:t>
            </m:r>
          </m:e>
          <m:sub>
            <m:r>
              <m:rPr>
                <m:nor/>
                <m:sty m:val="p"/>
              </m:rPr>
              <m:t>wild</m:t>
            </m:r>
          </m:sub>
        </m:sSub>
        <m:r>
          <m:rPr>
            <m:sty m:val="p"/>
          </m:rPr>
          <m:t>=</m:t>
        </m:r>
        <m:r>
          <m:rPr>
            <m:sty m:val="p"/>
          </m:rPr>
          <m:t>,</m:t>
        </m:r>
        <m:r>
          <m:t>66</m:t>
        </m:r>
      </m:oMath>
      <w:r>
        <w:t xml:space="preserve">) không có ý nghĩa và độ cong (</w:t>
      </w:r>
      <m:oMath>
        <m:acc>
          <m:accPr>
            <m:chr m:val="̂"/>
          </m:accPr>
          <m:e>
            <m:r>
              <m:t>β</m:t>
            </m:r>
          </m:e>
        </m:acc>
        <m:d>
          <m:dPr>
            <m:begChr m:val="("/>
            <m:endChr m:val=")"/>
            <m:sepChr m:val=""/>
            <m:grow/>
          </m:dPr>
          <m:e>
            <m:sSup>
              <m:e>
                <m:r>
                  <m:rPr>
                    <m:nor/>
                    <m:sty m:val="p"/>
                  </m:rPr>
                  <m:t>FSTS</m:t>
                </m:r>
              </m:e>
              <m:sup>
                <m:r>
                  <m:t>2</m:t>
                </m:r>
              </m:sup>
            </m:sSup>
          </m:e>
        </m:d>
        <m:r>
          <m:rPr>
            <m:sty m:val="p"/>
          </m:rPr>
          <m:t>=</m:t>
        </m:r>
        <m:r>
          <m:rPr>
            <m:sty m:val="p"/>
          </m:rPr>
          <m:t>+</m:t>
        </m:r>
        <m:r>
          <m:t>0</m:t>
        </m:r>
        <m:r>
          <m:rPr>
            <m:sty m:val="p"/>
          </m:rPr>
          <m:t>,</m:t>
        </m:r>
        <m:r>
          <m:t>696</m:t>
        </m:r>
      </m:oMath>
      <w:r>
        <w:t xml:space="preserve">,</w:t>
      </w:r>
      <w:r>
        <w:t xml:space="preserve"> </w:t>
      </w:r>
      <m:oMath>
        <m:sSub>
          <m:e>
            <m:r>
              <m:t>p</m:t>
            </m:r>
          </m:e>
          <m:sub>
            <m:r>
              <m:rPr>
                <m:nor/>
                <m:sty m:val="p"/>
              </m:rPr>
              <m:t>wild</m:t>
            </m:r>
          </m:sub>
        </m:sSub>
        <m:r>
          <m:rPr>
            <m:sty m:val="p"/>
          </m:rPr>
          <m:t>=</m:t>
        </m:r>
        <m:r>
          <m:rPr>
            <m:sty m:val="p"/>
          </m:rPr>
          <m:t>,</m:t>
        </m:r>
        <m:r>
          <m:t>082</m:t>
        </m:r>
      </m:oMath>
      <w:r>
        <w:t xml:space="preserve">) chỉ đạt mức biên, tương phản với chữ U ngược của lục địa; FIP được nêu như trường hợp giới hạn lý thuyết, với hệ số âm mạnh (</w:t>
      </w:r>
      <m:oMath>
        <m:r>
          <m:rPr>
            <m:sty m:val="p"/>
          </m:rPr>
          <m:t>−</m:t>
        </m:r>
        <m:r>
          <m:t>1</m:t>
        </m:r>
        <m:r>
          <m:rPr>
            <m:sty m:val="p"/>
          </m:rPr>
          <m:t>,</m:t>
        </m:r>
        <m:r>
          <m:t>339</m:t>
        </m:r>
      </m:oMath>
      <w:r>
        <w:t xml:space="preserve">) chỉ xuất hiện trên một bản dựng dữ liệu hạn chế ba cụm và mang tính minh họa, nhạy cảm với phiên bản dữ liệu (xem Mục 4.7.8).</w:t>
      </w:r>
    </w:p>
    <w:p>
      <w:pPr>
        <w:numPr>
          <w:ilvl w:val="0"/>
          <w:numId w:val="1002"/>
        </w:numPr>
      </w:pPr>
      <w:r>
        <w:rPr>
          <w:bCs/>
          <w:b/>
        </w:rPr>
        <w:t xml:space="preserve">P9</w:t>
      </w:r>
      <w:r>
        <w:t xml:space="preserve">: phân tích Ấn Độ qua ba đợt WBES 2014–2025 (khoảng 29.000 doanh nghiệp), kiểm định độ bền ngưỡng qua thập kỷ chuyển đổi thể chế. Phát hiện sự</w:t>
      </w:r>
      <w:r>
        <w:t xml:space="preserve"> </w:t>
      </w:r>
      <w:r>
        <w:rPr>
          <w:iCs/>
          <w:i/>
        </w:rPr>
        <w:t xml:space="preserve">tan biến</w:t>
      </w:r>
      <w:r>
        <w:t xml:space="preserve"> </w:t>
      </w:r>
      <w:r>
        <w:t xml:space="preserve">điểm uốn: 61,8% (2014) rồi 40,7% (2022) rồi mất ý nghĩa độ cong (2025:</w:t>
      </w:r>
      <w:r>
        <w:t xml:space="preserve"> </w:t>
      </w:r>
      <m:oMath>
        <m:sSub>
          <m:e>
            <m:r>
              <m:t>β</m:t>
            </m:r>
          </m:e>
          <m:sub>
            <m:r>
              <m:t>2</m:t>
            </m:r>
          </m:sub>
        </m:sSub>
        <m:r>
          <m:rPr>
            <m:sty m:val="p"/>
          </m:rPr>
          <m:t>=</m:t>
        </m:r>
        <m:r>
          <m:rPr>
            <m:sty m:val="p"/>
          </m:rPr>
          <m:t>−</m:t>
        </m:r>
        <m:r>
          <m:t>0</m:t>
        </m:r>
        <m:r>
          <m:rPr>
            <m:sty m:val="p"/>
          </m:rPr>
          <m:t>,</m:t>
        </m:r>
        <m:r>
          <m:t>16</m:t>
        </m:r>
      </m:oMath>
      <w:r>
        <w:t xml:space="preserve">,</w:t>
      </w:r>
      <w:r>
        <w:t xml:space="preserve"> </w:t>
      </w:r>
      <m:oMath>
        <m:r>
          <m:t>p</m:t>
        </m:r>
        <m:r>
          <m:rPr>
            <m:sty m:val="p"/>
          </m:rPr>
          <m:t>=</m:t>
        </m:r>
        <m:r>
          <m:rPr>
            <m:sty m:val="p"/>
          </m:rPr>
          <m:t>,</m:t>
        </m:r>
        <m:r>
          <m:t>42</m:t>
        </m:r>
      </m:oMath>
      <w:r>
        <w:t xml:space="preserve">), kèm tương tác Bậc 2 (UPI) âm, bằng chứng đầu tiên rằng chuyển đổi thể chế cực mạnh có thể hòa tan chứ không chỉ dịch chuyển ngưỡng.</w:t>
      </w:r>
    </w:p>
    <w:p>
      <w:pPr>
        <w:numPr>
          <w:ilvl w:val="0"/>
          <w:numId w:val="1002"/>
        </w:numPr>
      </w:pPr>
      <w:r>
        <w:rPr>
          <w:bCs/>
          <w:b/>
        </w:rPr>
        <w:t xml:space="preserve">P10</w:t>
      </w:r>
      <w:r>
        <w:t xml:space="preserve">: phân tích Nhật Bản, đợt khảo sát WBES đầu tiên năm 2025 (tiên tiến đổi mới), xác nhận dự đoán biên trên: quan hệ duỗi thẳng về gần tuyến tính dương với điểm uốn nằm ngoài miền quan sát, năng lực và đặc trưng quản trị nâng mặt bằng nhưng không uốn đường cong.</w:t>
      </w:r>
    </w:p>
    <w:p>
      <w:pPr>
        <w:numPr>
          <w:ilvl w:val="0"/>
          <w:numId w:val="1002"/>
        </w:numPr>
      </w:pPr>
      <w:r>
        <w:rPr>
          <w:bCs/>
          <w:b/>
        </w:rPr>
        <w:t xml:space="preserve">Chương sách</w:t>
      </w:r>
      <w:r>
        <w:t xml:space="preserve"> </w:t>
      </w:r>
      <w:r>
        <w:t xml:space="preserve">(Do &amp; Phan, 2025, IntechOpen): nghiên cứu tập trung vào quản trị cấp cao tại Ấn Độ (</w:t>
      </w:r>
      <m:oMath>
        <m:r>
          <m:t>N</m:t>
        </m:r>
        <m:r>
          <m:rPr>
            <m:sty m:val="p"/>
          </m:rPr>
          <m:t>=</m:t>
        </m:r>
        <m:r>
          <m:t>380</m:t>
        </m:r>
      </m:oMath>
      <w:r>
        <w:t xml:space="preserve">), tỷ suất lợi nhuận trên doanh thu là biến phụ thuộc; quốc tế hóa tác động âm tuyến tính (</w:t>
      </w:r>
      <m:oMath>
        <m:r>
          <m:rPr>
            <m:sty m:val="p"/>
          </m:rPr>
          <m:t>−</m:t>
        </m:r>
        <m:r>
          <m:t>36</m:t>
        </m:r>
        <m:r>
          <m:rPr>
            <m:sty m:val="p"/>
          </m:rPr>
          <m:t>,</m:t>
        </m:r>
        <m:r>
          <m:t>66</m:t>
        </m:r>
      </m:oMath>
      <w:r>
        <w:t xml:space="preserve">), kinh nghiệm (</w:t>
      </w:r>
      <m:oMath>
        <m:r>
          <m:rPr>
            <m:sty m:val="p"/>
          </m:rPr>
          <m:t>+</m:t>
        </m:r>
        <m:r>
          <m:t>1</m:t>
        </m:r>
        <m:r>
          <m:rPr>
            <m:sty m:val="p"/>
          </m:rPr>
          <m:t>,</m:t>
        </m:r>
        <m:r>
          <m:t>55</m:t>
        </m:r>
      </m:oMath>
      <w:r>
        <w:t xml:space="preserve">) và lãnh đạo nữ (</w:t>
      </w:r>
      <m:oMath>
        <m:r>
          <m:rPr>
            <m:sty m:val="p"/>
          </m:rPr>
          <m:t>+</m:t>
        </m:r>
        <m:r>
          <m:t>77</m:t>
        </m:r>
        <m:r>
          <m:rPr>
            <m:sty m:val="p"/>
          </m:rPr>
          <m:t>,</m:t>
        </m:r>
        <m:r>
          <m:t>03</m:t>
        </m:r>
      </m:oMath>
      <w:r>
        <w:t xml:space="preserve">) điều tiết dương, cung cấp bằng chứng đơn quốc gia cho H4.</w:t>
      </w:r>
    </w:p>
    <w:bookmarkEnd w:id="67"/>
    <w:bookmarkStart w:id="68"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Thể chế định hình không chỉ độ lớn mà còn cả dấu và dạng hình của quan hệ quốc tế hóa và hiệu quả: không tồn tại một mức độ quốc tế hóa tối ưu duy nhất, điểm uốn dịch chuyển theo vị trí thể chế, và ở cực trị thể chế yếu nhất, bằng chứng cho thấy dạng chữ U ngược có xu hướng không còn áp dụng, quan hệ nghiêng về bất lợi đơn điệu thay vì lợi ích (như trường hợp giới hạn FIP).</w:t>
      </w:r>
      <w:r>
        <w:rPr>
          <w:bCs/>
          <w:b/>
        </w:rPr>
        <w:t xml:space="preserve">”</w:t>
      </w:r>
    </w:p>
    <w:p>
      <w:pPr>
        <w:pStyle w:val="FirstParagraph"/>
      </w:pPr>
      <w:r>
        <w:t xml:space="preserve">Bằng chứng từ 238 nghiên cứu (P6 meta-analysis) và 81.022 doanh nghiệp tại 50 nền kinh tế châu Á và Thái Bình Dương (P7) đều chỉ đến kết luận này. Quan hệ quốc tế hóa và hiệu quả không phải là một đường cong phổ quát mà là một</w:t>
      </w:r>
      <w:r>
        <w:t xml:space="preserve"> </w:t>
      </w:r>
      <w:r>
        <w:rPr>
          <w:bCs/>
          <w:b/>
        </w:rPr>
        <w:t xml:space="preserve">họ đường cong phụ thuộc bối cảnh</w:t>
      </w:r>
      <w:r>
        <w:t xml:space="preserve"> </w:t>
      </w:r>
      <w:r>
        <w:t xml:space="preserve">(family of context-dependent curves): chữ U ngược định hình rõ nhất ở vùng giữa phổ thể chế (Nhóm IV, điểm uốn khoảng 43%), duỗi thẳng gần tuyến tính ở biên trên nơi thể chế mạnh đẩy điểm uốn ra mức cường độ xuất khẩu rất cao (Singapore khoảng 88,6%, gần hoặc vượt biên dữ liệu quan sát), và mất cấu trúc ở biên dưới nơi thể chế yếu nhất; nghĩa là thể chế càng mạnh, doanh nghiệp càng duy trì lợi ích từ quốc tế hóa đến mức cường độ cao hơn trước khi đạt đỉnh.</w:t>
      </w:r>
    </w:p>
    <w:bookmarkEnd w:id="68"/>
    <w:bookmarkStart w:id="69"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(i) phân tích tổng hợp tài liệu về quốc tế hóa và hiệu quả bằng cách phân tách cấu trúc dị biệt và xác định ICRV như biến điều tiết có ý nghĩa; (ii) tài liệu về năng lực số bằng cách làm rõ DAI là nguồn lực tình huống chứ không phải năng lực nền tảng; và (iii) tài liệu về quốc tế hóa và SIDS bằng cách đặt tên và cung cấp bằng chứng đầu tiên cho FIP.</w:t>
      </w:r>
    </w:p>
    <w:p>
      <w:pPr>
        <w:pStyle w:val="BodyText"/>
      </w:pPr>
      <w:r>
        <w:t xml:space="preserve">Về thực tiễn, luận án cung cấp cơ sở để nhà hoạch định chính sách và nhà quản trị doanh nghiệp tại từng bối cảnh ICRV cụ thể hiệu chỉnh chiến lược quốc tế hóa phù hợp, không áp dụng máy móc bài học từ Singapore hay Nhật Bản vào bối cảnh Việt Nam hay SIDS, mà nhận ra sự phụ thuộc bối cảnh như là nguyên lý căn bản trong hoạch định chiến lược quốc tế hóa.</w:t>
      </w:r>
    </w:p>
    <w:bookmarkEnd w:id="69"/>
    <w:bookmarkStart w:id="70" w:name="lời-kết"/>
    <w:p>
      <w:pPr>
        <w:pStyle w:val="Heading3"/>
      </w:pPr>
      <w:r>
        <w:t xml:space="preserve">5.6.4 Lời kết</w:t>
      </w:r>
    </w:p>
    <w:p>
      <w:pPr>
        <w:pStyle w:val="FirstParagraph"/>
      </w:pPr>
      <w:r>
        <w:t xml:space="preserve">Luận án này bắt đầu từ câu hỏi đơn giản: quốc tế hóa có cải thiện hiệu quả hoạt động kinh doanh của doanh nghiệp không? Câu trả lời, sau mười nghiên cứu thành phần và một chương sách, phân tích trên hàng chục ngàn doanh nghiệp ở gần năm mươi nền kinh tế, là:</w:t>
      </w:r>
      <w:r>
        <w:t xml:space="preserve"> </w:t>
      </w:r>
      <w:r>
        <w:rPr>
          <w:bCs/>
          <w:b/>
        </w:rPr>
        <w:t xml:space="preserve">có, thường là như vậy, nhưng không phải lúc nào, và không phải ở mọi nơi</w:t>
      </w:r>
      <w:r>
        <w:t xml:space="preserve">. Giới hạn của lợi ích là có thực, phụ thuộc vào bối cảnh thể chế, và trong trường hợp các nền kinh tế đảo nhỏ, quốc tế hóa bắt buộc có thể gây ra thiệt hại. Đóng góp cốt lõi mà luận án mang lại cho khoa học quản trị kinh doanh quốc tế là nhận thức rằng quan hệ quốc tế hóa và hiệu quả có điều kiện theo thể chế chứ không phổ quát.</w:t>
      </w:r>
    </w:p>
    <w:p>
      <w:r>
        <w:pict>
          <v:rect style="width:0;height:1.5pt" o:hralign="center" o:hrstd="t" o:hr="t"/>
        </w:pict>
      </w:r>
    </w:p>
    <w:bookmarkEnd w:id="70"/>
    <w:bookmarkEnd w:id="7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2026-07-01T02:00:49Z</dcterms:created>
  <dcterms:modified xsi:type="dcterms:W3CDTF">2026-07-01T02:00:49Z</dcterms:modified>
</cp:coreProperties>
</file>

<file path=docProps/custom.xml><?xml version="1.0" encoding="utf-8"?>
<Properties xmlns="http://schemas.openxmlformats.org/officeDocument/2006/custom-properties" xmlns:vt="http://schemas.openxmlformats.org/officeDocument/2006/docPropsVTypes"/>
</file>