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54.png" ContentType="image/png"/>
  <Override PartName="/word/media/rId151.png" ContentType="image/png"/>
  <Override PartName="/word/media/rId171.png" ContentType="image/png"/>
  <Override PartName="/word/media/rId158.png" ContentType="image/png"/>
  <Override PartName="/word/media/rId162.png" ContentType="image/png"/>
  <Override PartName="/word/media/rId234.png" ContentType="image/png"/>
  <Override PartName="/word/media/rId174.png" ContentType="image/png"/>
  <Override PartName="/word/media/rId222.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lời-cảm-ơn"/>
    <w:p>
      <w:pPr>
        <w:pStyle w:val="Heading2"/>
      </w:pPr>
      <w:r>
        <w:t xml:space="preserve">LỜI CẢM ƠN</w:t>
      </w:r>
    </w:p>
    <w:p>
      <w:pPr>
        <w:pStyle w:val="FirstParagraph"/>
      </w:pPr>
      <w:r>
        <w:t xml:space="preserve">Trong suốt quá trình học tập và thực hiện luận án, tôi đã nhận được sự giúp đỡ quý báu từ nhiều thầy cô, đồng nghiệp và người thân.</w:t>
      </w:r>
    </w:p>
    <w:p>
      <w:pPr>
        <w:pStyle w:val="BodyText"/>
      </w:pPr>
      <w:r>
        <w:t xml:space="preserve">Trước hết, tôi xin bày tỏ lòng biết ơn sâu sắc đến PGS.TS. Phan Anh Tú, người hướng dẫn khoa học, đã tận tình chỉ bảo, định hướng và động viên tôi trong suốt thời gian nghiên cứu.</w:t>
      </w:r>
    </w:p>
    <w:p>
      <w:pPr>
        <w:pStyle w:val="BodyText"/>
      </w:pPr>
      <w:r>
        <w:t xml:space="preserve">Tôi xin chân thành cảm ơn Quý Thầy, Cô của Trường Kinh tế và Khoa Sau đại học, Trường Đại học Cần Thơ đã giảng dạy và tạo điều kiện thuận lợi cho tôi trong quá trình học tập.</w:t>
      </w:r>
    </w:p>
    <w:p>
      <w:pPr>
        <w:pStyle w:val="BodyText"/>
      </w:pPr>
      <w:r>
        <w:t xml:space="preserve">Tôi cũng xin cảm ơn Ban Giám hiệu cùng các đồng nghiệp ở Trường Đại học Kỹ thuật – Công nghệ Vĩnh Long đã hỗ trợ và chia sẻ công việc để tôi có thể theo học chương trình nghiên cứu sinh.</w:t>
      </w:r>
    </w:p>
    <w:p>
      <w:pPr>
        <w:pStyle w:val="BodyText"/>
      </w:pPr>
      <w:r>
        <w:t xml:space="preserve">Cuối cùng, tôi xin gửi lời cảm ơn đến gia đình đã luôn bên cạnh, là chỗ dựa để tôi vượt qua khó khăn và hoàn thành luận án này.</w:t>
      </w:r>
    </w:p>
    <w:p>
      <w:pPr>
        <w:pStyle w:val="BodyText"/>
      </w:pPr>
      <w:r>
        <w:rPr>
          <w:iCs/>
          <w:i/>
        </w:rPr>
        <w:t xml:space="preserve">Cần Thơ, ngày … tháng … năm 2026</w:t>
      </w:r>
    </w:p>
    <w:p>
      <w:pPr>
        <w:pStyle w:val="BodyText"/>
      </w:pPr>
      <w:r>
        <w:rPr>
          <w:bCs/>
          <w:b/>
        </w:rPr>
        <w:t xml:space="preserve">Tác giả</w:t>
      </w:r>
    </w:p>
    <w:p>
      <w:pPr>
        <w:pStyle w:val="BodyText"/>
      </w:pPr>
      <w:r>
        <w:t xml:space="preserve">Đỗ Thùy Hương</w: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Luận án tích hợp bốn lý thuyết nền tảng (mô hình Uppsala, lý thuyết dựa trên nguồn lực RBV, lý thuyết thể chế và lý thuyết thượng tầng quản trị) cùng một lớp mở rộng về năng lực số để xây dựng khung giải thích đa tầng CDCM (Country–Digital–Capability Moderation). Khung này gồm ba tầng điều tiết: bối cảnh thể chế (vận hành hóa bằng khung phân loại ICRV sáu nhóm), năng lực số (phân tách năng lực công nghệ TCI và chỉ số chấp nhận số DAI), và đặc điểm nhà quản trị cấp cao. Luận điểm trọng tâm của luận án là thể chế không chỉ điều tiết độ lớn mà còn có thể định hình dấu và dạng hình của quan hệ I–P; ở cực trị thể chế yếu nhất, bằng chứng cho thấy họ mô hình chữ U ngược dường như không còn phù hợp. Đây là luận điểm được luận án đề xuất và kiểm định có điều kiện. Bằng chứng về vai trò định hình dạng hàm chỉ xuất hiện trong một số bối cảnh nhất định, không đúng cho toàn bộ mẫu (xem Chương 4).</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(khung phân tích 88.869 doanh nghiệp trên 103 cặp nền–năm, gồm Nhật Bản; mẫu hồi quy bậc hai N = 81.022 và mô hình đầy đủ N = 79.080 doanh nghiệp sau khi loại theo danh sách các biến điều tiết khuyết),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ở mọi bối cảnh</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thì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dạng âm đơn điệu, một trường hợp biên lý thuyết mà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 The dissertation’s central thesis, which it advances and conditionally tests, is that institutions moderate not merely the magnitude but may also shape the sign and form of the I–P relationship, and that at the weakest-institution extreme the inverted-U family appears to cease to apply. Evidence for the shape-moderation claim is conditional and context-dependent rather than universal across the pool (see Chapter 4).</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(an analytic frame of 88,869 firms across 103 economy-year pairs, including Japan; quadratic-model N = 81,022 and full-model N = 79,080 after listwise deletion on the moderators),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621"/>
        <w:gridCol w:w="6677"/>
        <w:gridCol w:w="621"/>
      </w:tblGrid>
      <w:tr>
        <w:trPr>
          <w:tblHeader w:val="true"/>
        </w:trPr>
        <w:tc>
          <w:tcPr/>
          <w:p>
            <w:pPr>
              <w:pStyle w:val="Compact"/>
              <w:jc w:val="left"/>
            </w:pPr>
            <w:r>
              <w:t xml:space="preserve">Bảng</w:t>
            </w:r>
          </w:p>
        </w:tc>
        <w:tc>
          <w:tcPr/>
          <w:p>
            <w:pPr>
              <w:pStyle w:val="Compact"/>
              <w:jc w:val="left"/>
            </w:pPr>
            <w:r>
              <w:t xml:space="preserve">Nội dung</w:t>
            </w:r>
          </w:p>
        </w:tc>
        <w:tc>
          <w:tcPr/>
          <w:p>
            <w:pPr>
              <w:pStyle w:val="Compact"/>
              <w:jc w:val="right"/>
            </w:pPr>
            <w:r>
              <w:t xml:space="preserve">Trang</w:t>
            </w:r>
          </w:p>
        </w:tc>
      </w:tr>
      <w:tr>
        <w:tc>
          <w:tcPr/>
          <w:p>
            <w:pPr>
              <w:pStyle w:val="Compact"/>
              <w:jc w:val="left"/>
            </w:pPr>
            <w:r>
              <w:t xml:space="preserve">2.1</w:t>
            </w:r>
          </w:p>
        </w:tc>
        <w:tc>
          <w:tcPr/>
          <w:p>
            <w:pPr>
              <w:pStyle w:val="Compact"/>
              <w:jc w:val="left"/>
            </w:pPr>
            <w:r>
              <w:t xml:space="preserve">Tổng hợp hệ giả thuyết: phát biểu, dấu kỳ vọng, cơ sở lý thuyết và biến kiểm định</w:t>
            </w:r>
          </w:p>
        </w:tc>
        <w:tc>
          <w:tcPr/>
          <w:p>
            <w:pPr>
              <w:pStyle w:val="Compact"/>
              <w:jc w:val="right"/>
            </w:pPr>
            <w:r>
              <w:t xml:space="preserve">30</w:t>
            </w:r>
          </w:p>
        </w:tc>
      </w:tr>
      <w:tr>
        <w:tc>
          <w:tcPr/>
          <w:p>
            <w:pPr>
              <w:pStyle w:val="Compact"/>
              <w:jc w:val="left"/>
            </w:pPr>
            <w:r>
              <w:t xml:space="preserve">2.2</w:t>
            </w:r>
          </w:p>
        </w:tc>
        <w:tc>
          <w:tcPr/>
          <w:p>
            <w:pPr>
              <w:pStyle w:val="Compact"/>
              <w:jc w:val="left"/>
            </w:pPr>
            <w:r>
              <w:t xml:space="preserve">Ánh xạ nghiên cứu thành phần, mục trình bày, giả thuyết</w:t>
            </w:r>
          </w:p>
        </w:tc>
        <w:tc>
          <w:tcPr/>
          <w:p>
            <w:pPr>
              <w:pStyle w:val="Compact"/>
              <w:jc w:val="right"/>
            </w:pPr>
            <w:r>
              <w:t xml:space="preserve">31</w:t>
            </w:r>
          </w:p>
        </w:tc>
      </w:tr>
      <w:tr>
        <w:tc>
          <w:tcPr/>
          <w:p>
            <w:pPr>
              <w:pStyle w:val="Compact"/>
              <w:jc w:val="left"/>
            </w:pPr>
            <w:r>
              <w:t xml:space="preserve">3.1</w:t>
            </w:r>
          </w:p>
        </w:tc>
        <w:tc>
          <w:tcPr/>
          <w:p>
            <w:pPr>
              <w:pStyle w:val="Compact"/>
              <w:jc w:val="left"/>
            </w:pPr>
            <w:r>
              <w:t xml:space="preserve">Tổng hợp biến nghiên cứu của khung thực nghiệm đa quốc gia</w:t>
            </w:r>
          </w:p>
        </w:tc>
        <w:tc>
          <w:tcPr/>
          <w:p>
            <w:pPr>
              <w:pStyle w:val="Compact"/>
              <w:jc w:val="right"/>
            </w:pPr>
            <w:r>
              <w:t xml:space="preserve">41</w:t>
            </w:r>
          </w:p>
        </w:tc>
      </w:tr>
      <w:tr>
        <w:tc>
          <w:tcPr/>
          <w:p>
            <w:pPr>
              <w:pStyle w:val="Compact"/>
              <w:jc w:val="left"/>
            </w:pPr>
            <w:r>
              <w:t xml:space="preserve">4.1</w:t>
            </w:r>
          </w:p>
        </w:tc>
        <w:tc>
          <w:tcPr/>
          <w:p>
            <w:pPr>
              <w:pStyle w:val="Compact"/>
              <w:jc w:val="left"/>
            </w:pPr>
            <w:r>
              <w:t xml:space="preserve">Phân tán năng suất lao động và đặc điểm quốc tế hóa theo phân nhóm con ICRV</w:t>
            </w:r>
          </w:p>
        </w:tc>
        <w:tc>
          <w:tcPr/>
          <w:p>
            <w:pPr>
              <w:pStyle w:val="Compact"/>
              <w:jc w:val="right"/>
            </w:pPr>
            <w:r>
              <w:t xml:space="preserve">64</w:t>
            </w:r>
          </w:p>
        </w:tc>
      </w:tr>
      <w:tr>
        <w:tc>
          <w:tcPr/>
          <w:p>
            <w:pPr>
              <w:pStyle w:val="Compact"/>
              <w:jc w:val="left"/>
            </w:pPr>
            <w:r>
              <w:t xml:space="preserve">4.2</w:t>
            </w:r>
          </w:p>
        </w:tc>
        <w:tc>
          <w:tcPr/>
          <w:p>
            <w:pPr>
              <w:pStyle w:val="Compact"/>
              <w:jc w:val="left"/>
            </w:pPr>
            <w:r>
              <w:t xml:space="preserve">Đổi mới sáng tạo và chấp nhận số theo phân nhóm con ICRV (%)</w:t>
            </w:r>
          </w:p>
        </w:tc>
        <w:tc>
          <w:tcPr/>
          <w:p>
            <w:pPr>
              <w:pStyle w:val="Compact"/>
              <w:jc w:val="right"/>
            </w:pPr>
            <w:r>
              <w:t xml:space="preserve">67</w:t>
            </w:r>
          </w:p>
        </w:tc>
      </w:tr>
      <w:tr>
        <w:tc>
          <w:tcPr/>
          <w:p>
            <w:pPr>
              <w:pStyle w:val="Compact"/>
              <w:jc w:val="left"/>
            </w:pPr>
            <w:r>
              <w:t xml:space="preserve">4.3</w:t>
            </w:r>
          </w:p>
        </w:tc>
        <w:tc>
          <w:tcPr/>
          <w:p>
            <w:pPr>
              <w:pStyle w:val="Compact"/>
              <w:jc w:val="left"/>
            </w:pPr>
            <w:r>
              <w:t xml:space="preserve">Đặc trưng doanh nghiệp Nhật Bản 2025 so với năm nền còn lại của Nhóm I</w:t>
            </w:r>
          </w:p>
        </w:tc>
        <w:tc>
          <w:tcPr/>
          <w:p>
            <w:pPr>
              <w:pStyle w:val="Compact"/>
              <w:jc w:val="right"/>
            </w:pPr>
            <w:r>
              <w:t xml:space="preserve">68</w:t>
            </w:r>
          </w:p>
        </w:tc>
      </w:tr>
      <w:tr>
        <w:tc>
          <w:tcPr/>
          <w:p>
            <w:pPr>
              <w:pStyle w:val="Compact"/>
              <w:jc w:val="left"/>
            </w:pPr>
            <w:r>
              <w:t xml:space="preserve">4.4</w:t>
            </w:r>
          </w:p>
        </w:tc>
        <w:tc>
          <w:tcPr/>
          <w:p>
            <w:pPr>
              <w:pStyle w:val="Compact"/>
              <w:jc w:val="left"/>
            </w:pPr>
            <w:r>
              <w:t xml:space="preserve">Trung vị tỷ suất lợi nhuận trên doanh thu (ROS) theo nhóm ICRV</w:t>
            </w:r>
          </w:p>
        </w:tc>
        <w:tc>
          <w:tcPr/>
          <w:p>
            <w:pPr>
              <w:pStyle w:val="Compact"/>
              <w:jc w:val="right"/>
            </w:pPr>
            <w:r>
              <w:t xml:space="preserve">71</w:t>
            </w:r>
          </w:p>
        </w:tc>
      </w:tr>
      <w:tr>
        <w:tc>
          <w:tcPr/>
          <w:p>
            <w:pPr>
              <w:pStyle w:val="Compact"/>
              <w:jc w:val="left"/>
            </w:pPr>
            <w:r>
              <w:t xml:space="preserve">4.5</w:t>
            </w:r>
          </w:p>
        </w:tc>
        <w:tc>
          <w:tcPr/>
          <w:p>
            <w:pPr>
              <w:pStyle w:val="Compact"/>
              <w:jc w:val="left"/>
            </w:pPr>
            <w:r>
              <w:t xml:space="preserve">Tiến triển hệ số theo chuỗi mô hình phân tầng, Singapore 2023</w:t>
            </w:r>
          </w:p>
        </w:tc>
        <w:tc>
          <w:tcPr/>
          <w:p>
            <w:pPr>
              <w:pStyle w:val="Compact"/>
              <w:jc w:val="right"/>
            </w:pPr>
            <w:r>
              <w:t xml:space="preserve">77</w:t>
            </w:r>
          </w:p>
        </w:tc>
      </w:tr>
      <w:tr>
        <w:tc>
          <w:tcPr/>
          <w:p>
            <w:pPr>
              <w:pStyle w:val="Compact"/>
              <w:jc w:val="left"/>
            </w:pPr>
            <w:r>
              <w:t xml:space="preserve">4.6</w:t>
            </w:r>
          </w:p>
        </w:tc>
        <w:tc>
          <w:tcPr/>
          <w:p>
            <w:pPr>
              <w:pStyle w:val="Compact"/>
              <w:jc w:val="left"/>
            </w:pPr>
            <w:r>
              <w:t xml:space="preserve">Tiến triển mô hình của P7 trên khung 50 nền: điểm uốn và kiểm định Lind–Mehlum</w:t>
            </w:r>
          </w:p>
        </w:tc>
        <w:tc>
          <w:tcPr/>
          <w:p>
            <w:pPr>
              <w:pStyle w:val="Compact"/>
              <w:jc w:val="right"/>
            </w:pPr>
            <w:r>
              <w:t xml:space="preserve">84</w:t>
            </w:r>
          </w:p>
        </w:tc>
      </w:tr>
      <w:tr>
        <w:tc>
          <w:tcPr/>
          <w:p>
            <w:pPr>
              <w:pStyle w:val="Compact"/>
              <w:jc w:val="left"/>
            </w:pPr>
            <w:r>
              <w:t xml:space="preserve">4.7</w:t>
            </w:r>
          </w:p>
        </w:tc>
        <w:tc>
          <w:tcPr/>
          <w:p>
            <w:pPr>
              <w:pStyle w:val="Compact"/>
              <w:jc w:val="left"/>
            </w:pPr>
            <w:r>
              <w:t xml:space="preserve">Điểm uốn theo nhóm ICRV, khung 50 nền</w:t>
            </w:r>
          </w:p>
        </w:tc>
        <w:tc>
          <w:tcPr/>
          <w:p>
            <w:pPr>
              <w:pStyle w:val="Compact"/>
              <w:jc w:val="right"/>
            </w:pPr>
            <w:r>
              <w:t xml:space="preserve">84</w:t>
            </w:r>
          </w:p>
        </w:tc>
      </w:tr>
      <w:tr>
        <w:tc>
          <w:tcPr/>
          <w:p>
            <w:pPr>
              <w:pStyle w:val="Compact"/>
              <w:jc w:val="left"/>
            </w:pPr>
            <w:r>
              <w:t xml:space="preserve">4.8</w:t>
            </w:r>
          </w:p>
        </w:tc>
        <w:tc>
          <w:tcPr/>
          <w:p>
            <w:pPr>
              <w:pStyle w:val="Compact"/>
              <w:jc w:val="left"/>
            </w:pPr>
            <w:r>
              <w:t xml:space="preserve">Điểm uốn theo đợt khảo sát, Ấn Độ</w:t>
            </w:r>
          </w:p>
        </w:tc>
        <w:tc>
          <w:tcPr/>
          <w:p>
            <w:pPr>
              <w:pStyle w:val="Compact"/>
              <w:jc w:val="right"/>
            </w:pPr>
            <w:r>
              <w:t xml:space="preserve">92</w:t>
            </w:r>
          </w:p>
        </w:tc>
      </w:tr>
      <w:tr>
        <w:tc>
          <w:tcPr/>
          <w:p>
            <w:pPr>
              <w:pStyle w:val="Compact"/>
              <w:jc w:val="left"/>
            </w:pPr>
            <w:r>
              <w:t xml:space="preserve">4.9</w:t>
            </w:r>
          </w:p>
        </w:tc>
        <w:tc>
          <w:tcPr/>
          <w:p>
            <w:pPr>
              <w:pStyle w:val="Compact"/>
              <w:jc w:val="left"/>
            </w:pPr>
            <w:r>
              <w:t xml:space="preserve">Hiệu ứng cường độ xuất khẩu lên năng suất qua chuỗi mô hình, Nhật Bản 2025</w:t>
            </w:r>
          </w:p>
        </w:tc>
        <w:tc>
          <w:tcPr/>
          <w:p>
            <w:pPr>
              <w:pStyle w:val="Compact"/>
              <w:jc w:val="right"/>
            </w:pPr>
            <w:r>
              <w:t xml:space="preserve">96</w:t>
            </w:r>
          </w:p>
        </w:tc>
      </w:tr>
      <w:tr>
        <w:tc>
          <w:tcPr/>
          <w:p>
            <w:pPr>
              <w:pStyle w:val="Compact"/>
              <w:jc w:val="left"/>
            </w:pPr>
            <w:r>
              <w:t xml:space="preserve">4.10</w:t>
            </w:r>
          </w:p>
        </w:tc>
        <w:tc>
          <w:tcPr/>
          <w:p>
            <w:pPr>
              <w:pStyle w:val="Compact"/>
              <w:jc w:val="left"/>
            </w:pPr>
            <w:r>
              <w:t xml:space="preserve">Tổng hợp ước lượng các nghiên cứu thành phần thực nghiệm</w:t>
            </w:r>
          </w:p>
        </w:tc>
        <w:tc>
          <w:tcPr/>
          <w:p>
            <w:pPr>
              <w:pStyle w:val="Compact"/>
              <w:jc w:val="right"/>
            </w:pPr>
            <w:r>
              <w:t xml:space="preserve">98</w:t>
            </w:r>
          </w:p>
        </w:tc>
      </w:tr>
      <w:tr>
        <w:tc>
          <w:tcPr/>
          <w:p>
            <w:pPr>
              <w:pStyle w:val="Compact"/>
              <w:jc w:val="left"/>
            </w:pPr>
            <w:r>
              <w:t xml:space="preserve">5.1</w:t>
            </w:r>
          </w:p>
        </w:tc>
        <w:tc>
          <w:tcPr/>
          <w:p>
            <w:pPr>
              <w:pStyle w:val="Compact"/>
              <w:jc w:val="left"/>
            </w:pPr>
            <w:r>
              <w:t xml:space="preserve">Sợi chỉ vàng tích hợp: câu hỏi nghiên cứu, nghiên cứu thành phần, giả thuyết, phát hiện thực nghiệm chủ chốt, đóng góp lý thuyết</w:t>
            </w:r>
          </w:p>
        </w:tc>
        <w:tc>
          <w:tcPr/>
          <w:p>
            <w:pPr>
              <w:pStyle w:val="Compact"/>
              <w:jc w:val="right"/>
            </w:pPr>
            <w:r>
              <w:t xml:space="preserve">106</w:t>
            </w:r>
          </w:p>
        </w:tc>
      </w:tr>
      <w:tr>
        <w:tc>
          <w:tcPr/>
          <w:p>
            <w:pPr>
              <w:pStyle w:val="Compact"/>
              <w:jc w:val="left"/>
            </w:pPr>
            <w:r>
              <w:t xml:space="preserve">C.1</w:t>
            </w:r>
          </w:p>
        </w:tc>
        <w:tc>
          <w:tcPr/>
          <w:p>
            <w:pPr>
              <w:pStyle w:val="Compact"/>
              <w:jc w:val="left"/>
            </w:pPr>
            <w:r>
              <w:t xml:space="preserve">Kết quả hồi quy chính và điểm uốn của tám nghiên cứu thành phần</w:t>
            </w:r>
          </w:p>
        </w:tc>
        <w:tc>
          <w:tcPr/>
          <w:p>
            <w:pPr>
              <w:pStyle w:val="Compact"/>
              <w:jc w:val="right"/>
            </w:pPr>
            <w:r>
              <w:t xml:space="preserve">149</w:t>
            </w:r>
          </w:p>
        </w:tc>
      </w:tr>
      <w:tr>
        <w:tc>
          <w:tcPr/>
          <w:p>
            <w:pPr>
              <w:pStyle w:val="Compact"/>
              <w:jc w:val="left"/>
            </w:pPr>
            <w:r>
              <w:t xml:space="preserve">C.2</w:t>
            </w:r>
          </w:p>
        </w:tc>
        <w:tc>
          <w:tcPr/>
          <w:p>
            <w:pPr>
              <w:pStyle w:val="Compact"/>
              <w:jc w:val="left"/>
            </w:pPr>
            <w:r>
              <w:t xml:space="preserve">Chi tiết phân tích tổng hợp ba tầng P6</w:t>
            </w:r>
          </w:p>
        </w:tc>
        <w:tc>
          <w:tcPr/>
          <w:p>
            <w:pPr>
              <w:pStyle w:val="Compact"/>
              <w:jc w:val="right"/>
            </w:pPr>
            <w:r>
              <w:t xml:space="preserve">150</w:t>
            </w:r>
          </w:p>
        </w:tc>
      </w:tr>
      <w:tr>
        <w:tc>
          <w:tcPr/>
          <w:p>
            <w:pPr>
              <w:pStyle w:val="Compact"/>
              <w:jc w:val="left"/>
            </w:pPr>
            <w:r>
              <w:t xml:space="preserve">C.3</w:t>
            </w:r>
          </w:p>
        </w:tc>
        <w:tc>
          <w:tcPr/>
          <w:p>
            <w:pPr>
              <w:pStyle w:val="Compact"/>
              <w:jc w:val="left"/>
            </w:pPr>
            <w:r>
              <w:t xml:space="preserve">Điểm uốn theo sáu nhóm ICRV trong kiểm định toàn mẫu P7</w:t>
            </w:r>
          </w:p>
        </w:tc>
        <w:tc>
          <w:tcPr/>
          <w:p>
            <w:pPr>
              <w:pStyle w:val="Compact"/>
              <w:jc w:val="right"/>
            </w:pPr>
            <w:r>
              <w:t xml:space="preserve">150</w:t>
            </w:r>
          </w:p>
        </w:tc>
      </w:tr>
      <w:tr>
        <w:tc>
          <w:tcPr/>
          <w:p>
            <w:pPr>
              <w:pStyle w:val="Compact"/>
              <w:jc w:val="left"/>
            </w:pPr>
            <w:r>
              <w:t xml:space="preserve">C.4</w:t>
            </w:r>
          </w:p>
        </w:tc>
        <w:tc>
          <w:tcPr/>
          <w:p>
            <w:pPr>
              <w:pStyle w:val="Compact"/>
              <w:jc w:val="left"/>
            </w:pPr>
            <w:r>
              <w:t xml:space="preserve">Tóm tắt kiểm định độ vững theo từng nghiên cứu thành phần</w:t>
            </w:r>
          </w:p>
        </w:tc>
        <w:tc>
          <w:tcPr/>
          <w:p>
            <w:pPr>
              <w:pStyle w:val="Compact"/>
              <w:jc w:val="right"/>
            </w:pPr>
            <w:r>
              <w:t xml:space="preserve">151</w:t>
            </w:r>
          </w:p>
        </w:tc>
      </w:tr>
    </w:tbl>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621"/>
        <w:gridCol w:w="6677"/>
        <w:gridCol w:w="621"/>
      </w:tblGrid>
      <w:tr>
        <w:trPr>
          <w:tblHeader w:val="true"/>
        </w:trPr>
        <w:tc>
          <w:tcPr/>
          <w:p>
            <w:pPr>
              <w:pStyle w:val="Compact"/>
              <w:jc w:val="left"/>
            </w:pPr>
            <w:r>
              <w:t xml:space="preserve">Hình</w:t>
            </w:r>
          </w:p>
        </w:tc>
        <w:tc>
          <w:tcPr/>
          <w:p>
            <w:pPr>
              <w:pStyle w:val="Compact"/>
              <w:jc w:val="left"/>
            </w:pPr>
            <w:r>
              <w:t xml:space="preserve">Nội dung</w:t>
            </w:r>
          </w:p>
        </w:tc>
        <w:tc>
          <w:tcPr/>
          <w:p>
            <w:pPr>
              <w:pStyle w:val="Compact"/>
              <w:jc w:val="right"/>
            </w:pPr>
            <w:r>
              <w:t xml:space="preserve">Trang</w:t>
            </w:r>
          </w:p>
        </w:tc>
      </w:tr>
      <w:tr>
        <w:tc>
          <w:tcPr/>
          <w:p>
            <w:pPr>
              <w:pStyle w:val="Compact"/>
              <w:jc w:val="left"/>
            </w:pPr>
            <w:r>
              <w:t xml:space="preserve">2.1</w:t>
            </w:r>
          </w:p>
        </w:tc>
        <w:tc>
          <w:tcPr/>
          <w:p>
            <w:pPr>
              <w:pStyle w:val="Compact"/>
              <w:jc w:val="left"/>
            </w:pPr>
            <w:r>
              <w:t xml:space="preserve">Khung khái niệm tích hợp đa tầng CDCM</w:t>
            </w:r>
          </w:p>
        </w:tc>
        <w:tc>
          <w:tcPr/>
          <w:p>
            <w:pPr>
              <w:pStyle w:val="Compact"/>
              <w:jc w:val="right"/>
            </w:pPr>
            <w:r>
              <w:t xml:space="preserve">26</w:t>
            </w:r>
          </w:p>
        </w:tc>
      </w:tr>
      <w:tr>
        <w:tc>
          <w:tcPr/>
          <w:p>
            <w:pPr>
              <w:pStyle w:val="Compact"/>
              <w:jc w:val="left"/>
            </w:pPr>
            <w:r>
              <w:t xml:space="preserve">3.1</w:t>
            </w:r>
          </w:p>
        </w:tc>
        <w:tc>
          <w:tcPr/>
          <w:p>
            <w:pPr>
              <w:pStyle w:val="Compact"/>
              <w:jc w:val="left"/>
            </w:pPr>
            <w:r>
              <w:t xml:space="preserve">Quy trình nghiên cứu của luận án</w:t>
            </w:r>
          </w:p>
        </w:tc>
        <w:tc>
          <w:tcPr/>
          <w:p>
            <w:pPr>
              <w:pStyle w:val="Compact"/>
              <w:jc w:val="right"/>
            </w:pPr>
            <w:r>
              <w:t xml:space="preserve">34</w:t>
            </w:r>
          </w:p>
        </w:tc>
      </w:tr>
      <w:tr>
        <w:tc>
          <w:tcPr/>
          <w:p>
            <w:pPr>
              <w:pStyle w:val="Compact"/>
              <w:jc w:val="left"/>
            </w:pPr>
            <w:r>
              <w:t xml:space="preserve">4.1</w:t>
            </w:r>
          </w:p>
        </w:tc>
        <w:tc>
          <w:tcPr/>
          <w:p>
            <w:pPr>
              <w:pStyle w:val="Compact"/>
              <w:jc w:val="left"/>
            </w:pPr>
            <w:r>
              <w:t xml:space="preserve">Thành phần mẫu gộp theo nhóm ICRV</w:t>
            </w:r>
          </w:p>
        </w:tc>
        <w:tc>
          <w:tcPr/>
          <w:p>
            <w:pPr>
              <w:pStyle w:val="Compact"/>
              <w:jc w:val="right"/>
            </w:pPr>
            <w:r>
              <w:t xml:space="preserve">65</w:t>
            </w:r>
          </w:p>
        </w:tc>
      </w:tr>
      <w:tr>
        <w:tc>
          <w:tcPr/>
          <w:p>
            <w:pPr>
              <w:pStyle w:val="Compact"/>
              <w:jc w:val="left"/>
            </w:pPr>
            <w:r>
              <w:t xml:space="preserve">4.2</w:t>
            </w:r>
          </w:p>
        </w:tc>
        <w:tc>
          <w:tcPr/>
          <w:p>
            <w:pPr>
              <w:pStyle w:val="Compact"/>
              <w:jc w:val="left"/>
            </w:pPr>
            <w:r>
              <w:t xml:space="preserve">Quy mô mẫu gộp theo năm khảo sát</w:t>
            </w:r>
          </w:p>
        </w:tc>
        <w:tc>
          <w:tcPr/>
          <w:p>
            <w:pPr>
              <w:pStyle w:val="Compact"/>
              <w:jc w:val="right"/>
            </w:pPr>
            <w:r>
              <w:t xml:space="preserve">66</w:t>
            </w:r>
          </w:p>
        </w:tc>
      </w:tr>
      <w:tr>
        <w:tc>
          <w:tcPr/>
          <w:p>
            <w:pPr>
              <w:pStyle w:val="Compact"/>
              <w:jc w:val="left"/>
            </w:pPr>
            <w:r>
              <w:t xml:space="preserve">4.3</w:t>
            </w:r>
          </w:p>
        </w:tc>
        <w:tc>
          <w:tcPr/>
          <w:p>
            <w:pPr>
              <w:pStyle w:val="Compact"/>
              <w:jc w:val="left"/>
            </w:pPr>
            <w:r>
              <w:t xml:space="preserve">Quỹ đạo tăng trưởng theo nhóm ICRV</w:t>
            </w:r>
          </w:p>
        </w:tc>
        <w:tc>
          <w:tcPr/>
          <w:p>
            <w:pPr>
              <w:pStyle w:val="Compact"/>
              <w:jc w:val="right"/>
            </w:pPr>
            <w:r>
              <w:t xml:space="preserve">66</w:t>
            </w:r>
          </w:p>
        </w:tc>
      </w:tr>
      <w:tr>
        <w:tc>
          <w:tcPr/>
          <w:p>
            <w:pPr>
              <w:pStyle w:val="Compact"/>
              <w:jc w:val="left"/>
            </w:pPr>
            <w:r>
              <w:t xml:space="preserve">4.4</w:t>
            </w:r>
          </w:p>
        </w:tc>
        <w:tc>
          <w:tcPr/>
          <w:p>
            <w:pPr>
              <w:pStyle w:val="Compact"/>
              <w:jc w:val="left"/>
            </w:pPr>
            <w:r>
              <w:t xml:space="preserve">Phân bố quy mô doanh nghiệp theo nhóm ICRV</w:t>
            </w:r>
          </w:p>
        </w:tc>
        <w:tc>
          <w:tcPr/>
          <w:p>
            <w:pPr>
              <w:pStyle w:val="Compact"/>
              <w:jc w:val="right"/>
            </w:pPr>
            <w:r>
              <w:t xml:space="preserve">68</w:t>
            </w:r>
          </w:p>
        </w:tc>
      </w:tr>
      <w:tr>
        <w:tc>
          <w:tcPr/>
          <w:p>
            <w:pPr>
              <w:pStyle w:val="Compact"/>
              <w:jc w:val="left"/>
            </w:pPr>
            <w:r>
              <w:t xml:space="preserve">4.5</w:t>
            </w:r>
          </w:p>
        </w:tc>
        <w:tc>
          <w:tcPr/>
          <w:p>
            <w:pPr>
              <w:pStyle w:val="Compact"/>
              <w:jc w:val="left"/>
            </w:pPr>
            <w:r>
              <w:t xml:space="preserve">Phổ năng lực công nghệ theo sáu nhóm ICRV</w:t>
            </w:r>
          </w:p>
        </w:tc>
        <w:tc>
          <w:tcPr/>
          <w:p>
            <w:pPr>
              <w:pStyle w:val="Compact"/>
              <w:jc w:val="right"/>
            </w:pPr>
            <w:r>
              <w:t xml:space="preserve">69</w:t>
            </w:r>
          </w:p>
        </w:tc>
      </w:tr>
      <w:tr>
        <w:tc>
          <w:tcPr/>
          <w:p>
            <w:pPr>
              <w:pStyle w:val="Compact"/>
              <w:jc w:val="left"/>
            </w:pPr>
            <w:r>
              <w:t xml:space="preserve">4.6</w:t>
            </w:r>
          </w:p>
        </w:tc>
        <w:tc>
          <w:tcPr/>
          <w:p>
            <w:pPr>
              <w:pStyle w:val="Compact"/>
              <w:jc w:val="left"/>
            </w:pPr>
            <w:r>
              <w:t xml:space="preserve">Phân bố mật độ năng suất lao động theo nhóm ICRV</w:t>
            </w:r>
          </w:p>
        </w:tc>
        <w:tc>
          <w:tcPr/>
          <w:p>
            <w:pPr>
              <w:pStyle w:val="Compact"/>
              <w:jc w:val="right"/>
            </w:pPr>
            <w:r>
              <w:t xml:space="preserve">70</w:t>
            </w:r>
          </w:p>
        </w:tc>
      </w:tr>
      <w:tr>
        <w:tc>
          <w:tcPr/>
          <w:p>
            <w:pPr>
              <w:pStyle w:val="Compact"/>
              <w:jc w:val="left"/>
            </w:pPr>
            <w:r>
              <w:t xml:space="preserve">4.7</w:t>
            </w:r>
          </w:p>
        </w:tc>
        <w:tc>
          <w:tcPr/>
          <w:p>
            <w:pPr>
              <w:pStyle w:val="Compact"/>
              <w:jc w:val="left"/>
            </w:pPr>
            <w:r>
              <w:t xml:space="preserve">Biểu đồ radar năng lực và quốc tế hóa theo nhóm ICRV</w:t>
            </w:r>
          </w:p>
        </w:tc>
        <w:tc>
          <w:tcPr/>
          <w:p>
            <w:pPr>
              <w:pStyle w:val="Compact"/>
              <w:jc w:val="right"/>
            </w:pPr>
            <w:r>
              <w:t xml:space="preserve">70</w:t>
            </w:r>
          </w:p>
        </w:tc>
      </w:tr>
      <w:tr>
        <w:tc>
          <w:tcPr/>
          <w:p>
            <w:pPr>
              <w:pStyle w:val="Compact"/>
              <w:jc w:val="left"/>
            </w:pPr>
            <w:r>
              <w:t xml:space="preserve">4.8</w:t>
            </w:r>
          </w:p>
        </w:tc>
        <w:tc>
          <w:tcPr/>
          <w:p>
            <w:pPr>
              <w:pStyle w:val="Compact"/>
              <w:jc w:val="left"/>
            </w:pPr>
            <w:r>
              <w:t xml:space="preserve">Họ đường cong quốc tế hóa và hiệu quả phụ thuộc chế độ thể chế ICRV</w:t>
            </w:r>
          </w:p>
        </w:tc>
        <w:tc>
          <w:tcPr/>
          <w:p>
            <w:pPr>
              <w:pStyle w:val="Compact"/>
              <w:jc w:val="right"/>
            </w:pPr>
            <w:r>
              <w:t xml:space="preserve">86</w:t>
            </w:r>
          </w:p>
        </w:tc>
      </w:tr>
    </w:tbl>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Bậc 1–4</w:t>
            </w:r>
          </w:p>
        </w:tc>
        <w:tc>
          <w:tcPr/>
          <w:p>
            <w:pPr>
              <w:pStyle w:val="Compact"/>
              <w:jc w:val="left"/>
            </w:pPr>
            <w:r>
              <w:t xml:space="preserve">Digital adoption tiers 1–4</w:t>
            </w:r>
          </w:p>
        </w:tc>
        <w:tc>
          <w:tcPr/>
          <w:p>
            <w:pPr>
              <w:pStyle w:val="Compact"/>
              <w:jc w:val="left"/>
            </w:pPr>
            <w:r>
              <w:t xml:space="preserve">Bốn bậc chuyển đổi số dùng để phân tầng chỉ số chấp nhận số (DAI): Bậc 1 hiện diện số cơ bản (website), Bậc 2 giao dịch số (thanh toán điện tử), Bậc 3 tích hợp hệ thống, Bậc 4 năng lực số nâng cao; dữ liệu WBES chỉ đo được Bậc 1–2</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theo vai trò trong luận án: (i) công trình đã công bố là</w:t>
      </w:r>
      <w:r>
        <w:t xml:space="preserve"> </w:t>
      </w:r>
      <w:r>
        <w:rPr>
          <w:bCs/>
          <w:b/>
        </w:rPr>
        <w:t xml:space="preserve">kết quả của luận án</w:t>
      </w:r>
      <w:r>
        <w:t xml:space="preserve">; (ii) công trình đã công bố là</w:t>
      </w:r>
      <w:r>
        <w:t xml:space="preserve"> </w:t>
      </w:r>
      <w:r>
        <w:rPr>
          <w:bCs/>
          <w:b/>
        </w:rPr>
        <w:t xml:space="preserve">tiền đề được luận án mở rộng</w:t>
      </w:r>
      <w:r>
        <w:t xml:space="preserve">, chỉ trích dẫn (không tính là sản phẩm chính); (iii) bản thảo</w:t>
      </w:r>
      <w:r>
        <w:t xml:space="preserve"> </w:t>
      </w:r>
      <w:r>
        <w:rPr>
          <w:bCs/>
          <w:b/>
        </w:rPr>
        <w:t xml:space="preserve">kết quả của luận án</w:t>
      </w:r>
      <w:r>
        <w:t xml:space="preserve"> </w:t>
      </w:r>
      <w:r>
        <w:t xml:space="preserve">đang hoàn thiện; và (iv) sản phẩm phần mềm.</w:t>
      </w:r>
    </w:p>
    <w:p>
      <w:pPr>
        <w:pStyle w:val="BodyText"/>
      </w:pPr>
      <w:r>
        <w:rPr>
          <w:bCs/>
          <w:b/>
        </w:rPr>
        <w:t xml:space="preserve">A. Đã công bố — kết quả của luận án (đã bình duyệt)</w:t>
      </w:r>
    </w:p>
    <w:p>
      <w:pPr>
        <w:numPr>
          <w:ilvl w:val="0"/>
          <w:numId w:val="1001"/>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(Nghiên cứu thành phần P2: chữ U ngược ở doanh nghiệp sản xuất nhỏ và vừa Trung Quốc, điểm uốn 47,8%, cơ chế bẫy vốn lưu động; được trình bày trong luận án ở Mục 4.4.8. Bổ trợ cho P5 với câu hỏi và thước đo khác (P2: dạng hàm và cơ chế; P5: tính ổn định theo thời gian), điểm uốn trùng khớp là kiểm chứng chéo chứ không phải đếm trùng.)</w:t>
      </w:r>
    </w:p>
    <w:p>
      <w:pPr>
        <w:numPr>
          <w:ilvl w:val="0"/>
          <w:numId w:val="1001"/>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(Chương sách về Ấn Độ, 380 doanh nghiệp WBES, ước lượng FGLS, biến điều tiết thượng tầng quản trị (kinh nghiệm và giới tính nhà quản trị); là kết quả độc lập, khác hoàn toàn nghiên cứu thành phần P9 về biến phụ thuộc, dạng hàm, khung lý thuyết, biến điều tiết và mẫu, nên không bị P9 chứa hay thay thế.)</w:t>
      </w:r>
    </w:p>
    <w:p>
      <w:pPr>
        <w:pStyle w:val="FirstParagraph"/>
      </w:pPr>
      <w:r>
        <w:rPr>
          <w:bCs/>
          <w:b/>
        </w:rPr>
        <w:t xml:space="preserve">B. Đã công bố — công trình tiền đề được luận án mở rộng (chỉ trích dẫn)</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(Nghiên cứu thành phần P1, mẫu gộp 17 nền kinh tế; được luận án mở rộng thành mẫu gộp 50 nền kinh tế ở P7 trên cùng thiết kế (17 nền nằm trọn trong 50 nền), nên được trích dẫn như công trình tiền đề.)</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được luận án mở rộng thành phân tích tổng hợp ba tầng k = 238 ở P6 trên cùng tập nghiên cứu (113 nghiên cứu nằm trọn trong 238), nên được trích dẫn như công trình tiền đề.)</w:t>
      </w:r>
    </w:p>
    <w:p>
      <w:pPr>
        <w:pStyle w:val="FirstParagraph"/>
      </w:pPr>
      <w:r>
        <w:rPr>
          <w:bCs/>
          <w:b/>
        </w:rPr>
        <w:t xml:space="preserve">C. Bản thảo đang hoàn thiện, chưa nộp — kết quả của luận án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chưa nộp.]</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chưa nộp.]</w:t>
      </w:r>
    </w:p>
    <w:p>
      <w:pPr>
        <w:numPr>
          <w:ilvl w:val="0"/>
          <w:numId w:val="1003"/>
        </w:numPr>
        <w:pStyle w:val="Compact"/>
      </w:pPr>
      <w:r>
        <w:t xml:space="preserve">Nghiên cứu thành phần P5, Trung Quốc 2012–2024 (bối cảnh trung bình cao).</w:t>
      </w:r>
      <w:r>
        <w:t xml:space="preserve"> </w:t>
      </w:r>
      <w:r>
        <w:rPr>
          <w:iCs/>
          <w:i/>
        </w:rPr>
        <w:t xml:space="preserve">[Bản thảo chưa nộp.]</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chưa nộp.]</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chưa nộp.]</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chưa nộp.]</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chưa nộp.]</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D.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kết quả của luận án là các nghiên cứu thành phần P2–P10, gồm hai công trình đã công bố (P2 ở mục A và chương sách về Ấn Độ ở mục A) và các bản thảo ở mục C, cùng sản phẩm phái sinh P11 theo định hướng phát triển khai thác lại bằng chứng của luận án; trong các chương, chúng được dẫn chiếu bằng nhãn nội bộ (P2–P10) thay vì trích dẫn tác giả–năm. Tiêu chí phân nhóm A so với B: một công trình đã công bố chỉ xếp vào tiền đề (mục B) khi một nghiên cứu thành phần của luận án mở rộng nó trên cùng thiết kế và chứa trọn dữ liệu của nó, do đó nếu tính cả hai sẽ đếm trùng cùng một phần bằng chứng; ngược lại, công trình có thiết kế riêng (khác biến phụ thuộc, biến độc lập, biến điều tiết hoặc câu hỏi nghiên cứu) được tính là kết quả độc lập ở mục A dù có thể cùng quốc gia với một nghiên cứu thành phần. Theo tiêu chí này, chỉ hai công trình ở mục B là tiền đề bị chứa trọn: P1 (17 nền) → P7 (50 nền, 17 nền nằm trong 50 nền); và phân tích tổng hợp cơ sở ICBEF (k = 113) → P6 (k = 238, 113 nghiên cứu nằm trong 238). Chương sách về Ấn Độ và P9 khác nhau toàn diện (biến phụ thuộc, dạng hàm, khung lý thuyết, biến điều tiết và mẫu) nên không thuộc quan hệ chứa trọn này; tương tự, P2 và P5 dùng câu hỏi và thước đo khác nhau, điểm uốn gần nhau là kiểm chứng chéo. Các bản thảo ở mục C CHƯA được công bố/bình duyệt chính thức, không được diễn giải như bằng chứng đã qua bình duyệt độc lập; tên tạp chí mục tiêu được nêu để minh bạch định hướng công bố.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điều kiện thuận lợi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Thể chế cũng góp phần quan trọng định hình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Sau cùng, nhà quản trị cấp cao có ảnh hưởng quan trọng đến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khiến câu hỏi về cơ chế chuyển hóa quốc tế hóa thành hiệu quả hoạt động kinh doanh của doanh nghiệp trở nên cấp bách cả về phương diện phát triển lẫn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dẫn đến một hàm ý chung: hiểu được khi nào và trong điều kiện nào quốc tế hóa cải thiện hiệu quả hoạt động kinh doanh của doanh nghiệp không chỉ là câu hỏi lý thuyết mà còn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phân tích chính, xuyên suốt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làm cho vấn đề phức tạp thêm một mức.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Mức dị biệt cao này không phản ánh sai sót phương pháp, mà cho thấy quan hệ quốc tế hóa và hiệu quả phụ thuộc nhiều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không rời rạc; chúng cùng phản ánh một hạn chế nền tảng: tài liệu hiện hành thiếu một cấu trúc giải thích đủ phân tầng để nắm bắt mức dị biệt cao của quan hệ quốc tế hóa và hiệu quả. Khoảng trống thứ nhất biểu hiện hạn chế đó ở tầng lý thuyết, bởi không một lý thuyết đơn lẻ nào, dù là mô hình Uppsala, lý thuyết dựa trên nguồn lực hay lý thuyết thể chế, cung cấp được một lý giải đầy đủ cho sự dị biệt đó;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 Khoảng trống thứ hai biểu hiện hạn chế đó ở tầng đo lường, vì khi hai cấu trúc số có chiều sâu tổ chức khác nhau bị gộp thành một chỉ số tổng hợp duy nhất, hai cơ chế tác động có thể trái chiều sẽ bị trung bình hóa, che khuất chính cơ chế mà nhà quản trị và nhà hoạch định chính sách cần phân biệt khi quyết định đầu tư vào chiều sâu năng lực hay vào công cụ giao diện. Khoảng trống thứ ba biểu hiện hạn chế đó ở tầng bằng chứng, bởi sự thiếu đại diện của các nền kinh tế chuyển đổi và các nền kinh tế đảo nhỏ đang phát triển làm suy yếu chính khả năng kiểm định điều kiện biên: đúng các địa điểm cực trị về thể chế, nơi điều kiện biên dễ bộc lộ nhất, lại là nơi tài liệu thiếu vắng bằng chứng nhất.</w:t>
      </w:r>
    </w:p>
    <w:p>
      <w:pPr>
        <w:pStyle w:val="BodyText"/>
      </w:pPr>
      <w:r>
        <w:t xml:space="preserve">Gộp lại, ba tầng hạn chế này hướng đến một câu hỏi căn bản hơn câu hỏi</w:t>
      </w:r>
      <w:r>
        <w:t xml:space="preserve"> </w:t>
      </w:r>
      <w:r>
        <w:t xml:space="preserve">“</w:t>
      </w:r>
      <w:r>
        <w:t xml:space="preserve">quốc tế hóa có cải thiện hiệu quả hay không</w:t>
      </w:r>
      <w:r>
        <w:t xml:space="preserve">”</w:t>
      </w:r>
      <w:r>
        <w:t xml:space="preserve">. Các nỗ lực tái lặp quy mô lớn với chiến lược nhận diện chặt chẽ cho thấy dạng hàm chữ U ngược suy yếu đáng kể, thậm chí biến mất, trong các mẫu gộp xuyên quốc gia (Berry &amp; Kaul, 2016; Pisani et al., 2020). Nếu cùng một mức độ quốc tế hóa tạo ra kết quả khác nhau không chỉ về độ lớn mà cả về dạng hàm và thậm chí về dấu tùy theo bối cảnh thể chế, thì bản thân dạng hàm của quan hệ quốc tế hóa và hiệu quả không phải là một hằng số phổ quát mà là một hàm của vị trí thể chế. Đây chính là luận điểm trọng tâm mà luận án đề xuất và kiểm định có điều kiện: thể chế không chỉ điều tiết độ lớn của hiệu ứng quốc tế hóa mà còn có thể định hình dấu và dạng hình của nó; ở cực trị thể chế yếu nhất, nơi các điều kiện cấu trúc tối thiểu đồng thời bị vi phạm, bằng chứng cho thấy họ mô hình chữ U ngược có xu hướng không còn áp dụng. Ba khoảng trống vì thế hội tụ thành một vấn đề nghiên cứu duy nhất: cần một cấu trúc giải thích vừa đủ phân tầng để định vị mỗi nền kinh tế trên phổ thể chế, vừa đủ sắc để dự đoán quan hệ quốc tế hóa và hiệu quả sẽ mang dạng hàm nào tại mỗi vị trí trên phổ đó.</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luận án lập luận rằng cùng nhau tạo nên cấu trúc giải thích cần thiết cho mức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 qua đó kiểm chứng luận điểm trọng tâm rằng thể chế quy định không chỉ độ lớn mà cả dấu và dạng hình của quan hệ đó trên toàn phổ thể chế của khu vực.</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dừng ở việc dùng song song hai phương pháp, mà để chúng bổ trợ qua lại: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làm cho đóng góp của luận án vững chắc hơn nhiều so với khi chỉ dùng một phương pháp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Bên cạnh H1b (điều kiện biên không gian theo cấu trúc SIDS), luận án phát biểu thêm giả thuyết điều kiện biên thời gian H1c: tại nền kinh tế trải qua biến động thể chế tích lũy cực đoan qua các giai đoạn (điển hình là Ấn Độ trong nghiên cứu thành phần P9), cấu trúc chữ U ngược tan biến theo thời gian (điểm uốn dịch chuyển rồi mất ý nghĩa trong miền dữ liệu), phản ánh sự phá vỡ cấu trúc chứ không phải dịch chuyển tiệm tiến như H6 mô tả. Chi tiết toàn bộ hệ giả thuyết H1–H6, H1b và H1c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đóng góp trọng tâm của luận án là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mệnh đề kiểm định được: thể chế không chỉ điều tiết độ lớn mà còn có thể định hình dấu và dạng hình của quan hệ quốc tế hóa và hiệu quả; ở cực trị thể chế yếu nhất, bằng chứng cho thấy dạng hàm chữ U ngược có xu hướng không còn áp dụng. Luận điểm trọng tâm này được nâng đỡ bởi bốn đóng góp lý thuyết thành phần. Đóng góp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phải phép ghép cơ học các lý thuyết mà là một kiến trúc lý thuyết nhất quán, trong đó mỗi tầng giải thích một loại dị biệt riêng trong quan hệ quốc tế hóa và hiệu quả. Đóng góp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Đóng góp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Đóng góp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đóng góp lý thuyết thành phần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không loại trừ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Điểm cao nhất của kiến trúc lý thuyết là việc đặt tên cho gánh nặng quốc tế hóa bắt buộc (Forced Internationalization Penalty, FIP),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theo hiểu biết của tác giả, chưa có nghiên cứu thực nghiệm nào về quan hệ quốc tế hóa và hiệu quả tại châu Á áp dụng một hệ thống phân loại thể chế đủ mịn như vậy. Điểm mới thứ tư là mẫu gộp dữ liệu thuộc loại lớn nhất mà tác giả ghi nhận được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một cấu trúc mà theo hiểu biết của tác giả chưa được định danh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Các nghiên cứu trước thường chỉ chứng minh thể chế điều tiết độ lớn của hiệu ứng; luận án chứng minh thể chế có thể điều tiết cả dấu của hiệu ứng, đưa luận điểm từ</w:t>
      </w:r>
      <w:r>
        <w:t xml:space="preserve"> </w:t>
      </w:r>
      <w:r>
        <w:t xml:space="preserve">“</w:t>
      </w:r>
      <w:r>
        <w:t xml:space="preserve">phụ thuộc bối cảnh</w:t>
      </w:r>
      <w:r>
        <w:t xml:space="preserve">”</w:t>
      </w:r>
      <w:r>
        <w:t xml:space="preserve"> </w:t>
      </w:r>
      <w:r>
        <w:t xml:space="preserve">thành</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cấu trúc đo lường thuần nhất và phạm vi thể chế rộng, thay vì dựa trên một mẫu hẹp hoặc một chỉ số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đang được hoàn thiện để gửi các tạp chí ISI/Scopus mục tiêu.</w:t>
      </w:r>
      <w:r>
        <w:t xml:space="preserve"> </w:t>
      </w:r>
      <w:r>
        <w:rPr>
          <w:bCs/>
          <w:b/>
        </w:rPr>
        <w:t xml:space="preserve">P3</w:t>
      </w:r>
      <w:r>
        <w:t xml:space="preserve"> </w:t>
      </w:r>
      <w:r>
        <w:t xml:space="preserve">(Việt Nam, mục tiêu JED): kiểm định chữ U ngược tại Nhóm IV ICRV, điểm uốn = 39,3–46,2% FSTS, TCI là yếu tố nâng mặt bằng có ý nghĩa.</w:t>
      </w:r>
      <w:r>
        <w:t xml:space="preserve"> </w:t>
      </w:r>
      <w:r>
        <w:rPr>
          <w:bCs/>
          <w:b/>
        </w:rPr>
        <w:t xml:space="preserve">P4</w:t>
      </w:r>
      <w:r>
        <w:t xml:space="preserve"> </w:t>
      </w:r>
      <w:r>
        <w:t xml:space="preserve">(Singapore, mục tiêu MIR):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mục tiêu IJOEM): kiểm định ổn định theo thời gian, điểm uốn ổn định qua 2012–2024 (≈ 48,78%, Paternoster z = 0,82, p = ,412).</w:t>
      </w:r>
      <w:r>
        <w:t xml:space="preserve"> </w:t>
      </w:r>
      <w:r>
        <w:rPr>
          <w:bCs/>
          <w:b/>
        </w:rPr>
        <w:t xml:space="preserve">P6</w:t>
      </w:r>
      <w:r>
        <w:t xml:space="preserve"> </w:t>
      </w:r>
      <w:r>
        <w:t xml:space="preserve">(meta-analysis ba tầng, mục tiêu JWB): k = 238 nghiên cứu, r̄ = 0,074, I² = 62,4%, phổ thể chế ICRV Q_M = 17,35 (df = 4, p = ,002).</w:t>
      </w:r>
      <w:r>
        <w:t xml:space="preserve"> </w:t>
      </w:r>
      <w:r>
        <w:rPr>
          <w:bCs/>
          <w:b/>
        </w:rPr>
        <w:t xml:space="preserve">P7</w:t>
      </w:r>
      <w:r>
        <w:t xml:space="preserve"> </w:t>
      </w:r>
      <w:r>
        <w:t xml:space="preserve">(50 nền kinh tế, mục tiêu IBR):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mục tiêu World Development):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mục tiêu MIR/IJOEM):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w:t>
      </w:r>
      <m:oMath>
        <m:sSup>
          <m:e>
            <m:r>
              <m:rPr>
                <m:nor/>
                <m:sty m:val="p"/>
              </m:rPr>
              <m:t>FSTS</m:t>
            </m:r>
          </m:e>
          <m:sup>
            <m:r>
              <m:t>2</m:t>
            </m:r>
          </m:sup>
        </m:sSup>
      </m:oMath>
      <w:r>
        <w:t xml:space="preserve">)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Quốc tế hóa không phải là một trạng thái nhị phân mà là một biến liên tục biểu thị cường độ tham gia thị trường quốc tế,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năng suất lao động là thước đo phổ biến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Việc chọn thước đo hiệu quả không thuần túy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 Về cách tổng hợp, ICRV là một biến phân loại thứ bậc (ordinal taxonomy) chứ không phải một chỉ số hợp thành liên tục có trọng số: mỗi nền kinh tế được gán vào đúng một trong sáu chế độ theo các ngưỡng định tính kết hợp chất lượng thể chế (WGI), mức thu nhập và đặc trưng cấu trúc, trong đó chất lượng thể chế là tiêu chí trội và hai tiêu chí còn lại dùng để phân giải các trường hợp giáp ranh. Cách vận hành hóa bằng phân loại thay vì chỉ số liên tục được lựa chọn có chủ đích vì mục tiêu của ICRV là kiểm định liệu dạng hàm của quan hệ quốc tế hóa và hiệu quả có thay đổi theo chế độ thể chế hay không, một câu hỏi đòi hỏi các nhóm rời rạc, có thể so sánh chứ không phải một thang đo đơn chiều.</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khiến hiệu quả suy giảm cho đến khi doanh nghiệp tích lũy đủ tri thức và quan hệ để hưởng lợi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Ở cùng mức quốc tế hóa, doanh nghiệp nguồn lực yếu gánh chi phí điều phối và rủi ro lớn hơn, còn doanh nghiệp có nguồn lực VRIN mạnh có thể biến chính những thách thức đó thành lợi thế.</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hoàn toàn bắt nguồn từ quy trình duy lý mà phản ánh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Gần với luận án nhất, Drori và cộng sự (2024) cũng từ lăng kính lý thuyết nội hóa kiểm định trên mẫu 2.370 doanh nghiệp Mỹ trong 18 năm và phát hiện số hóa làm giảm khiếm khuyết thị trường, song mức giảm thay đổi theo cường độ số hóa của ngành và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thuần túy là chi tiết đo lường mà mang hệ quả lý thuyết trực tiếp: nếu hai cấu trúc vận hành qua hai cơ chế khác nhau, việc gộp chúng sẽ trung bình hóa hai hiệu ứng trái chiều và che khuất chính cơ chế mà nhà nghiên cứu lẫn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chỉ là phông nền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cho thấy rõ kết quả của doanh nghiệp khi hoạt động xuyên biên giới đồng thời do năng lực nội tại, cấu trúc quản trị và bối cảnh thể chế quyết định, không thể quy về một yếu tố đơn lẻ.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Lập luận này khá trực quan và khớp với những quan sát ban đầu về các MNC thành công ở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các phân tích tổng hợp chính cho thấy một bức tranh nhất quán về dấu hiệu nhưng phức tạp về mức độ.</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w:t>
      </w:r>
      <w:r>
        <w:t xml:space="preserve"> </w:t>
      </w:r>
      <m:oMath>
        <m:sSup>
          <m:e>
            <m:r>
              <m:t>I</m:t>
            </m:r>
          </m:e>
          <m:sup>
            <m:r>
              <m:t>2</m:t>
            </m:r>
          </m:sup>
        </m:sSup>
      </m:oMath>
      <w:r>
        <w:t xml:space="preserve"> </w:t>
      </w:r>
      <w:r>
        <w:t xml:space="preserve">&gt;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cỡ ảnh hưởng tập trung vào các doanh nghiệp đa quốc gia thị trường mới nổi (EMNE) và tìm thấy mô thức biến điều tiết tương tự. Trong một phiên bản tiền đề trình bày tại Hội thảo Quốc tế lần thứ 6 về Kinh tế, Kinh doanh và Tài chính (Đỗ &amp; Phan, 2024), nhóm tác giả của luận án tổng hợp 113 nghiên cứu (200 cỡ ảnh hưởng, giai đoạn 1977–2022) và ước lượng hiệu ứng gộp dương nhỏ r = 0,07 (z = 5,29; p &lt; 0,001), nhất quán với các phân tích tổng hợp toàn cầu trước đó.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w:t>
      </w:r>
      <w:r>
        <w:t xml:space="preserve"> </w:t>
      </w:r>
      <m:oMath>
        <m:acc>
          <m:accPr>
            <m:chr m:val="‾"/>
          </m:accPr>
          <m:e>
            <m:r>
              <m:t>r</m:t>
            </m:r>
          </m:e>
        </m:acc>
      </m:oMath>
      <w:r>
        <w:t xml:space="preserve"> </w:t>
      </w:r>
      <w:r>
        <w:t xml:space="preserve">= 0,074 [KTC 95%: 0,060; 0,088],</w:t>
      </w:r>
      <w:r>
        <w:t xml:space="preserve"> </w:t>
      </w:r>
      <m:oMath>
        <m:sSup>
          <m:e>
            <m:r>
              <m:t>I</m:t>
            </m:r>
          </m:e>
          <m:sup>
            <m:r>
              <m:t>2</m:t>
            </m:r>
          </m:sup>
        </m:sSup>
      </m:oMath>
      <w:r>
        <w:t xml:space="preserve"> </w:t>
      </w:r>
      <w:r>
        <w:t xml:space="preserve">= 62,4%,</w:t>
      </w:r>
      <w:r>
        <w:t xml:space="preserve"> </w:t>
      </w:r>
      <m:oMath>
        <m:sSub>
          <m:e>
            <m:r>
              <m:t>Q</m:t>
            </m:r>
          </m:e>
          <m:sub>
            <m:r>
              <m:t>M</m:t>
            </m:r>
          </m:sub>
        </m:sSub>
        <m:d>
          <m:dPr>
            <m:begChr m:val="("/>
            <m:endChr m:val=")"/>
            <m:sepChr m:val=""/>
            <m:grow/>
          </m:dPr>
          <m:e>
            <m:r>
              <m:rPr>
                <m:sty m:val="p"/>
              </m:rPr>
              <m:t>I</m:t>
            </m:r>
            <m:r>
              <m:rPr>
                <m:sty m:val="p"/>
              </m:rPr>
              <m:t>C</m:t>
            </m:r>
            <m:r>
              <m:rPr>
                <m:sty m:val="p"/>
              </m:rPr>
              <m:t>R</m:t>
            </m:r>
            <m:r>
              <m:rPr>
                <m:sty m:val="p"/>
              </m:rPr>
              <m:t>V</m:t>
            </m:r>
          </m:e>
        </m:d>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rút ra ba kết luận: tác động gộp của quốc tế hóa lên hiệu quả là dương nhưng khiêm tốn, mức dị biệt rất cao, và các biến điều tiết bối cảnh (đặc biệt là thể chế quốc gia, năng lực doanh nghiệp và đặc điểm ngành) giải thích phần lớn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một bối cảnh đặc thù và giàu ý nghĩa trong tài liệu về quan hệ quốc tế hóa và hiệu quả.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Việc đồng nhất không hợp lý này gây hệ quả lý thuyết: không thể phân tách hai cơ chế vận hành khác nhau là chiều sâu năng lực tổ chức (TCI) và khả năng phối hợp số bề mặt (DAI). Việc không phân biệt như vậy làm mờ cơ chế tác động và khiến kết luận khó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(Country–Digital–Capability Moderation), một khung lý thuyết tích hợp đa tầng gồm ba tầng điều tiết: bối cảnh thể chế quốc gia (tầng vĩ mô, vận hành hóa bằng khung ICRV); năng lực số ở cấp doanh nghiệp, phân tách năng lực công nghệ TCI và mức độ chấp nhận số DAI (tầng tổ chức); và năng lực cùng đặc điểm của nhà quản trị cấp cao (tầng cá nhân).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cho thấy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 Luận điểm trọng tâm mà mô hình này vận hành hóa và hệ giả thuyết H1–H6 cùng H1b kiểm định là: trong ba tầng đó, tầng thể chế có thể định hình không chỉ độ lớn mà cả dấu và dạng hình của quan hệ quốc tế hóa và hiệu quả, đến mức ở cực trị thể chế yếu nhất (Nhóm VI, SIDS), nơi cả ba tầng đồng thời ở mức tối thiểu, mô hình chữ U ngược có thể không còn áp dụng và quan hệ nghiêng về dạng âm đơn điệu (điều kiện biên FIP, mang tính thăm dò). Theo phân loại ba tầng đóng góp lý thuyết của Thomas và cộng sự (2011), luận án không dừng ở tầng thứ nhất (mở rộng một lý thuyết sẵn có sang bối cảnh quốc tế mới) mà đồng thời xác lập một quan hệ hàm đặc thù tại điểm chuyển thể chế, nơi dạng hàm thay đổi về chất (tầng thứ hai), và phát triển một cấu trúc lý thuyết mới là gánh nặng quốc tế hóa bắt buộc (FIP) cho cực trị của phổ thể chế (tầng thứ ba). Việc định vị này làm rõ rằng đóng góp của mô hình không nằm ở việc thêm một biến điều tiết mà ở việc lý thuyết hóa sự biến đổi dạng hàm theo vị trí thể chế.</w:t>
      </w:r>
    </w:p>
    <w:p>
      <w:pPr>
        <w:pStyle w:val="BodyText"/>
      </w:pPr>
      <w:r>
        <w:t xml:space="preserve">Tầng vĩ mô, bối cảnh thể chế, được vận hành hóa bằng khung ICRV với sáu chế độ con xếp theo phổ chất lượng thể chế giảm dần, từ mạnh nhất đến yếu nhất: Nhóm I (tiên tiến đổi mới), II (tiên tiến tài nguyên), III (trung bình cao), IV (chuyển đổi trung bình–thấp), V (đang nổi) và VI (đảo nhỏ đang phát triển,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752534"/>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752534"/>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w:t>
      </w:r>
      <w:r>
        <w:t xml:space="preserve"> </w:t>
      </w:r>
      <m:oMath>
        <m:r>
          <m:rPr>
            <m:sty m:val="p"/>
          </m:rPr>
          <m:t>×</m:t>
        </m:r>
        <m:sSup>
          <m:e>
            <m:r>
              <m:rPr>
                <m:nor/>
                <m:sty m:val="p"/>
              </m:rPr>
              <m:t>FSTS</m:t>
            </m:r>
          </m:e>
          <m:sup>
            <m:r>
              <m:t>2</m:t>
            </m:r>
          </m:sup>
        </m:sSup>
      </m:oMath>
      <w:r>
        <w:t xml:space="preserve"> </w:t>
      </w:r>
      <w:r>
        <w:t xml:space="preserve">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w:t>
      </w:r>
      <w:r>
        <w:t xml:space="preserve"> </w:t>
      </w:r>
      <m:oMath>
        <m:r>
          <m:rPr>
            <m:sty m:val="p"/>
          </m:rPr>
          <m:t>×</m:t>
        </m:r>
        <m:sSup>
          <m:e>
            <m:r>
              <m:rPr>
                <m:nor/>
                <m:sty m:val="p"/>
              </m:rPr>
              <m:t>FSTS</m:t>
            </m:r>
          </m:e>
          <m:sup>
            <m:r>
              <m:t>2</m:t>
            </m:r>
          </m:sup>
        </m:sSup>
      </m:oMath>
      <w:r>
        <w:t xml:space="preserve"> </w:t>
      </w:r>
      <w:r>
        <w:t xml:space="preserve">(hoặc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Vì H5 là một mệnh đề xuyên cấp, trong đó một cấu trúc cấp quốc gia (chế độ ICRV) điều tiết một quan hệ ở cấp doanh nghiệp, cần nêu rõ kênh truyền dẫn từ tầng vĩ mô xuống tầng vi mô. Kênh đó là phần phụ trội chi phí giao dịch mà chất lượng thể chế áp lên mỗi giao dịch xuyên biên giới: ở chế độ thể chế yếu, chi phí tìm kiếm đối tác, thực thi hợp đồng và bảo vệ quyền sở hữu trong thương mại quốc tế cao hơn, và chính từng doanh nghiệp phải nội bộ hóa phần chi phí này khi mở rộng quốc tế, làm hao mòn năng suất lao động quan sát được ở cấp doanh nghiệp. Vì vậy biến thiên thể chế cấp quốc gia không tác động trừu tượng mà hiện hình thành một khoản phụ trội chi phí cấp giao dịch mà doanh nghiệp gánh chịu, qua đó dịch chuyển cả vị trí điểm uốn lẫn độ dốc của đường quan hệ ở cấp doanh nghiệp. Trên nền kênh truyền dẫn đó, 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w:t>
            </w:r>
            <w:r>
              <w:t xml:space="preserve"> </w:t>
            </w:r>
            <m:oMath>
              <m:sSup>
                <m:e>
                  <m:r>
                    <m:rPr>
                      <m:nor/>
                      <m:sty m:val="p"/>
                    </m:rPr>
                    <m:t>FSTS</m:t>
                  </m:r>
                </m:e>
                <m:sup>
                  <m:r>
                    <m:t>2</m:t>
                  </m:r>
                </m:sup>
              </m:sSup>
            </m:oMath>
            <w:r>
              <w:t xml:space="preserve">;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w:t>
            </w:r>
            <w:r>
              <w:t xml:space="preserve"> </w:t>
            </w:r>
            <m:oMath>
              <m:r>
                <m:rPr>
                  <m:sty m:val="p"/>
                </m:rPr>
                <m:t>×</m:t>
              </m:r>
              <m:sSup>
                <m:e>
                  <m:r>
                    <m:rPr>
                      <m:nor/>
                      <m:sty m:val="p"/>
                    </m:rPr>
                    <m:t>FSTS</m:t>
                  </m:r>
                </m:e>
                <m:sup>
                  <m:r>
                    <m:t>2</m:t>
                  </m:r>
                </m:sup>
              </m:sSup>
            </m:oMath>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w:t>
            </w:r>
            <w:r>
              <w:t xml:space="preserve"> </w:t>
            </w:r>
            <m:oMath>
              <m:r>
                <m:rPr>
                  <m:sty m:val="p"/>
                </m:rPr>
                <m:t>×</m:t>
              </m:r>
              <m:sSup>
                <m:e>
                  <m:r>
                    <m:rPr>
                      <m:nor/>
                      <m:sty m:val="p"/>
                    </m:rPr>
                    <m:t>FSTS</m:t>
                  </m:r>
                </m:e>
                <m:sup>
                  <m:r>
                    <m:t>2</m:t>
                  </m:r>
                </m:sup>
              </m:sSup>
            </m:oMath>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r>
              <w:t xml:space="preserve"> </w:t>
            </w:r>
            <w:r>
              <w:t xml:space="preserve">(điều tiết độ dốc); dấu của giới tính nữ có thể đảo ở thước đo năng suất do chọn lọc cấu thành (xem Mục 2.5.5)</w:t>
            </w:r>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w:t>
            </w:r>
            <w:r>
              <w:t xml:space="preserve"> </w:t>
            </w:r>
            <m:oMath>
              <m:r>
                <m:rPr>
                  <m:sty m:val="p"/>
                </m:rPr>
                <m:t>×</m:t>
              </m:r>
              <m:sSup>
                <m:e>
                  <m:r>
                    <m:rPr>
                      <m:nor/>
                      <m:sty m:val="p"/>
                    </m:rPr>
                    <m:t>FSTS</m:t>
                  </m:r>
                </m:e>
                <m:sup>
                  <m:r>
                    <m:t>2</m:t>
                  </m:r>
                </m:sup>
              </m:sSup>
            </m:oMath>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Chương cũng ghi nhận làn sóng tái lặp quy mô lớn gần đây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bổ trợ lẫn nhau: phân tích tổng hợp đặt cơ sở và chỉ ra các biến điều tiết cần kiểm định; phân tích thực nghiệm bổ sung bằng chứng về bối cảnh châu Á và Pacific cho phân tích tổng hợp.</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6"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5"/>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5"/>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5"/>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5"/>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Start w:id="95"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với quyền ghi đè bất kỳ trường nào,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95"/>
    <w:bookmarkEnd w:id="96"/>
    <w:bookmarkStart w:id="113" w:name="X2f2dc61cf51b22160123af8668c978f8ce43175"/>
    <w:p>
      <w:pPr>
        <w:pStyle w:val="Heading2"/>
      </w:pPr>
      <w:r>
        <w:t xml:space="preserve">3.3 Giai đoạn 2: Phân tích thực nghiệm đa quốc gia</w:t>
      </w:r>
    </w:p>
    <w:bookmarkStart w:id="97"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7"/>
    <w:bookmarkStart w:id="98"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Thay đổi này gây khó cho việc hợp nhất dữ liệu đa quốc gia, vì cùng một khái niệm có thể được hỏi bằng trường khác nhau, hoặc không xuất hiện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98"/>
    <w:bookmarkStart w:id="9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99"/>
    <w:bookmarkStart w:id="100"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được giữa các nước. Luận án xử lý đe dọa hiệu lực này bằng thiết kế ước lượng, không bằng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loại bỏ khác biệt về đơn vị tiền tệ và mặt bằng giá, đồng thời giữ nguyên biến thiên trong nội bộ từng nước – nguồn biến thiên dùng để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100"/>
    <w:bookmarkStart w:id="101"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101"/>
    <w:bookmarkStart w:id="102"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lập số hạng bậc hai, cường độ xuất khẩu được trung tâm hóa quanh trung bình của từng đợt khảo sát (hoặc từng mẫu gộp). Quy ước này giảm tương quan giả tạo giữa số hạng tuyến tính và số hạng bình phương, giúp ước lượng ổn định hơn về mặt số học và dễ diễn giải hệ số tại giá trị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2"/>
    <w:bookmarkStart w:id="103" w:name="X454cd0efaa6c7f71cd04aad60b675e2b8b0384f"/>
    <w:p>
      <w:pPr>
        <w:pStyle w:val="Heading3"/>
      </w:pPr>
      <w:r>
        <w:t xml:space="preserve">3.3.3.2 Vận hành hóa chi tiết cường độ xuất khẩu xuyên các nghiên cứu thành phần</w:t>
      </w:r>
    </w:p>
    <w:p>
      <w:pPr>
        <w:pStyle w:val="FirstParagraph"/>
      </w:pPr>
      <w:r>
        <w:t xml:space="preserve">Cường độ xuất khẩu thống nhất về khái niệm nhưng không có một định nghĩa thao tác duy nhất; thay vào đó là nhiều định nghĩa được điều chỉnh theo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103"/>
    <w:bookmarkStart w:id="107" w:name="đo-lường-biến-điều-tiết"/>
    <w:p>
      <w:pPr>
        <w:pStyle w:val="Heading3"/>
      </w:pPr>
      <w:r>
        <w:t xml:space="preserve">3.3.4 Đo lường biến điều tiết</w:t>
      </w:r>
    </w:p>
    <w:bookmarkStart w:id="104"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6"/>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6"/>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7"/>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7"/>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4"/>
    <w:bookmarkStart w:id="105"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105"/>
    <w:bookmarkStart w:id="106"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106"/>
    <w:bookmarkEnd w:id="107"/>
    <w:bookmarkStart w:id="10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Phân tầng tạo ra ba biến thể đo lường: chỉ Bậc 1 (một biến nhị phân) ở Việt Nam và đảo nhỏ Thái Bình Dương; Bậc 1 cộng Bậc 2 ở Singapore và khung đa quốc gia khi có trường k33; và thu gọn về Bậc 1 khi thiếu trường Bậc 2.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8"/>
    <w:bookmarkStart w:id="109"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9"/>
    <w:bookmarkStart w:id="110"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(trường l1 của WBES). Đây là biến kiểm soát thiết yếu, vì doanh nghiệp lớn vừa dễ xuất khẩu hơn vừa đạt năng suất cao hơn nhờ lợi thế quy mô; lấy logarit nhằm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Đáng chú ý hơn cả,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có vai trò quyết định: nó loại bỏ đúng các nhiễu ở cấp nền kinh tế và cấp thời gian vốn dễ tạo tương quan giả giữa quốc tế hóa và hiệu quả, nhờ đó cô lập biến thiên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10"/>
    <w:bookmarkStart w:id="111"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Luận án cố ý xử lý ICRV như biến số nguyên liên tục thay vì hệ biến giả, để giữ cỡ mẫu đủ lớn trong các mô hình điều tiết và ba chiều; nếu tách thành sáu biến giả tương tác, mẫu sẽ bị phân mảnh và ước lượng kém ổn định.</w:t>
      </w:r>
    </w:p>
    <w:p>
      <w:pPr>
        <w:pStyle w:val="BodyText"/>
      </w:pPr>
      <w:r>
        <w:t xml:space="preserve">Phân tích điểm uốn theo từng chế độ cho thấy rõ cấu trúc ba vùng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1"/>
    <w:bookmarkStart w:id="112"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 Để thuận tiện cho việc đối chiếu, hai bảng kiểm minh bạch của Aguinis et al. (2019) được luận án xử lý ở các vị trí sau: thiết kế nghiên cứu và cấu trúc thời gian ở Mục 3.1 và Phụ lục A.1, A.6; quy trình chọn mẫu ở Phụ lục A.2; quản lý dữ liệu khuyết ở Phụ lục A.9; xử lý giá trị ngoại lai ở Mục 3.5.3; biến đổi dữ liệu ở Mục 3.3.2.1; và quy trình tái lập kèm cỡ mẫu còn lại ở từng bước ở Phụ lục A.3.</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2"/>
    <w:bookmarkEnd w:id="113"/>
    <w:bookmarkStart w:id="134" w:name="mô-hình-phân-tích"/>
    <w:p>
      <w:pPr>
        <w:pStyle w:val="Heading2"/>
      </w:pPr>
      <w:r>
        <w:t xml:space="preserve">3.4 Mô hình phân tích</w:t>
      </w:r>
    </w:p>
    <w:bookmarkStart w:id="114"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4"/>
    <w:bookmarkStart w:id="11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115"/>
    <w:bookmarkStart w:id="11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6"/>
    <w:bookmarkStart w:id="117"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(Sasabuchi, 1980),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hiểu là thông tin hữu ích theo khung bão hòa, không phải là thất bại của giả thuyết phi tuyến: nó cho thấy doanh nghiệp trong mẫu chưa chạm ngưỡng mà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Bản thân sự đảo dạng này nhất quán với quan hệ đơn điệu âm, không có điểm quay nội miền.</w:t>
      </w:r>
    </w:p>
    <w:bookmarkEnd w:id="117"/>
    <w:bookmarkStart w:id="120" w:name="mô-hình-điều-tiết-h2h6"/>
    <w:p>
      <w:pPr>
        <w:pStyle w:val="Heading3"/>
      </w:pPr>
      <w:r>
        <w:t xml:space="preserve">3.4.4 Mô hình điều tiết (H2–H6)</w:t>
      </w:r>
    </w:p>
    <w:bookmarkStart w:id="118"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8"/>
    <w:bookmarkStart w:id="119"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119"/>
    <w:bookmarkEnd w:id="120"/>
    <w:bookmarkStart w:id="121"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1"/>
    <w:bookmarkStart w:id="122"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Tách kiểm định theo từng tham số giúp phân biệt hai loại dịch chuyển khác nhau về ý nghĩa lý thuyết: dịch chuyển ở tham số độ cong cho thấy hình dạng quan hệ thay đổi về cấu trúc; dịch chuyển ở hệ số trực tiếp cho thấy vai trò của một chiều năng lực thay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Tương phản giữa tính bền vững ở Trung Quốc và sự sụp đổ ở Ấn Độ cho thấy chính giá trị nhận dạng của kiểm định xuyên đợt: nó tách được dịch chuyển cấu trúc thực do cú sốc thể chế khỏi biến thiên ngẫu nhiên của mẫu.</w:t>
      </w:r>
    </w:p>
    <w:bookmarkEnd w:id="122"/>
    <w:bookmarkStart w:id="123"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8"/>
        </w:numPr>
        <w:pStyle w:val="Compact"/>
      </w:pPr>
      <m:oMath>
        <m:r>
          <m:rPr>
            <m:sty m:val="p"/>
          </m:rPr>
          <m:t>ln</m:t>
        </m:r>
        <m:sSub>
          <m:e>
            <m:r>
              <m:rPr>
                <m:sty m:val="p"/>
              </m:rPr>
              <m:t>L</m:t>
            </m:r>
            <m:r>
              <m:rPr>
                <m:sty m:val="p"/>
              </m:rPr>
              <m:t>P</m:t>
            </m:r>
          </m:e>
          <m:sub>
            <m:r>
              <m:t>i</m:t>
            </m:r>
            <m:r>
              <m:t>t</m:t>
            </m:r>
          </m:sub>
        </m:sSub>
      </m:oMath>
      <w:r>
        <w:t xml:space="preserve">: log năng suất lao động (ln doanh thu nội tệ / lao động thường xuyên)</w:t>
      </w:r>
    </w:p>
    <w:p>
      <w:pPr>
        <w:numPr>
          <w:ilvl w:val="0"/>
          <w:numId w:val="1008"/>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điều chỉnh trung bình trong sóng (mean-centred)</w:t>
      </w:r>
    </w:p>
    <w:p>
      <w:pPr>
        <w:numPr>
          <w:ilvl w:val="0"/>
          <w:numId w:val="1008"/>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 bình phương cường độ xuất khẩu điều chỉnh</w:t>
      </w:r>
    </w:p>
    <w:p>
      <w:pPr>
        <w:numPr>
          <w:ilvl w:val="0"/>
          <w:numId w:val="1008"/>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(chuẩn hoá z trong sóng)</w:t>
      </w:r>
    </w:p>
    <w:p>
      <w:pPr>
        <w:numPr>
          <w:ilvl w:val="0"/>
          <w:numId w:val="1008"/>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cơ sở, Bậc 1 (chuẩn hoá z trong sóng)</w:t>
      </w:r>
    </w:p>
    <w:p>
      <w:pPr>
        <w:numPr>
          <w:ilvl w:val="0"/>
          <w:numId w:val="1008"/>
        </w:numPr>
        <w:pStyle w:val="Compact"/>
      </w:pPr>
      <m:oMath>
        <m:r>
          <m:rPr>
            <m:sty m:val="p"/>
          </m:rPr>
          <m:t>ln</m:t>
        </m:r>
        <m:r>
          <m:t>L</m:t>
        </m:r>
      </m:oMath>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8"/>
        </w:numPr>
        <w:pStyle w:val="Compact"/>
      </w:pPr>
      <m:oMath>
        <m:sSub>
          <m:e>
            <m:r>
              <m:t>δ</m:t>
            </m:r>
          </m:e>
          <m:sub>
            <m:r>
              <m:t>s</m:t>
            </m:r>
          </m:sub>
        </m:sSub>
      </m:oMath>
      <w:r>
        <w:t xml:space="preserve">: hiệu ứng cố định ngành (1-digit ISIC);</w:t>
      </w:r>
      <w:r>
        <w:t xml:space="preserve"> </w:t>
      </w:r>
      <m:oMath>
        <m:sSub>
          <m:e>
            <m:r>
              <m:t>λ</m:t>
            </m:r>
          </m:e>
          <m:sub>
            <m:r>
              <m:t>t</m:t>
            </m:r>
          </m:sub>
        </m:sSub>
      </m:oMath>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 hạng phi tuyến</w:t>
            </w:r>
          </w:p>
        </w:tc>
        <w:tc>
          <w:tcPr/>
          <w:p>
            <w:pPr>
              <w:pStyle w:val="Compact"/>
              <w:jc w:val="left"/>
            </w:pPr>
            <w:r>
              <w:t xml:space="preserve">Kiểm định inverted-U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m:oMath>
              <m:sSub>
                <m:e>
                  <m:r>
                    <m:t>δ</m:t>
                  </m:r>
                </m:e>
                <m:sub>
                  <m:r>
                    <m:t>s</m:t>
                  </m:r>
                </m:sub>
              </m:sSub>
            </m:oMath>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FSTS (CDDXK, cường độ xuất khẩu), TCI (NLCN, năng lực công nghệ), DAI (CSS, chấp nhận số),</w:t>
      </w:r>
      <w:r>
        <w:rPr>
          <w:iCs/>
          <w:i/>
        </w:rPr>
        <w:t xml:space="preserve"> </w:t>
      </w:r>
      <m:oMath>
        <m:r>
          <m:rPr>
            <m:sty m:val="p"/>
          </m:rPr>
          <m:t>ln</m:t>
        </m:r>
        <m:r>
          <m:rPr>
            <m:sty m:val="p"/>
          </m:rPr>
          <m:t>L</m:t>
        </m:r>
        <m:r>
          <m:rPr>
            <m:sty m:val="p"/>
          </m:rPr>
          <m:t>P</m:t>
        </m:r>
      </m:oMath>
      <w:r>
        <w:rPr>
          <w:iCs/>
          <w:i/>
        </w:rPr>
        <w:t xml:space="preserve"> </w:t>
      </w:r>
      <w:r>
        <w:rPr>
          <w:iCs/>
          <w:i/>
        </w:rPr>
        <w:t xml:space="preserve">(lnNSLD, năng suất lao động),</w:t>
      </w:r>
      <w:r>
        <w:rPr>
          <w:iCs/>
          <w:i/>
        </w:rPr>
        <w:t xml:space="preserve"> </w:t>
      </w:r>
      <m:oMath>
        <m:r>
          <m:rPr>
            <m:sty m:val="p"/>
          </m:rPr>
          <m:t>ln</m:t>
        </m:r>
        <m:r>
          <m:t>L</m:t>
        </m:r>
      </m:oMath>
      <w:r>
        <w:rPr>
          <w:iCs/>
          <w:i/>
        </w:rPr>
        <w:t xml:space="preserve"> </w:t>
      </w:r>
      <w:r>
        <w:rPr>
          <w:iCs/>
          <w:i/>
        </w:rPr>
        <w:t xml:space="preserve">(</w:t>
      </w:r>
      <m:oMath>
        <m:r>
          <m:rPr>
            <m:sty m:val="p"/>
          </m:rPr>
          <m:t>ln</m:t>
        </m:r>
        <m:r>
          <m:t>L</m:t>
        </m:r>
      </m:oMath>
      <w:r>
        <w:rPr>
          <w:iCs/>
          <w:i/>
        </w:rPr>
        <w:t xml:space="preserve">D, quy mô lao động), Age (TuoiDN, tuổi doanh nghiệp), Own (SoHuuNN, sở hữu nước ngoài), MgrExp (KNQLy, kinh nghiệm quản lý) và MgrFem (NQL_nu, nữ quản lý cấp cao).</w:t>
      </w:r>
    </w:p>
    <w:bookmarkEnd w:id="123"/>
    <w:bookmarkStart w:id="124"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w:t>
      </w:r>
      <w:r>
        <w:t xml:space="preserve"> </w:t>
      </w:r>
      <m:oMath>
        <m:sSub>
          <m:e>
            <m:r>
              <m:t>λ</m:t>
            </m:r>
          </m:e>
          <m:sub>
            <m:r>
              <m:t>t</m:t>
            </m:r>
          </m:sub>
        </m:sSub>
      </m:oMath>
      <w:r>
        <w:t xml:space="preserve">. Ký hiệu biến:</w:t>
      </w:r>
    </w:p>
    <w:p>
      <w:pPr>
        <w:numPr>
          <w:ilvl w:val="0"/>
          <w:numId w:val="1009"/>
        </w:numPr>
        <w:pStyle w:val="Compact"/>
      </w:pPr>
      <m:oMath>
        <m:r>
          <m:rPr>
            <m:sty m:val="p"/>
          </m:rPr>
          <m:t>ln</m:t>
        </m:r>
        <m:sSub>
          <m:e>
            <m:r>
              <m:rPr>
                <m:sty m:val="p"/>
              </m:rPr>
              <m:t>L</m:t>
            </m:r>
            <m:r>
              <m:rPr>
                <m:sty m:val="p"/>
              </m:rPr>
              <m:t>P</m:t>
            </m:r>
          </m:e>
          <m:sub>
            <m:r>
              <m:t>i</m:t>
            </m:r>
          </m:sub>
        </m:sSub>
      </m:oMath>
      <w:r>
        <w:t xml:space="preserve">: log năng suất lao động (ln doanh thu nội tệ / lao động thường xuyên)</w:t>
      </w:r>
    </w:p>
    <w:p>
      <w:pPr>
        <w:numPr>
          <w:ilvl w:val="0"/>
          <w:numId w:val="1009"/>
        </w:numPr>
        <w:pStyle w:val="Compact"/>
      </w:pPr>
      <m:oMath>
        <m:sSub>
          <m:e>
            <m:r>
              <m:rPr>
                <m:sty m:val="p"/>
              </m:rPr>
              <m:t>F</m:t>
            </m:r>
            <m:r>
              <m:rPr>
                <m:sty m:val="p"/>
              </m:rPr>
              <m:t>S</m:t>
            </m:r>
            <m:r>
              <m:rPr>
                <m:sty m:val="p"/>
              </m:rPr>
              <m:t>T</m:t>
            </m:r>
            <m:r>
              <m:rPr>
                <m:sty m:val="p"/>
              </m:rPr>
              <m:t>S</m:t>
            </m:r>
          </m:e>
          <m:sub>
            <m:r>
              <m:t>i</m:t>
            </m:r>
          </m:sub>
        </m:sSub>
      </m:oMath>
      <w:r>
        <w:t xml:space="preserve">: cường độ xuất khẩu trực tiếp (d3c / 100)</w:t>
      </w:r>
    </w:p>
    <w:p>
      <w:pPr>
        <w:numPr>
          <w:ilvl w:val="0"/>
          <w:numId w:val="1009"/>
        </w:numPr>
        <w:pStyle w:val="Compact"/>
      </w:pPr>
      <m:oMath>
        <m:sSub>
          <m:e>
            <m:r>
              <m:rPr>
                <m:sty m:val="p"/>
              </m:rPr>
              <m:t>F</m:t>
            </m:r>
            <m:r>
              <m:rPr>
                <m:sty m:val="p"/>
              </m:rPr>
              <m:t>S</m:t>
            </m:r>
            <m:r>
              <m:rPr>
                <m:sty m:val="p"/>
              </m:rPr>
              <m:t>T</m:t>
            </m:r>
            <m:r>
              <m:rPr>
                <m:sty m:val="p"/>
              </m:rPr>
              <m:t>S</m:t>
            </m:r>
          </m:e>
          <m:sub>
            <m:r>
              <m:t>c</m:t>
            </m:r>
            <m:r>
              <m:rPr>
                <m:sty m:val="p"/>
              </m:rPr>
              <m:t>,</m:t>
            </m:r>
            <m:r>
              <m:t>i</m:t>
            </m:r>
          </m:sub>
        </m:sSub>
      </m:oMath>
      <w:r>
        <w:t xml:space="preserve">: FSTS trung bình mẫu;</w:t>
      </w:r>
      <w:r>
        <w:t xml:space="preserve"> </w:t>
      </w:r>
      <m:oMath>
        <m:sSubSup>
          <m:e>
            <m:r>
              <m:rPr>
                <m:sty m:val="p"/>
              </m:rPr>
              <m:t>F</m:t>
            </m:r>
            <m:r>
              <m:rPr>
                <m:sty m:val="p"/>
              </m:rPr>
              <m:t>S</m:t>
            </m:r>
            <m:r>
              <m:rPr>
                <m:sty m:val="p"/>
              </m:rPr>
              <m:t>T</m:t>
            </m:r>
            <m:r>
              <m:rPr>
                <m:sty m:val="p"/>
              </m:rPr>
              <m:t>S</m:t>
            </m:r>
          </m:e>
          <m:sub>
            <m:r>
              <m:t>c</m:t>
            </m:r>
          </m:sub>
          <m:sup>
            <m:r>
              <m:t>2</m:t>
            </m:r>
          </m:sup>
        </m:sSubSup>
      </m:oMath>
      <w:r>
        <w:t xml:space="preserve"> </w:t>
      </w:r>
      <w:r>
        <w:t xml:space="preserve">là bình phương</w:t>
      </w:r>
    </w:p>
    <w:p>
      <w:pPr>
        <w:numPr>
          <w:ilvl w:val="0"/>
          <w:numId w:val="1009"/>
        </w:numPr>
        <w:pStyle w:val="Compact"/>
      </w:pPr>
      <m:oMath>
        <m:sSub>
          <m:e>
            <m:r>
              <m:rPr>
                <m:sty m:val="p"/>
              </m:rPr>
              <m:t>T</m:t>
            </m:r>
            <m:r>
              <m:rPr>
                <m:sty m:val="p"/>
              </m:rPr>
              <m:t>C</m:t>
            </m:r>
            <m:r>
              <m:rPr>
                <m:sty m:val="p"/>
              </m:rPr>
              <m:t>I</m:t>
            </m:r>
          </m:e>
          <m:sub>
            <m:r>
              <m:t>z</m:t>
            </m:r>
            <m:r>
              <m:rPr>
                <m:sty m:val="p"/>
              </m:rPr>
              <m:t>,</m:t>
            </m:r>
            <m:r>
              <m:t>i</m:t>
            </m:r>
          </m:sub>
        </m:sSub>
      </m:oMath>
      <w:r>
        <w:t xml:space="preserve">: năng lực công nghệ, chuẩn hóa z của trung bình(b8₀₁, e6₀₁)</w:t>
      </w:r>
    </w:p>
    <w:p>
      <w:pPr>
        <w:numPr>
          <w:ilvl w:val="0"/>
          <w:numId w:val="1009"/>
        </w:numPr>
        <w:pStyle w:val="Compact"/>
      </w:pPr>
      <m:oMath>
        <m:sSub>
          <m:e>
            <m:r>
              <m:rPr>
                <m:sty m:val="p"/>
              </m:rPr>
              <m:t>D</m:t>
            </m:r>
            <m:r>
              <m:rPr>
                <m:sty m:val="p"/>
              </m:rPr>
              <m:t>A</m:t>
            </m:r>
            <m:r>
              <m:rPr>
                <m:sty m:val="p"/>
              </m:rPr>
              <m:t>I</m:t>
            </m:r>
          </m:e>
          <m:sub>
            <m:r>
              <m:t>z</m:t>
            </m:r>
            <m:r>
              <m:rPr>
                <m:sty m:val="p"/>
              </m:rPr>
              <m:t>,</m:t>
            </m:r>
            <m:r>
              <m:t>i</m:t>
            </m:r>
          </m:sub>
        </m:sSub>
      </m:oMath>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09"/>
        </w:numPr>
        <w:pStyle w:val="Compact"/>
      </w:pPr>
      <m:oMath>
        <m:r>
          <m:rPr>
            <m:sty m:val="p"/>
          </m:rPr>
          <m:t>ln</m:t>
        </m:r>
        <m:sSub>
          <m:e>
            <m:r>
              <m:t>L</m:t>
            </m:r>
          </m:e>
          <m:sub>
            <m:r>
              <m:t>i</m:t>
            </m:r>
          </m:sub>
        </m:sSub>
      </m:oMath>
      <w:r>
        <w:t xml:space="preserve"> </w:t>
      </w:r>
      <w:r>
        <w:t xml:space="preserve">=</w:t>
      </w:r>
      <w:r>
        <w:t xml:space="preserve"> </w:t>
      </w:r>
      <m:oMath>
        <m:r>
          <m:rPr>
            <m:sty m:val="p"/>
          </m:rPr>
          <m:t>ln</m:t>
        </m:r>
        <m:sSub>
          <m:e>
            <m:d>
              <m:dPr>
                <m:begChr m:val="("/>
                <m:endChr m:val=")"/>
                <m:sepChr m:val=""/>
                <m:grow/>
              </m:dPr>
              <m:e>
                <m:r>
                  <m:t>L</m:t>
                </m:r>
              </m:e>
            </m:d>
          </m:e>
          <m:sub>
            <m:r>
              <m:t>i</m:t>
            </m:r>
          </m:sub>
        </m:sSub>
      </m:oMath>
      <w:r>
        <w:t xml:space="preserve"> </w:t>
      </w:r>
      <w:r>
        <w:t xml:space="preserve">(quy mô),</w:t>
      </w:r>
      <w:r>
        <w:t xml:space="preserve"> </w:t>
      </w:r>
      <m:oMath>
        <m:sSub>
          <m:e>
            <m:r>
              <m:rPr>
                <m:sty m:val="p"/>
              </m:rPr>
              <m:t>A</m:t>
            </m:r>
            <m:r>
              <m:rPr>
                <m:sty m:val="p"/>
              </m:rPr>
              <m:t>g</m:t>
            </m:r>
            <m:r>
              <m:rPr>
                <m:sty m:val="p"/>
              </m:rPr>
              <m:t>e</m:t>
            </m:r>
          </m:e>
          <m:sub>
            <m:r>
              <m:t>i</m:t>
            </m:r>
          </m:sub>
        </m:sSub>
      </m:oMath>
      <w:r>
        <w:t xml:space="preserve"> </w:t>
      </w:r>
      <w:r>
        <w:t xml:space="preserve">(tuổi),</w:t>
      </w:r>
      <w:r>
        <w:t xml:space="preserve"> </w:t>
      </w:r>
      <m:oMath>
        <m:sSub>
          <m:e>
            <m:r>
              <m:rPr>
                <m:sty m:val="p"/>
              </m:rPr>
              <m:t>O</m:t>
            </m:r>
            <m:r>
              <m:rPr>
                <m:sty m:val="p"/>
              </m:rPr>
              <m:t>w</m:t>
            </m:r>
            <m:r>
              <m:rPr>
                <m:sty m:val="p"/>
              </m:rPr>
              <m:t>n</m:t>
            </m:r>
          </m:e>
          <m:sub>
            <m:r>
              <m:t>i</m:t>
            </m:r>
          </m:sub>
        </m:sSub>
      </m:oMath>
      <w:r>
        <w:t xml:space="preserve"> </w:t>
      </w:r>
      <w:r>
        <w:t xml:space="preserve">(sở hữu): biến kiểm soát tương tự P3, gộp trong vector</w:t>
      </w:r>
      <w:r>
        <w:t xml:space="preserve"> </w:t>
      </w:r>
      <w:r>
        <w:rPr>
          <w:bCs/>
          <w:b/>
        </w:rPr>
        <w:t xml:space="preserve">X</w:t>
      </w:r>
      <w:r>
        <w:t xml:space="preserve">_i</w:t>
      </w:r>
    </w:p>
    <w:p>
      <w:pPr>
        <w:numPr>
          <w:ilvl w:val="0"/>
          <w:numId w:val="1009"/>
        </w:numPr>
        <w:pStyle w:val="Compact"/>
      </w:pPr>
      <m:oMath>
        <m:sSub>
          <m:e>
            <m:r>
              <m:t>δ</m:t>
            </m:r>
          </m:e>
          <m:sub>
            <m:r>
              <m:t>s</m:t>
            </m:r>
          </m:sub>
        </m:sSub>
      </m:oMath>
      <w:r>
        <w:t xml:space="preserve">: ngành hiệu ứng cố định (ISIC 1-chữ số)</w:t>
      </w:r>
    </w:p>
    <w:p>
      <w:pPr>
        <w:numPr>
          <w:ilvl w:val="0"/>
          <w:numId w:val="1009"/>
        </w:numPr>
        <w:pStyle w:val="Compact"/>
      </w:pPr>
      <m:oMath>
        <m:sSub>
          <m:e>
            <m:r>
              <m:rPr>
                <m:sty m:val="p"/>
              </m:rPr>
              <m:t>I</m:t>
            </m:r>
            <m:r>
              <m:rPr>
                <m:sty m:val="p"/>
              </m:rPr>
              <m:t>M</m:t>
            </m:r>
            <m:r>
              <m:rPr>
                <m:sty m:val="p"/>
              </m:rPr>
              <m:t>R</m:t>
            </m:r>
          </m:e>
          <m:sub>
            <m:r>
              <m:t>i</m:t>
            </m:r>
          </m:sub>
        </m:sSub>
      </m:oMath>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t> </m:t>
          </m:r>
          <m:r>
            <m:rPr>
              <m:sty m:val="p"/>
            </m:rPr>
            <m:t>ln</m:t>
          </m:r>
          <m:sSub>
            <m:e>
              <m:d>
                <m:dPr>
                  <m:begChr m:val="("/>
                  <m:endChr m:val=")"/>
                  <m:sepChr m:val=""/>
                  <m:grow/>
                </m:dPr>
                <m:e>
                  <m:r>
                    <m:t>L</m:t>
                  </m:r>
                </m:e>
              </m:d>
            </m:e>
            <m:sub>
              <m:r>
                <m:t>i</m:t>
              </m:r>
            </m:sub>
          </m:sSub>
          <m:r>
            <m:rPr>
              <m:sty m:val="p"/>
            </m:rPr>
            <m:t>+</m:t>
          </m:r>
          <m:sSub>
            <m:e>
              <m:r>
                <m:t>γ</m:t>
              </m:r>
            </m:e>
            <m:sub>
              <m:r>
                <m:t>2</m:t>
              </m:r>
            </m:sub>
          </m:sSub>
          <m:r>
            <m:t> </m:t>
          </m:r>
          <m:sSub>
            <m:e>
              <m:r>
                <m:rPr>
                  <m:sty m:val="p"/>
                </m:rPr>
                <m:t>A</m:t>
              </m:r>
              <m:r>
                <m:rPr>
                  <m:sty m:val="p"/>
                </m:rPr>
                <m:t>g</m:t>
              </m:r>
              <m:r>
                <m:rPr>
                  <m:sty m:val="p"/>
                </m:rPr>
                <m:t>e</m:t>
              </m:r>
            </m:e>
            <m:sub>
              <m:r>
                <m:t>i</m:t>
              </m:r>
            </m:sub>
          </m:sSub>
          <m:r>
            <m:rPr>
              <m:sty m:val="p"/>
            </m:rPr>
            <m:t>+</m:t>
          </m:r>
          <m:sSub>
            <m:e>
              <m:r>
                <m:t>γ</m:t>
              </m:r>
            </m:e>
            <m:sub>
              <m:r>
                <m:t>3</m:t>
              </m:r>
            </m:sub>
          </m:sSub>
          <m:r>
            <m:t> </m:t>
          </m:r>
          <m:sSub>
            <m:e>
              <m:r>
                <m:rPr>
                  <m:sty m:val="p"/>
                </m:rPr>
                <m:t>O</m:t>
              </m:r>
              <m:r>
                <m:rPr>
                  <m:sty m:val="p"/>
                </m:rPr>
                <m:t>w</m:t>
              </m:r>
              <m:r>
                <m:rPr>
                  <m:sty m:val="p"/>
                </m:rPr>
                <m:t>n</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m:oMath>
              <m:sSub>
                <m:e>
                  <m:r>
                    <m:t>δ</m:t>
                  </m:r>
                </m:e>
                <m:sub>
                  <m:r>
                    <m:t>s</m:t>
                  </m:r>
                </m:sub>
              </m:sSub>
            </m:oMath>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4"/>
    <w:bookmarkStart w:id="125"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10"/>
        </w:numPr>
        <w:pStyle w:val="Compact"/>
      </w:pPr>
      <m:oMath>
        <m:r>
          <m:rPr>
            <m:sty m:val="p"/>
          </m:rPr>
          <m:t>ln</m:t>
        </m:r>
        <m:sSub>
          <m:e>
            <m:r>
              <m:rPr>
                <m:sty m:val="p"/>
              </m:rPr>
              <m:t>L</m:t>
            </m:r>
            <m:r>
              <m:rPr>
                <m:sty m:val="p"/>
              </m:rPr>
              <m:t>P</m:t>
            </m:r>
          </m:e>
          <m:sub>
            <m:r>
              <m:t>i</m:t>
            </m:r>
            <m:r>
              <m:t>t</m:t>
            </m:r>
          </m:sub>
        </m:sSub>
      </m:oMath>
      <w:r>
        <w:t xml:space="preserve">: log năng suất lao động (biến phụ thuộc)</w:t>
      </w:r>
    </w:p>
    <w:p>
      <w:pPr>
        <w:numPr>
          <w:ilvl w:val="0"/>
          <w:numId w:val="1010"/>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centred theo trung bình sóng</w:t>
      </w:r>
    </w:p>
    <w:p>
      <w:pPr>
        <w:numPr>
          <w:ilvl w:val="0"/>
          <w:numId w:val="1010"/>
        </w:numPr>
        <w:pStyle w:val="Compact"/>
      </w:pPr>
      <m:oMath>
        <m:sSubSup>
          <m:e>
            <m:r>
              <m:rPr>
                <m:sty m:val="p"/>
              </m:rPr>
              <m:t>T</m:t>
            </m:r>
            <m:r>
              <m:rPr>
                <m:sty m:val="p"/>
              </m:rPr>
              <m:t>C</m:t>
            </m:r>
            <m:r>
              <m:rPr>
                <m:sty m:val="p"/>
              </m:rPr>
              <m:t>I</m:t>
            </m:r>
          </m:e>
          <m:sub>
            <m:r>
              <m:t>z</m:t>
            </m:r>
            <m:r>
              <m:rPr>
                <m:sty m:val="p"/>
              </m:rPr>
              <m:t>,</m:t>
            </m:r>
            <m:r>
              <m:t>i</m:t>
            </m:r>
            <m:r>
              <m:t>t</m:t>
            </m:r>
          </m:sub>
          <m:sup>
            <m:r>
              <m:rPr>
                <m:sty m:val="p"/>
              </m:rPr>
              <m:t>f</m:t>
            </m:r>
            <m:r>
              <m:rPr>
                <m:sty m:val="p"/>
              </m:rPr>
              <m:t>u</m:t>
            </m:r>
            <m:r>
              <m:rPr>
                <m:sty m:val="p"/>
              </m:rPr>
              <m:t>l</m:t>
            </m:r>
            <m:r>
              <m:rPr>
                <m:sty m:val="p"/>
              </m:rPr>
              <m:t>l</m:t>
            </m:r>
          </m:sup>
        </m:sSubSup>
      </m:oMath>
      <w:r>
        <w:t xml:space="preserve">: năng lực công nghệ toàn diện, chuẩn hóa z của TB(b8₀₁, e6₀₁, h1₀₁, h8₀₁); mở rộng hơn P3</w:t>
      </w:r>
    </w:p>
    <w:p>
      <w:pPr>
        <w:numPr>
          <w:ilvl w:val="0"/>
          <w:numId w:val="1010"/>
        </w:numPr>
        <w:pStyle w:val="Compact"/>
      </w:pPr>
      <m:oMath>
        <m:sSubSup>
          <m:e>
            <m:r>
              <m:rPr>
                <m:sty m:val="p"/>
              </m:rPr>
              <m:t>D</m:t>
            </m:r>
            <m:r>
              <m:rPr>
                <m:sty m:val="p"/>
              </m:rPr>
              <m:t>A</m:t>
            </m:r>
            <m:r>
              <m:rPr>
                <m:sty m:val="p"/>
              </m:rPr>
              <m:t>I</m:t>
            </m:r>
          </m:e>
          <m:sub>
            <m:r>
              <m:t>i</m:t>
            </m:r>
            <m:r>
              <m:t>t</m:t>
            </m:r>
          </m:sub>
          <m:sup>
            <m:r>
              <m:rPr>
                <m:sty m:val="p"/>
              </m:rPr>
              <m:t>c</m:t>
            </m:r>
            <m:r>
              <m:rPr>
                <m:sty m:val="p"/>
              </m:rPr>
              <m:t>o</m:t>
            </m:r>
            <m:r>
              <m:rPr>
                <m:sty m:val="p"/>
              </m:rPr>
              <m:t>r</m:t>
            </m:r>
            <m:r>
              <m:rPr>
                <m:sty m:val="p"/>
              </m:rPr>
              <m:t>e</m:t>
            </m:r>
          </m:sup>
        </m:sSubSup>
      </m:oMath>
      <w:r>
        <w:t xml:space="preserve">: chỉ số số hoá cơ bản, chỉ c22b₀₁ (Bậc 1 mỏng, một chỉ báo nhị phân)</w:t>
      </w:r>
    </w:p>
    <w:p>
      <w:pPr>
        <w:numPr>
          <w:ilvl w:val="0"/>
          <w:numId w:val="1010"/>
        </w:numPr>
        <w:pStyle w:val="Compact"/>
      </w:pPr>
      <m:oMath>
        <m:r>
          <m:rPr>
            <m:sty m:val="p"/>
          </m:rPr>
          <m:t>ln</m:t>
        </m:r>
        <m:sSub>
          <m:e>
            <m:r>
              <m:t>L</m:t>
            </m:r>
          </m:e>
          <m:sub>
            <m:r>
              <m:t>i</m:t>
            </m:r>
            <m:r>
              <m:t>t</m:t>
            </m:r>
          </m:sub>
        </m:sSub>
      </m:oMath>
      <w:r>
        <w:t xml:space="preserve"> </w:t>
      </w:r>
      <w:r>
        <w:t xml:space="preserve">=</w:t>
      </w:r>
      <w:r>
        <w:t xml:space="preserve"> </w:t>
      </w:r>
      <m:oMath>
        <m:r>
          <m:rPr>
            <m:sty m:val="p"/>
          </m:rPr>
          <m:t>ln</m:t>
        </m:r>
        <m:sSub>
          <m:e>
            <m:d>
              <m:dPr>
                <m:begChr m:val="("/>
                <m:endChr m:val=")"/>
                <m:sepChr m:val=""/>
                <m:grow/>
              </m:dPr>
              <m:e>
                <m:r>
                  <m:t>L</m:t>
                </m:r>
              </m:e>
            </m:d>
          </m:e>
          <m:sub>
            <m:r>
              <m:t>i</m:t>
            </m:r>
            <m:r>
              <m:t>t</m:t>
            </m:r>
          </m:sub>
        </m:sSub>
      </m:oMath>
      <w:r>
        <w:t xml:space="preserve"> </w:t>
      </w:r>
      <w:r>
        <w:t xml:space="preserve">(quy mô),</w:t>
      </w:r>
      <w:r>
        <w:t xml:space="preserve"> </w:t>
      </w:r>
      <m:oMath>
        <m:sSub>
          <m:e>
            <m:r>
              <m:rPr>
                <m:sty m:val="p"/>
              </m:rPr>
              <m:t>A</m:t>
            </m:r>
            <m:r>
              <m:rPr>
                <m:sty m:val="p"/>
              </m:rPr>
              <m:t>g</m:t>
            </m:r>
            <m:r>
              <m:rPr>
                <m:sty m:val="p"/>
              </m:rPr>
              <m:t>e</m:t>
            </m:r>
          </m:e>
          <m:sub>
            <m:r>
              <m:t>i</m:t>
            </m:r>
            <m:r>
              <m:t>t</m:t>
            </m:r>
          </m:sub>
        </m:sSub>
      </m:oMath>
      <w:r>
        <w:t xml:space="preserve"> </w:t>
      </w:r>
      <w:r>
        <w:t xml:space="preserve">(tuổi),</w:t>
      </w:r>
      <w:r>
        <w:t xml:space="preserve"> </w:t>
      </w:r>
      <m:oMath>
        <m:sSub>
          <m:e>
            <m:r>
              <m:rPr>
                <m:sty m:val="p"/>
              </m:rPr>
              <m:t>O</m:t>
            </m:r>
            <m:r>
              <m:rPr>
                <m:sty m:val="p"/>
              </m:rPr>
              <m:t>w</m:t>
            </m:r>
            <m:r>
              <m:rPr>
                <m:sty m:val="p"/>
              </m:rPr>
              <m:t>n</m:t>
            </m:r>
          </m:e>
          <m:sub>
            <m:r>
              <m:t>i</m:t>
            </m:r>
            <m:r>
              <m:t>t</m:t>
            </m:r>
          </m:sub>
        </m:sSub>
      </m:oMath>
      <w:r>
        <w:t xml:space="preserve"> </w:t>
      </w:r>
      <w:r>
        <w:t xml:space="preserve">(sở hữu): biến kiểm soát, gộp trong vector</w:t>
      </w:r>
      <w:r>
        <w:t xml:space="preserve"> </w:t>
      </w:r>
      <w:r>
        <w:rPr>
          <w:bCs/>
          <w:b/>
        </w:rPr>
        <w:t xml:space="preserve">X</w:t>
      </w:r>
      <w:r>
        <w:t xml:space="preserve">_it</w:t>
      </w:r>
    </w:p>
    <w:p>
      <w:pPr>
        <w:numPr>
          <w:ilvl w:val="0"/>
          <w:numId w:val="1010"/>
        </w:numPr>
        <w:pStyle w:val="Compact"/>
      </w:pPr>
      <m:oMath>
        <m:sSub>
          <m:e>
            <m:r>
              <m:t>δ</m:t>
            </m:r>
          </m:e>
          <m:sub>
            <m:r>
              <m:t>s</m:t>
            </m:r>
          </m:sub>
        </m:sSub>
      </m:oMath>
      <w:r>
        <w:t xml:space="preserve">: ngành hiệu ứng cố định;</w:t>
      </w:r>
      <w:r>
        <w:t xml:space="preserve"> </w:t>
      </w:r>
      <m:oMath>
        <m:sSub>
          <m:e>
            <m:r>
              <m:t>λ</m:t>
            </m:r>
          </m:e>
          <m:sub>
            <m:r>
              <m:t>t</m:t>
            </m:r>
          </m:sub>
        </m:sSub>
      </m:oMath>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m:oMath>
              <m:sSub>
                <m:e>
                  <m:r>
                    <m:t>δ</m:t>
                  </m:r>
                </m:e>
                <m:sub>
                  <m:r>
                    <m:t>s</m:t>
                  </m:r>
                </m:sub>
              </m:sSub>
            </m:oMath>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125"/>
    <w:bookmarkStart w:id="131"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11"/>
        </w:numPr>
        <w:pStyle w:val="Compact"/>
      </w:pPr>
      <m:oMath>
        <m:r>
          <m:rPr>
            <m:sty m:val="p"/>
          </m:rPr>
          <m:t>ln</m:t>
        </m:r>
        <m:sSub>
          <m:e>
            <m:r>
              <m:rPr>
                <m:sty m:val="p"/>
              </m:rPr>
              <m:t>L</m:t>
            </m:r>
            <m:r>
              <m:rPr>
                <m:sty m:val="p"/>
              </m:rPr>
              <m:t>P</m:t>
            </m:r>
          </m:e>
          <m:sub>
            <m:r>
              <m:t>i</m:t>
            </m:r>
            <m:r>
              <m:t>t</m:t>
            </m:r>
          </m:sub>
        </m:sSub>
      </m:oMath>
      <w:r>
        <w:t xml:space="preserve">: ln(năng suất lao động) = ln(doanh thu / lao động thường trực), biến phụ thuộc</w:t>
      </w:r>
    </w:p>
    <w:p>
      <w:pPr>
        <w:numPr>
          <w:ilvl w:val="0"/>
          <w:numId w:val="1011"/>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mean-centred,</w:t>
      </w:r>
      <w:r>
        <w:t xml:space="preserve"> </w:t>
      </w:r>
      <m:oMath>
        <m:sSub>
          <m:e>
            <m:r>
              <m:rPr>
                <m:sty m:val="p"/>
              </m:rPr>
              <m:t>F</m:t>
            </m:r>
            <m:r>
              <m:rPr>
                <m:sty m:val="p"/>
              </m:rPr>
              <m:t>S</m:t>
            </m:r>
            <m:r>
              <m:rPr>
                <m:sty m:val="p"/>
              </m:rPr>
              <m:t>T</m:t>
            </m:r>
            <m:r>
              <m:rPr>
                <m:sty m:val="p"/>
              </m:rPr>
              <m:t>S</m:t>
            </m:r>
          </m:e>
          <m:sub>
            <m:r>
              <m:t>c</m:t>
            </m:r>
          </m:sub>
        </m:sSub>
      </m:oMath>
      <w:r>
        <w:t xml:space="preserve"> </w:t>
      </w:r>
      <w:r>
        <w:t xml:space="preserve">= (d3c/100) − mean_pool(FSTS)</w:t>
      </w:r>
    </w:p>
    <w:p>
      <w:pPr>
        <w:numPr>
          <w:ilvl w:val="0"/>
          <w:numId w:val="1011"/>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w:t>
      </w:r>
      <w:r>
        <w:t xml:space="preserve"> </w:t>
      </w:r>
      <m:oMath>
        <m:sSub>
          <m:e>
            <m:r>
              <m:rPr>
                <m:sty m:val="p"/>
              </m:rPr>
              <m:t>F</m:t>
            </m:r>
            <m:r>
              <m:rPr>
                <m:sty m:val="p"/>
              </m:rPr>
              <m:t>S</m:t>
            </m:r>
            <m:r>
              <m:rPr>
                <m:sty m:val="p"/>
              </m:rPr>
              <m:t>T</m:t>
            </m:r>
            <m:r>
              <m:rPr>
                <m:sty m:val="p"/>
              </m:rPr>
              <m:t>S</m:t>
            </m:r>
          </m:e>
          <m:sub>
            <m:r>
              <m:t>c</m:t>
            </m:r>
          </m:sub>
        </m:sSub>
      </m:oMath>
      <w:r>
        <w:t xml:space="preserve"> </w:t>
      </w:r>
      <w:r>
        <w:t xml:space="preserve">bình phương, kiểm định phi tuyến</w:t>
      </w:r>
    </w:p>
    <w:p>
      <w:pPr>
        <w:numPr>
          <w:ilvl w:val="0"/>
          <w:numId w:val="1011"/>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z-standardised,</w:t>
      </w:r>
      <w:r>
        <w:t xml:space="preserve"> </w:t>
      </w:r>
      <m:oMath>
        <m:sSub>
          <m:e>
            <m:r>
              <m:rPr>
                <m:sty m:val="p"/>
              </m:rPr>
              <m:t>T</m:t>
            </m:r>
            <m:r>
              <m:rPr>
                <m:sty m:val="p"/>
              </m:rPr>
              <m:t>C</m:t>
            </m:r>
            <m:r>
              <m:rPr>
                <m:sty m:val="p"/>
              </m:rPr>
              <m:t>I</m:t>
            </m:r>
          </m:e>
          <m:sub>
            <m:r>
              <m:t>z</m:t>
            </m:r>
          </m:sub>
        </m:sSub>
      </m:oMath>
      <w:r>
        <w:t xml:space="preserve"> </w:t>
      </w:r>
      <w:r>
        <w:t xml:space="preserve">= chuẩn hóa z(b8, e6)</w:t>
      </w:r>
    </w:p>
    <w:p>
      <w:pPr>
        <w:numPr>
          <w:ilvl w:val="0"/>
          <w:numId w:val="1011"/>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z-standardised,</w:t>
      </w:r>
      <w:r>
        <w:t xml:space="preserve"> </w:t>
      </w:r>
      <m:oMath>
        <m:sSub>
          <m:e>
            <m:r>
              <m:rPr>
                <m:sty m:val="p"/>
              </m:rPr>
              <m:t>D</m:t>
            </m:r>
            <m:r>
              <m:rPr>
                <m:sty m:val="p"/>
              </m:rPr>
              <m:t>A</m:t>
            </m:r>
            <m:r>
              <m:rPr>
                <m:sty m:val="p"/>
              </m:rPr>
              <m:t>I</m:t>
            </m:r>
          </m:e>
          <m:sub>
            <m:r>
              <m:t>z</m:t>
            </m:r>
          </m:sub>
        </m:sSub>
      </m:oMath>
      <w:r>
        <w:t xml:space="preserve"> </w:t>
      </w:r>
      <w:r>
        <w:t xml:space="preserve">= chuẩn hóa z(website + e-pay, Bậc 1 và 2: c22b/e1, k33)</w:t>
      </w:r>
    </w:p>
    <w:p>
      <w:pPr>
        <w:numPr>
          <w:ilvl w:val="0"/>
          <w:numId w:val="1011"/>
        </w:numPr>
        <w:pStyle w:val="Compact"/>
      </w:pPr>
      <m:oMath>
        <m:sSub>
          <m:e>
            <m:r>
              <m:rPr>
                <m:sty m:val="p"/>
              </m:rPr>
              <m:t>M</m:t>
            </m:r>
            <m:r>
              <m:rPr>
                <m:sty m:val="p"/>
              </m:rPr>
              <m:t>g</m:t>
            </m:r>
            <m:r>
              <m:rPr>
                <m:sty m:val="p"/>
              </m:rPr>
              <m:t>r</m:t>
            </m:r>
            <m:r>
              <m:rPr>
                <m:sty m:val="p"/>
              </m:rPr>
              <m:t>E</m:t>
            </m:r>
            <m:r>
              <m:rPr>
                <m:sty m:val="p"/>
              </m:rPr>
              <m:t>x</m:t>
            </m:r>
            <m:r>
              <m:rPr>
                <m:sty m:val="p"/>
              </m:rPr>
              <m:t>p</m:t>
            </m:r>
          </m:e>
          <m:sub>
            <m:r>
              <m:t>i</m:t>
            </m:r>
            <m:r>
              <m:t>t</m:t>
            </m:r>
          </m:sub>
        </m:sSub>
      </m:oMath>
      <w:r>
        <w:t xml:space="preserve">: kinh nghiệm nhà quản lý trong ngành (năm, b7)</w:t>
      </w:r>
    </w:p>
    <w:p>
      <w:pPr>
        <w:numPr>
          <w:ilvl w:val="0"/>
          <w:numId w:val="1011"/>
        </w:numPr>
        <w:pStyle w:val="Compact"/>
      </w:pPr>
      <m:oMath>
        <m:sSub>
          <m:e>
            <m:r>
              <m:rPr>
                <m:sty m:val="p"/>
              </m:rPr>
              <m:t>M</m:t>
            </m:r>
            <m:r>
              <m:rPr>
                <m:sty m:val="p"/>
              </m:rPr>
              <m:t>g</m:t>
            </m:r>
            <m:r>
              <m:rPr>
                <m:sty m:val="p"/>
              </m:rPr>
              <m:t>r</m:t>
            </m:r>
            <m:r>
              <m:rPr>
                <m:sty m:val="p"/>
              </m:rPr>
              <m:t>F</m:t>
            </m:r>
            <m:r>
              <m:rPr>
                <m:sty m:val="p"/>
              </m:rPr>
              <m:t>e</m:t>
            </m:r>
            <m:r>
              <m:rPr>
                <m:sty m:val="p"/>
              </m:rPr>
              <m:t>m</m:t>
            </m:r>
          </m:e>
          <m:sub>
            <m:r>
              <m:t>i</m:t>
            </m:r>
            <m:r>
              <m:t>t</m:t>
            </m:r>
          </m:sub>
        </m:sSub>
      </m:oMath>
      <w:r>
        <w:t xml:space="preserve">: top manager là nữ (binary, b7a/b6a)</w:t>
      </w:r>
    </w:p>
    <w:p>
      <w:pPr>
        <w:numPr>
          <w:ilvl w:val="0"/>
          <w:numId w:val="1011"/>
        </w:numPr>
        <w:pStyle w:val="Compact"/>
      </w:pPr>
      <m:oMath>
        <m:sSub>
          <m:e>
            <m:r>
              <m:rPr>
                <m:sty m:val="p"/>
              </m:rPr>
              <m:t>I</m:t>
            </m:r>
            <m:r>
              <m:rPr>
                <m:sty m:val="p"/>
              </m:rPr>
              <m:t>C</m:t>
            </m:r>
            <m:r>
              <m:rPr>
                <m:sty m:val="p"/>
              </m:rPr>
              <m:t>R</m:t>
            </m:r>
            <m:r>
              <m:rPr>
                <m:sty m:val="p"/>
              </m:rPr>
              <m:t>V</m:t>
            </m:r>
          </m:e>
          <m:sub>
            <m:r>
              <m:t>j</m:t>
            </m:r>
          </m:sub>
        </m:sSub>
      </m:oMath>
      <w:r>
        <w:t xml:space="preserve">: phân loại chế độ thể chế ICRV (integer 1–6, Advanced sang SIDS)</w:t>
      </w:r>
    </w:p>
    <w:p>
      <w:pPr>
        <w:numPr>
          <w:ilvl w:val="0"/>
          <w:numId w:val="1011"/>
        </w:numPr>
        <w:pStyle w:val="Compact"/>
      </w:pPr>
      <m:oMath>
        <m:r>
          <m:rPr>
            <m:sty m:val="p"/>
          </m:rPr>
          <m:t>ln</m:t>
        </m:r>
        <m:sSub>
          <m:e>
            <m:r>
              <m:t>L</m:t>
            </m:r>
          </m:e>
          <m:sub>
            <m:r>
              <m:t>i</m:t>
            </m:r>
            <m:r>
              <m:t>t</m:t>
            </m:r>
          </m:sub>
        </m:sSub>
      </m:oMath>
      <w:r>
        <w:t xml:space="preserve">: ln(lao động thường trực), kiểm soát quy mô doanh nghiệp</w:t>
      </w:r>
    </w:p>
    <w:p>
      <w:pPr>
        <w:numPr>
          <w:ilvl w:val="0"/>
          <w:numId w:val="1011"/>
        </w:numPr>
        <w:pStyle w:val="Compact"/>
      </w:pPr>
      <m:oMath>
        <m:sSub>
          <m:e>
            <m:r>
              <m:rPr>
                <m:sty m:val="p"/>
              </m:rPr>
              <m:t>A</m:t>
            </m:r>
            <m:r>
              <m:rPr>
                <m:sty m:val="p"/>
              </m:rPr>
              <m:t>g</m:t>
            </m:r>
            <m:r>
              <m:rPr>
                <m:sty m:val="p"/>
              </m:rPr>
              <m:t>e</m:t>
            </m:r>
          </m:e>
          <m:sub>
            <m:r>
              <m:t>i</m:t>
            </m:r>
            <m:r>
              <m:t>t</m:t>
            </m:r>
          </m:sub>
        </m:sSub>
      </m:oMath>
      <w:r>
        <w:t xml:space="preserve">: tuổi doanh nghiệp (năm_khảo_sát − b5)</w:t>
      </w:r>
    </w:p>
    <w:p>
      <w:pPr>
        <w:numPr>
          <w:ilvl w:val="0"/>
          <w:numId w:val="1011"/>
        </w:numPr>
        <w:pStyle w:val="Compact"/>
      </w:pPr>
      <m:oMath>
        <m:sSub>
          <m:e>
            <m:r>
              <m:rPr>
                <m:sty m:val="p"/>
              </m:rPr>
              <m:t>O</m:t>
            </m:r>
            <m:r>
              <m:rPr>
                <m:sty m:val="p"/>
              </m:rPr>
              <m:t>w</m:t>
            </m:r>
            <m:r>
              <m:rPr>
                <m:sty m:val="p"/>
              </m:rPr>
              <m:t>n</m:t>
            </m:r>
          </m:e>
          <m:sub>
            <m:r>
              <m:t>i</m:t>
            </m:r>
            <m:r>
              <m:t>t</m:t>
            </m:r>
          </m:sub>
        </m:sSub>
      </m:oMath>
      <w:r>
        <w:t xml:space="preserve">: tỷ lệ sở hữu nước ngoài (b6a/100)</w:t>
      </w:r>
    </w:p>
    <w:p>
      <w:pPr>
        <w:numPr>
          <w:ilvl w:val="0"/>
          <w:numId w:val="1011"/>
        </w:numPr>
        <w:pStyle w:val="Compact"/>
      </w:pPr>
      <m:oMath>
        <m:sSub>
          <m:e>
            <m:r>
              <m:t>δ</m:t>
            </m:r>
          </m:e>
          <m:sub>
            <m:r>
              <m:t>c</m:t>
            </m:r>
            <m:r>
              <m:t>t</m:t>
            </m:r>
          </m:sub>
        </m:sSub>
      </m:oMath>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c</m:t>
                  </m:r>
                  <m:r>
                    <m:t>t</m:t>
                  </m:r>
                </m:sub>
              </m:sSub>
            </m:oMath>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126"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m:oMath>
              <m:r>
                <m:rPr>
                  <m:sty m:val="p"/>
                </m:rPr>
                <m:t>ln</m:t>
              </m:r>
              <m:r>
                <m:rPr>
                  <m:sty m:val="p"/>
                </m:rPr>
                <m:t>L</m:t>
              </m:r>
              <m:r>
                <m:rPr>
                  <m:sty m:val="p"/>
                </m:rPr>
                <m:t>P</m:t>
              </m:r>
            </m:oMath>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w:t>
            </w:r>
            <w:r>
              <w:t xml:space="preserve"> </w:t>
            </w:r>
            <m:oMath>
              <m:sSub>
                <m:e>
                  <m:r>
                    <m:rPr>
                      <m:sty m:val="p"/>
                    </m:rPr>
                    <m:t>F</m:t>
                  </m:r>
                  <m:r>
                    <m:rPr>
                      <m:sty m:val="p"/>
                    </m:rPr>
                    <m:t>S</m:t>
                  </m:r>
                  <m:r>
                    <m:rPr>
                      <m:sty m:val="p"/>
                    </m:rPr>
                    <m:t>T</m:t>
                  </m:r>
                  <m:r>
                    <m:rPr>
                      <m:sty m:val="p"/>
                    </m:rPr>
                    <m:t>S</m:t>
                  </m:r>
                </m:e>
                <m:sub>
                  <m:r>
                    <m:t>c</m:t>
                  </m:r>
                </m:sub>
              </m:sSub>
            </m:oMath>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m:oMath>
              <m:r>
                <m:rPr>
                  <m:sty m:val="p"/>
                </m:rPr>
                <m:t>ln</m:t>
              </m:r>
              <m:r>
                <m:t>L</m:t>
              </m:r>
            </m:oMath>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m:oMath>
              <m:sSub>
                <m:e>
                  <m:r>
                    <m:t>δ</m:t>
                  </m:r>
                </m:e>
                <m:sub>
                  <m:r>
                    <m:t>c</m:t>
                  </m:r>
                </m:sub>
              </m:sSub>
            </m:oMath>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m:oMath>
              <m:sSub>
                <m:e>
                  <m:r>
                    <m:t>λ</m:t>
                  </m:r>
                </m:e>
                <m:sub>
                  <m:r>
                    <m:t>t</m:t>
                  </m:r>
                </m:sub>
              </m:sSub>
            </m:oMath>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m:oMath>
              <m:sSub>
                <m:e>
                  <m:r>
                    <m:t>δ</m:t>
                  </m:r>
                </m:e>
                <m:sub>
                  <m:r>
                    <m:t>c</m:t>
                  </m:r>
                </m:sub>
              </m:sSub>
            </m:oMath>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bCs/>
          <w:b/>
        </w:rPr>
        <w:t xml:space="preserve">Cảnh báo công suất thống kê và phạm vi suy luận.</w:t>
      </w:r>
      <w:r>
        <w:t xml:space="preserve"> </w:t>
      </w:r>
      <w:r>
        <w:t xml:space="preserve">Mẫu Nghiên cứu 8 nhỏ và phân tán cao:</w:t>
      </w:r>
      <w:r>
        <w:t xml:space="preserve"> </w:t>
      </w:r>
      <m:oMath>
        <m:r>
          <m:t>N</m:t>
        </m:r>
        <m:r>
          <m:rPr>
            <m:sty m:val="p"/>
          </m:rPr>
          <m:t>=</m:t>
        </m:r>
        <m:r>
          <m:t>1.450</m:t>
        </m:r>
      </m:oMath>
      <w:r>
        <w:t xml:space="preserve"> </w:t>
      </w:r>
      <w:r>
        <w:t xml:space="preserve">trải trên 7 nền kinh tế phân cụm, trong đó chỉ 212 doanh nghiệp có hoạt động xuất khẩu (14,6%) và độ phân tán năng suất là cao nhất toàn mẫu gộp (độ lệch chuẩn ln(LP) ≈ 1,40; tỷ số P90/P10 ≈ 27 lần). Với cỡ mẫu xuất khẩu hữu hiệu nhỏ như vậy, công suất thống kê để phát hiện một độ cong bậc hai ở mức ý nghĩa thông thường ước tính</w:t>
      </w:r>
      <w:r>
        <w:t xml:space="preserve"> </w:t>
      </w:r>
      <w:r>
        <w:rPr>
          <w:bCs/>
          <w:b/>
        </w:rPr>
        <w:t xml:space="preserve">dưới 20%</w:t>
      </w:r>
      <w:r>
        <w:t xml:space="preserve">, nên việc các số hạng FSTS và</w:t>
      </w:r>
      <w:r>
        <w:t xml:space="preserve"> </w:t>
      </w:r>
      <m:oMath>
        <m:sSup>
          <m:e>
            <m:r>
              <m:rPr>
                <m:nor/>
                <m:sty m:val="p"/>
              </m:rPr>
              <m:t>FSTS</m:t>
            </m:r>
          </m:e>
          <m:sup>
            <m:r>
              <m:t>2</m:t>
            </m:r>
          </m:sup>
        </m:sSup>
      </m:oMath>
      <w:r>
        <w:t xml:space="preserve"> </w:t>
      </w:r>
      <w:r>
        <w:t xml:space="preserve">mất ý nghĩa khi đưa vào đồng thời cần được đọc là</w:t>
      </w:r>
      <w:r>
        <w:t xml:space="preserve"> </w:t>
      </w:r>
      <w:r>
        <w:rPr>
          <w:bCs/>
          <w:b/>
        </w:rPr>
        <w:t xml:space="preserve">thiếu công suất</w:t>
      </w:r>
      <w:r>
        <w:t xml:space="preserve">, không phải bằng chứng khẳng định không có quan hệ. Do đó FIP được định vị là phát hiện</w:t>
      </w:r>
      <w:r>
        <w:t xml:space="preserve"> </w:t>
      </w:r>
      <w:r>
        <w:rPr>
          <w:bCs/>
          <w:b/>
        </w:rPr>
        <w:t xml:space="preserve">sinh giả thuyết (hypothesis-generating)</w:t>
      </w:r>
      <w:r>
        <w:t xml:space="preserve"> </w:t>
      </w:r>
      <w:r>
        <w:t xml:space="preserve">hơn là</w:t>
      </w:r>
      <w:r>
        <w:t xml:space="preserve"> </w:t>
      </w:r>
      <w:r>
        <w:rPr>
          <w:bCs/>
          <w:b/>
        </w:rPr>
        <w:t xml:space="preserve">khẳng định giả thuyết</w:t>
      </w:r>
      <w:r>
        <w:t xml:space="preserve">, và hệ số âm</w:t>
      </w:r>
      <w:r>
        <w:t xml:space="preserve"> </w:t>
      </w:r>
      <m:oMath>
        <m:sSub>
          <m:e>
            <m:r>
              <m:t>β</m:t>
            </m:r>
          </m:e>
          <m:sub>
            <m:r>
              <m:t>1</m:t>
            </m:r>
          </m:sub>
        </m:sSub>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được hiểu là nhạy với cách dựng dữ liệu (chỉ vững trên bản dựng gốc N = 959, không trên mẫu đầy đủ bảy nền). Cách đọc thận trọng này được nhắc lại ở phần mở đầu kết quả P8 (Chương 4, Mục 4.7).</w:t>
      </w:r>
    </w:p>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126"/>
    <w:bookmarkStart w:id="127"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mean_wave(FSTS): centred theo đợt</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(mọi đợt); k33 (2025)</w:t>
            </w:r>
          </w:p>
        </w:tc>
        <w:tc>
          <w:tcPr/>
          <w:p>
            <w:pPr>
              <w:pStyle w:val="Compact"/>
              <w:jc w:val="left"/>
            </w:pPr>
            <w:r>
              <w:t xml:space="preserve">chuẩn hóa z(website Bậc 1; + thanh toán điện tử Bậc 2)</w:t>
            </w:r>
          </w:p>
        </w:tc>
        <w:tc>
          <w:tcPr/>
          <w:p>
            <w:pPr>
              <w:pStyle w:val="Compact"/>
              <w:jc w:val="left"/>
            </w:pPr>
            <w:r>
              <w:t xml:space="preserve">Số hoá</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Wave</w:t>
            </w:r>
          </w:p>
        </w:tc>
        <w:tc>
          <w:tcPr/>
          <w:p>
            <w:pPr>
              <w:pStyle w:val="Compact"/>
              <w:jc w:val="left"/>
            </w:pPr>
            <w:r>
              <w:t xml:space="preserve">đợt</w:t>
            </w:r>
          </w:p>
        </w:tc>
        <w:tc>
          <w:tcPr/>
          <w:p>
            <w:pPr>
              <w:pStyle w:val="Compact"/>
              <w:jc w:val="left"/>
            </w:pPr>
            <w:r>
              <w:t xml:space="preserve">biến giả/xu thế đợt khảo sát</w:t>
            </w:r>
          </w:p>
        </w:tc>
        <w:tc>
          <w:tcPr/>
          <w:p>
            <w:pPr>
              <w:pStyle w:val="Compact"/>
              <w:jc w:val="left"/>
            </w:pPr>
            <w:r>
              <w:t xml:space="preserve">thời gian (mô hình gộp)</w:t>
            </w:r>
          </w:p>
        </w:tc>
      </w:tr>
    </w:tbl>
    <w:p>
      <w:pPr>
        <w:pStyle w:val="BodyText"/>
      </w:pPr>
      <w:r>
        <w:rPr>
          <w:bCs/>
          <w:b/>
        </w:rPr>
        <w:t xml:space="preserve">Chuỗi mô hình theo từng đợt M0–M3 (P9):</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sSub>
            <m:e>
              <m:r>
                <m:rPr>
                  <m:sty m:val="p"/>
                </m:rPr>
                <m:t>A</m:t>
              </m:r>
              <m:r>
                <m:rPr>
                  <m:sty m:val="p"/>
                </m:rPr>
                <m:t>g</m:t>
              </m:r>
              <m:r>
                <m:rPr>
                  <m:sty m:val="p"/>
                </m:rPr>
                <m:t>e</m:t>
              </m:r>
            </m:e>
            <m:sub>
              <m:r>
                <m:t>i</m:t>
              </m:r>
            </m:sub>
          </m:sSub>
          <m:r>
            <m:rPr>
              <m:sty m:val="p"/>
            </m:rPr>
            <m:t>+</m:t>
          </m:r>
          <m:sSub>
            <m:e>
              <m:r>
                <m:t>γ</m:t>
              </m:r>
            </m:e>
            <m:sub>
              <m:r>
                <m:t>3</m:t>
              </m:r>
            </m:sub>
          </m:sSub>
          <m:sSub>
            <m:e>
              <m:r>
                <m:rPr>
                  <m:sty m:val="p"/>
                </m:rPr>
                <m:t>O</m:t>
              </m:r>
              <m:r>
                <m:rPr>
                  <m:sty m:val="p"/>
                </m:rPr>
                <m:t>w</m:t>
              </m:r>
              <m:r>
                <m:rPr>
                  <m:sty m:val="p"/>
                </m:rPr>
                <m:t>n</m:t>
              </m:r>
            </m:e>
            <m:sub>
              <m:r>
                <m:t>i</m:t>
              </m:r>
            </m:sub>
          </m:sSub>
          <m:r>
            <m:rPr>
              <m:sty m:val="p"/>
            </m:rPr>
            <m:t>+</m:t>
          </m:r>
          <m:sSub>
            <m:e>
              <m:r>
                <m:t>ε</m:t>
              </m:r>
            </m:e>
            <m:sub>
              <m:r>
                <m:t>i</m:t>
              </m:r>
            </m:sub>
          </m:sSub>
        </m:oMath>
      </m:oMathPara>
    </w:p>
    <w:p>
      <w:pPr>
        <w:pStyle w:val="FirstParagraph"/>
      </w:pPr>
      <w:r>
        <w:t xml:space="preserve">M1 (tuyến tính): thêm cường độ xuất khẩu</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M2 (phi tuyến, kiểm định H1 theo từng đợt):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sSub>
            <m:e>
              <m:r>
                <m:rPr>
                  <m:sty m:val="p"/>
                </m:rPr>
                <m:t>T</m:t>
              </m:r>
              <m:r>
                <m:rPr>
                  <m:sty m:val="p"/>
                </m:rPr>
                <m:t>P</m:t>
              </m:r>
            </m:e>
            <m:sub>
              <m:r>
                <m:t>2014</m:t>
              </m:r>
            </m:sub>
          </m:sSub>
          <m:r>
            <m:rPr>
              <m:sty m:val="p"/>
            </m:rPr>
            <m:t>=</m:t>
          </m:r>
          <m:r>
            <m:t>61</m:t>
          </m:r>
          <m:r>
            <m:rPr>
              <m:sty m:val="p"/>
            </m:rPr>
            <m:t>,</m:t>
          </m:r>
          <m:r>
            <m:t>8</m:t>
          </m:r>
          <m:r>
            <m:rPr>
              <m:sty m:val="p"/>
            </m:rPr>
            <m:t>%</m:t>
          </m:r>
          <m:r>
            <m:rPr>
              <m:sty m:val="p"/>
            </m:rPr>
            <m:t>,</m:t>
          </m:r>
          <m:r>
            <m:t> </m:t>
          </m:r>
          <m:sSub>
            <m:e>
              <m:r>
                <m:rPr>
                  <m:sty m:val="p"/>
                </m:rPr>
                <m:t>T</m:t>
              </m:r>
              <m:r>
                <m:rPr>
                  <m:sty m:val="p"/>
                </m:rPr>
                <m:t>P</m:t>
              </m:r>
            </m:e>
            <m:sub>
              <m:r>
                <m:t>2022</m:t>
              </m:r>
            </m:sub>
          </m:sSub>
          <m:r>
            <m:rPr>
              <m:sty m:val="p"/>
            </m:rPr>
            <m:t>=</m:t>
          </m:r>
          <m:r>
            <m:t>40</m:t>
          </m:r>
          <m:r>
            <m:rPr>
              <m:sty m:val="p"/>
            </m:rPr>
            <m:t>,</m:t>
          </m:r>
          <m:r>
            <m:t>7</m:t>
          </m:r>
          <m:r>
            <m:rPr>
              <m:sty m:val="p"/>
            </m:rPr>
            <m:t>%</m:t>
          </m:r>
          <m:r>
            <m:rPr>
              <m:sty m:val="p"/>
            </m:rPr>
            <m:t>,</m:t>
          </m:r>
          <m:r>
            <m:t> </m:t>
          </m:r>
          <m:r>
            <m:rPr>
              <m:nor/>
              <m:sty m:val="p"/>
            </m:rPr>
            <m:t>tan biến </m:t>
          </m:r>
          <m:r>
            <m:t>2025</m:t>
          </m:r>
          <m:r>
            <m:t> </m:t>
          </m:r>
          <m:d>
            <m:dPr>
              <m:begChr m:val="("/>
              <m:endChr m:val=")"/>
              <m:sepChr m:val=""/>
              <m:grow/>
            </m:dPr>
            <m:e>
              <m:sSub>
                <m:e>
                  <m:r>
                    <m:t>β</m:t>
                  </m:r>
                </m:e>
                <m:sub>
                  <m:r>
                    <m:t>2</m:t>
                  </m:r>
                </m:sub>
              </m:sSub>
              <m:r>
                <m:t> </m:t>
              </m:r>
              <m:r>
                <m:rPr>
                  <m:nor/>
                  <m:sty m:val="p"/>
                </m:rPr>
                <m:t>NS</m:t>
              </m:r>
            </m:e>
          </m:d>
        </m:oMath>
      </m:oMathPara>
    </w:p>
    <w:p>
      <w:pPr>
        <w:pStyle w:val="FirstParagraph"/>
      </w:pPr>
      <w:r>
        <w:t xml:space="preserve">M3 (điều tiết năng lực, kiểm định H2–H3): thêm TCI, DAI và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Kiểm định ổn định ngưỡng xuyên đợt (Paternoster z-test):</w:t>
      </w:r>
      <w:r>
        <w:t xml:space="preserve"> </w:t>
      </w:r>
      <w:r>
        <w:t xml:space="preserve">so sánh cặp hệ số</w:t>
      </w:r>
      <w:r>
        <w:t xml:space="preserve"> </w:t>
      </w:r>
      <m:oMath>
        <m:d>
          <m:dPr>
            <m:begChr m:val="("/>
            <m:endChr m:val=")"/>
            <m:sepChr m:val=""/>
            <m:grow/>
          </m:dPr>
          <m:e>
            <m:sSub>
              <m:e>
                <m:r>
                  <m:t>β</m:t>
                </m:r>
              </m:e>
              <m:sub>
                <m:r>
                  <m:t>1</m:t>
                </m:r>
              </m:sub>
            </m:sSub>
            <m:r>
              <m:rPr>
                <m:sty m:val="p"/>
              </m:rPr>
              <m:t>,</m:t>
            </m:r>
            <m:sSub>
              <m:e>
                <m:r>
                  <m:t>β</m:t>
                </m:r>
              </m:e>
              <m:sub>
                <m:r>
                  <m:t>2</m:t>
                </m:r>
              </m:sub>
            </m:sSub>
          </m:e>
        </m:d>
      </m:oMath>
      <w:r>
        <w:t xml:space="preserve"> </w:t>
      </w:r>
      <w:r>
        <w:t xml:space="preserve">giữa đợt 2014 (tiền-UPI) và đợt 2025 (UPI bão hòa) qua cửa sổ 11 năm chính:</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r>
                    <m:rPr>
                      <m:sty m:val="p"/>
                    </m:rPr>
                    <m:t>S</m:t>
                  </m:r>
                  <m:r>
                    <m:rPr>
                      <m:sty m:val="p"/>
                    </m:rPr>
                    <m:t>E</m:t>
                  </m:r>
                  <m:sSup>
                    <m:e>
                      <m:d>
                        <m:dPr>
                          <m:begChr m:val="("/>
                          <m:endChr m:val=")"/>
                          <m:sepChr m:val=""/>
                          <m:grow/>
                        </m:dPr>
                        <m:e>
                          <m:sSup>
                            <m:e>
                              <m:acc>
                                <m:accPr>
                                  <m:chr m:val="̂"/>
                                </m:accPr>
                                <m:e>
                                  <m:r>
                                    <m:t>β</m:t>
                                  </m:r>
                                </m:e>
                              </m:acc>
                            </m:e>
                            <m:sup>
                              <m:d>
                                <m:dPr>
                                  <m:begChr m:val="("/>
                                  <m:endChr m:val=")"/>
                                  <m:sepChr m:val=""/>
                                  <m:grow/>
                                </m:dPr>
                                <m:e>
                                  <m:r>
                                    <m:t>2025</m:t>
                                  </m:r>
                                </m:e>
                              </m:d>
                            </m:sup>
                          </m:sSup>
                        </m:e>
                      </m:d>
                    </m:e>
                    <m:sup>
                      <m:r>
                        <m:t>2</m:t>
                      </m:r>
                    </m:sup>
                  </m:sSup>
                  <m:r>
                    <m:rPr>
                      <m:sty m:val="p"/>
                    </m:rPr>
                    <m:t>+</m:t>
                  </m:r>
                  <m:r>
                    <m:rPr>
                      <m:sty m:val="p"/>
                    </m:rPr>
                    <m:t>S</m:t>
                  </m:r>
                  <m:r>
                    <m:rPr>
                      <m:sty m:val="p"/>
                    </m:rPr>
                    <m:t>E</m:t>
                  </m:r>
                  <m:sSup>
                    <m:e>
                      <m:d>
                        <m:dPr>
                          <m:begChr m:val="("/>
                          <m:endChr m:val=")"/>
                          <m:sepChr m:val=""/>
                          <m:grow/>
                        </m:dPr>
                        <m:e>
                          <m:sSup>
                            <m:e>
                              <m:acc>
                                <m:accPr>
                                  <m:chr m:val="̂"/>
                                </m:accPr>
                                <m:e>
                                  <m:r>
                                    <m:t>β</m:t>
                                  </m:r>
                                </m:e>
                              </m:acc>
                            </m:e>
                            <m:sup>
                              <m:d>
                                <m:dPr>
                                  <m:begChr m:val="("/>
                                  <m:endChr m:val=")"/>
                                  <m:sepChr m:val=""/>
                                  <m:grow/>
                                </m:dPr>
                                <m:e>
                                  <m:r>
                                    <m:t>2014</m:t>
                                  </m:r>
                                </m:e>
                              </m:d>
                            </m:sup>
                          </m:sSup>
                        </m:e>
                      </m:d>
                    </m:e>
                    <m:sup>
                      <m:r>
                        <m:t>2</m:t>
                      </m:r>
                    </m:sup>
                  </m:sSup>
                </m:e>
              </m:rad>
            </m:den>
          </m:f>
        </m:oMath>
      </m:oMathPara>
    </w:p>
    <w:p>
      <w:pPr>
        <w:pStyle w:val="FirstParagraph"/>
      </w:pPr>
      <m:oMathPara>
        <m:oMathParaPr>
          <m:jc m:val="center"/>
        </m:oMathParaP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r>
            <m:rPr>
              <m:sty m:val="p"/>
            </m:rPr>
            <m:t>,</m:t>
          </m:r>
          <m:r>
            <m:t> </m:t>
          </m:r>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r>
            <m:t> </m:t>
          </m:r>
          <m:d>
            <m:dPr>
              <m:begChr m:val="("/>
              <m:endChr m:val=")"/>
              <m:sepChr m:val=""/>
              <m:grow/>
            </m:dPr>
            <m:e>
              <m:r>
                <m:rPr>
                  <m:nor/>
                  <m:sty m:val="p"/>
                </m:rPr>
                <m:t>HC1, </m:t>
              </m:r>
              <m:r>
                <m:t>p</m:t>
              </m:r>
              <m:r>
                <m:rPr>
                  <m:sty m:val="p"/>
                </m:rPr>
                <m:t>&lt;</m:t>
              </m:r>
              <m:r>
                <m:rPr>
                  <m:sty m:val="p"/>
                </m:rPr>
                <m:t>,</m:t>
              </m:r>
              <m:r>
                <m:t>0001</m:t>
              </m:r>
            </m:e>
          </m:d>
          <m:r>
            <m:rPr>
              <m:sty m:val="p"/>
            </m:rPr>
            <m:t>;</m:t>
          </m:r>
          <m:r>
            <m:t> </m:t>
          </m:r>
          <m:r>
            <m:rPr>
              <m:nor/>
              <m:sty m:val="p"/>
            </m:rPr>
            <m:t>cụm theo bang: </m:t>
          </m:r>
          <m:r>
            <m:t>z</m:t>
          </m:r>
          <m:r>
            <m:rPr>
              <m:sty m:val="p"/>
            </m:rPr>
            <m:t>=</m:t>
          </m:r>
          <m:r>
            <m:rPr>
              <m:sty m:val="p"/>
            </m:rPr>
            <m:t>−</m:t>
          </m:r>
          <m:r>
            <m:t>3</m:t>
          </m:r>
          <m:r>
            <m:rPr>
              <m:sty m:val="p"/>
            </m:rPr>
            <m:t>,</m:t>
          </m:r>
          <m:r>
            <m:t>50</m:t>
          </m:r>
          <m:r>
            <m:rPr>
              <m:sty m:val="p"/>
            </m:rPr>
            <m:t>/</m:t>
          </m:r>
          <m:r>
            <m:rPr>
              <m:sty m:val="p"/>
            </m:rPr>
            <m:t>+</m:t>
          </m:r>
          <m:r>
            <m:t>2</m:t>
          </m:r>
          <m:r>
            <m:rPr>
              <m:sty m:val="p"/>
            </m:rPr>
            <m:t>,</m:t>
          </m:r>
          <m:r>
            <m:t>19</m:t>
          </m:r>
        </m:oMath>
      </m:oMathPara>
    </w:p>
    <w:p>
      <w:pPr>
        <w:pStyle w:val="FirstParagraph"/>
      </w:pPr>
      <w:r>
        <w:rPr>
          <w:iCs/>
          <w:i/>
        </w:rPr>
        <w:t xml:space="preserve">Ghi chú: Sai số chuẩn HC1 (lát cắt ngang theo đợt); riêng kiểm định Paternoster báo cáo song song cả HC1 và cụm theo bang để kiểm tra độ vững suy luận. DAI là Bậc 1 (website) ở mọi đợt và bổ sung Bậc 2 (</w:t>
      </w:r>
      <w:r>
        <w:rPr>
          <w:rStyle w:val="VerbatimChar"/>
          <w:iCs/>
          <w:i/>
        </w:rPr>
        <w:t xml:space="preserve">k33</w:t>
      </w:r>
      <w:r>
        <w:rPr>
          <w:iCs/>
          <w:i/>
        </w:rPr>
        <w:t xml:space="preserve">) chỉ ở 2025 (BREADY), nên điều tiết DAI Bậc 2 là phân tích thăm dò. Mẫu gộp ba đợt</w:t>
      </w:r>
      <w:r>
        <w:rPr>
          <w:iCs/>
          <w:i/>
        </w:rPr>
        <w:t xml:space="preserve"> </w:t>
      </w:r>
      <m:oMath>
        <m:r>
          <m:t>N</m:t>
        </m:r>
        <m:r>
          <m:rPr>
            <m:sty m:val="p"/>
          </m:rPr>
          <m:t>=</m:t>
        </m:r>
        <m:r>
          <m:t>28.717</m:t>
        </m:r>
      </m:oMath>
      <w:r>
        <w:rPr>
          <w:iCs/>
          <w:i/>
        </w:rPr>
        <w:t xml:space="preserve"> </w:t>
      </w:r>
      <w:r>
        <w:rPr>
          <w:iCs/>
          <w:i/>
        </w:rPr>
        <w:t xml:space="preserve">(8.941 / 9.300 / 10.476) dùng cho mô hình xu thế đợt như kiểm định độ vững; kết quả chi tiết tại Chương 4, Mục 4.8.</w:t>
      </w:r>
    </w:p>
    <w:p>
      <w:r>
        <w:pict>
          <v:rect style="width:0;height:1.5pt" o:hralign="center" o:hrstd="t" o:hr="t"/>
        </w:pict>
      </w:r>
    </w:p>
    <w:bookmarkEnd w:id="127"/>
    <w:bookmarkStart w:id="128" w:name="Xaf6de9f3ce9dd2e126d4ad8a18cb74e94ed3202"/>
    <w:p>
      <w:pPr>
        <w:pStyle w:val="Heading4"/>
      </w:pPr>
      <w:r>
        <w:t xml:space="preserve">3.4.5.7 Mô hình cụ thể: Nghiên cứu 10 (Nhật Bản, WBES 2025)</w:t>
      </w:r>
    </w:p>
    <w:p>
      <w:pPr>
        <w:pStyle w:val="FirstParagraph"/>
      </w:pPr>
      <w:r>
        <w:t xml:space="preserve">Nghiên cứu 10 phân tích</w:t>
      </w:r>
      <w:r>
        <w:t xml:space="preserve"> </w:t>
      </w:r>
      <w:r>
        <w:rPr>
          <w:bCs/>
          <w:b/>
        </w:rPr>
        <w:t xml:space="preserve">đợt khảo sát WBES đầu tiên của Nhật Bản (2025)</w:t>
      </w:r>
      <w:r>
        <w:t xml:space="preserve">, với mẫu thô</w:t>
      </w:r>
      <w:r>
        <w:t xml:space="preserve"> </w:t>
      </w:r>
      <m:oMath>
        <m:r>
          <m:t>N</m:t>
        </m:r>
        <m:r>
          <m:rPr>
            <m:sty m:val="p"/>
          </m:rPr>
          <m:t>=</m:t>
        </m:r>
        <m:r>
          <m:t>2.168</m:t>
        </m:r>
      </m:oMath>
      <w:r>
        <w:t xml:space="preserve"> </w:t>
      </w:r>
      <w:r>
        <w:t xml:space="preserve">doanh nghiệp, mẫu phân tích chính</w:t>
      </w:r>
      <w:r>
        <w:t xml:space="preserve"> </w:t>
      </w:r>
      <m:oMath>
        <m:r>
          <m:t>N</m:t>
        </m:r>
        <m:r>
          <m:rPr>
            <m:sty m:val="p"/>
          </m:rPr>
          <m:t>=</m:t>
        </m:r>
        <m:r>
          <m:t>2.047</m:t>
        </m:r>
      </m:oMath>
      <w:r>
        <w:t xml:space="preserve"> </w:t>
      </w:r>
      <w:r>
        <w:t xml:space="preserve">(hồi quy FSTS) và</w:t>
      </w:r>
      <w:r>
        <w:t xml:space="preserve"> </w:t>
      </w:r>
      <m:oMath>
        <m:r>
          <m:t>N</m:t>
        </m:r>
        <m:r>
          <m:rPr>
            <m:sty m:val="p"/>
          </m:rPr>
          <m:t>=</m:t>
        </m:r>
        <m:r>
          <m:t>2.011</m:t>
        </m:r>
      </m:oMath>
      <w:r>
        <w:t xml:space="preserve"> </w:t>
      </w:r>
      <w:r>
        <w:t xml:space="preserve">(phần bù năng suất doanh nghiệp xuất khẩu). Nhật Bản là thành viên thứ sáu của Nhóm I ICRV (tiên tiến đổi mới sáng tạo) và là nền kinh tế có cơ sở lâu đời nhất mẫu gộp (tuổi doanh nghiệp trung bình 50,4 năm). Thiết kế là lát cắt ngang đơn đợt, ước lượng OLS với sai số chuẩn vững HC1 và hiệu ứng cố định ngành (</w:t>
      </w:r>
      <w:r>
        <w:rPr>
          <w:rStyle w:val="VerbatimChar"/>
        </w:rPr>
        <w:t xml:space="preserve">a4a</w:t>
      </w:r>
      <w:r>
        <w:t xml:space="preserve">). Đặc trưng mẫu: cường độ xuất khẩu trung bình rất thấp (FSTS 4,1%), tỷ lệ doanh nghiệp xuất khẩu 16,8%, website đã bão hòa (83,8%), nữ quản lý cấp cao mỏng nhất khu vực (7,3%).</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w:t>
            </w:r>
          </w:p>
        </w:tc>
        <w:tc>
          <w:tcPr/>
          <w:p>
            <w:pPr>
              <w:pStyle w:val="Compact"/>
              <w:jc w:val="left"/>
            </w:pPr>
            <w:r>
              <w:t xml:space="preserve">chuẩn hóa z(website + thanh toán điện tử): Bậc 1 và 2</w:t>
            </w:r>
          </w:p>
        </w:tc>
        <w:tc>
          <w:tcPr/>
          <w:p>
            <w:pPr>
              <w:pStyle w:val="Compact"/>
              <w:jc w:val="left"/>
            </w:pPr>
            <w:r>
              <w:t xml:space="preserve">Số hoá (bão hòa Bậc 1)</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Export</w:t>
            </w:r>
          </w:p>
        </w:tc>
        <w:tc>
          <w:tcPr/>
          <w:p>
            <w:pPr>
              <w:pStyle w:val="Compact"/>
              <w:jc w:val="left"/>
            </w:pPr>
            <w:r>
              <w:t xml:space="preserve">d3c&gt;0</w:t>
            </w:r>
          </w:p>
        </w:tc>
        <w:tc>
          <w:tcPr/>
          <w:p>
            <w:pPr>
              <w:pStyle w:val="Compact"/>
              <w:jc w:val="left"/>
            </w:pPr>
            <w:r>
              <w:t xml:space="preserve">1 nếu doanh nghiệp có xuất khẩu</w:t>
            </w:r>
          </w:p>
        </w:tc>
        <w:tc>
          <w:tcPr/>
          <w:p>
            <w:pPr>
              <w:pStyle w:val="Compact"/>
              <w:jc w:val="left"/>
            </w:pPr>
            <w:r>
              <w:t xml:space="preserve">Biên rộng (tham gia)</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s</m:t>
                  </m:r>
                </m:sub>
              </m:sSub>
            </m:oMath>
          </w:p>
        </w:tc>
        <w:tc>
          <w:tcPr/>
          <w:p>
            <w:pPr>
              <w:pStyle w:val="Compact"/>
              <w:jc w:val="left"/>
            </w:pPr>
            <w:r>
              <w:t xml:space="preserve">a4a</w:t>
            </w:r>
          </w:p>
        </w:tc>
        <w:tc>
          <w:tcPr/>
          <w:p>
            <w:pPr>
              <w:pStyle w:val="Compact"/>
              <w:jc w:val="left"/>
            </w:pPr>
            <w:r>
              <w:t xml:space="preserve">hiệu ứng cố định ngành</w:t>
            </w:r>
          </w:p>
        </w:tc>
        <w:tc>
          <w:tcPr/>
          <w:p>
            <w:pPr>
              <w:pStyle w:val="Compact"/>
              <w:jc w:val="left"/>
            </w:pPr>
            <w:r>
              <w:t xml:space="preserve">hiệu ứng cố định</w:t>
            </w:r>
          </w:p>
        </w:tc>
      </w:tr>
    </w:tbl>
    <w:p>
      <w:pPr>
        <w:pStyle w:val="BodyText"/>
      </w:pPr>
      <w:r>
        <w:rPr>
          <w:bCs/>
          <w:b/>
        </w:rPr>
        <w:t xml:space="preserve">Chuỗi mô hình M1–M5 (P10):</w:t>
      </w:r>
    </w:p>
    <w:p>
      <w:pPr>
        <w:pStyle w:val="BodyText"/>
      </w:pPr>
      <w:r>
        <w:t xml:space="preserve">M1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sSup>
            <m:e>
              <m:r>
                <m:t>671</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2.047</m:t>
              </m:r>
            </m:e>
          </m:d>
        </m:oMath>
      </m:oMathPara>
    </w:p>
    <w:p>
      <w:pPr>
        <w:pStyle w:val="FirstParagraph"/>
      </w:pPr>
      <w:r>
        <w:t xml:space="preserve">M2 (phi tuyến, kiểm định H1):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042</m:t>
              </m:r>
            </m:e>
            <m:sup>
              <m:r>
                <m:rPr>
                  <m:sty m:val="p"/>
                </m:rPr>
                <m:t>*</m:t>
              </m:r>
              <m:r>
                <m:rPr>
                  <m:sty m:val="p"/>
                </m:rPr>
                <m:t>*</m:t>
              </m:r>
            </m:sup>
          </m:sSup>
          <m:r>
            <m:t> </m:t>
          </m:r>
          <m:d>
            <m:dPr>
              <m:begChr m:val="("/>
              <m:endChr m:val=")"/>
              <m:sepChr m:val=""/>
              <m:grow/>
            </m:dPr>
            <m:e>
              <m:r>
                <m:t>p</m:t>
              </m:r>
              <m:r>
                <m:rPr>
                  <m:sty m:val="p"/>
                </m:rPr>
                <m:t>=</m:t>
              </m:r>
              <m:r>
                <m:rPr>
                  <m:sty m:val="p"/>
                </m:rPr>
                <m:t>,</m:t>
              </m:r>
              <m:r>
                <m:t>002</m:t>
              </m:r>
            </m:e>
          </m:d>
          <m:r>
            <m:rPr>
              <m:sty m:val="p"/>
            </m:rPr>
            <m:t>;</m:t>
          </m:r>
          <m:r>
            <m:t> </m:t>
          </m:r>
          <m:sSub>
            <m:e>
              <m:r>
                <m:t>β</m:t>
              </m:r>
            </m:e>
            <m:sub>
              <m:r>
                <m:t>2</m:t>
              </m:r>
            </m:sub>
          </m:sSub>
          <m:r>
            <m:rPr>
              <m:sty m:val="p"/>
            </m:rPr>
            <m:t>=</m:t>
          </m:r>
          <m:r>
            <m:rPr>
              <m:sty m:val="p"/>
            </m:rPr>
            <m:t>−</m:t>
          </m:r>
          <m:r>
            <m:t>0</m:t>
          </m:r>
          <m:r>
            <m:rPr>
              <m:sty m:val="p"/>
            </m:rPr>
            <m:t>,</m:t>
          </m:r>
          <m:r>
            <m:t>606</m:t>
          </m:r>
          <m:r>
            <m:t> </m:t>
          </m:r>
          <m:d>
            <m:dPr>
              <m:begChr m:val="("/>
              <m:endChr m:val=")"/>
              <m:sepChr m:val=""/>
              <m:grow/>
            </m:dPr>
            <m:e>
              <m:r>
                <m:t>p</m:t>
              </m:r>
              <m:r>
                <m:rPr>
                  <m:sty m:val="p"/>
                </m:rPr>
                <m:t>=</m:t>
              </m:r>
              <m:r>
                <m:rPr>
                  <m:sty m:val="p"/>
                </m:rPr>
                <m:t>,</m:t>
              </m:r>
              <m:r>
                <m:t>323</m:t>
              </m:r>
              <m:r>
                <m:rPr>
                  <m:sty m:val="p"/>
                </m:rPr>
                <m:t>,</m:t>
              </m:r>
              <m:r>
                <m:t> </m:t>
              </m:r>
              <m:r>
                <m:rPr>
                  <m:nor/>
                  <m:sty m:val="p"/>
                </m:rPr>
                <m:t>NS</m:t>
              </m:r>
            </m:e>
          </m:d>
          <m:r>
            <m:rPr>
              <m:sty m:val="p"/>
            </m:rPr>
            <m:t>;</m:t>
          </m:r>
          <m:r>
            <m:t> </m:t>
          </m:r>
          <m:r>
            <m:rPr>
              <m:sty m:val="p"/>
            </m:rPr>
            <m:t>T</m:t>
          </m:r>
          <m:r>
            <m:rPr>
              <m:sty m:val="p"/>
            </m:rPr>
            <m:t>P</m:t>
          </m:r>
          <m:r>
            <m:rPr>
              <m:sty m:val="p"/>
            </m:rPr>
            <m:t>=</m:t>
          </m:r>
          <m:d>
            <m:dPr>
              <m:begChr m:val="["/>
              <m:endChr m:val="]"/>
              <m:sepChr m:val=""/>
              <m:grow/>
            </m:dPr>
            <m:e>
              <m:r>
                <m:t>90</m:t>
              </m:r>
              <m:r>
                <m:rPr>
                  <m:sty m:val="p"/>
                </m:rPr>
                <m:t>,</m:t>
              </m:r>
              <m:r>
                <m:t>1</m:t>
              </m:r>
              <m:r>
                <m:rPr>
                  <m:sty m:val="p"/>
                </m:rPr>
                <m:t>%</m:t>
              </m:r>
            </m:e>
          </m:d>
          <m:r>
            <m:t> </m:t>
          </m:r>
          <m:r>
            <m:rPr>
              <m:nor/>
              <m:sty m:val="p"/>
            </m:rPr>
            <m:t>ngoài miền</m:t>
          </m:r>
          <m:r>
            <m:rPr>
              <m:sty m:val="p"/>
            </m:rPr>
            <m:t>⇒</m:t>
          </m:r>
          <m:r>
            <m:rPr>
              <m:nor/>
              <m:sty m:val="p"/>
            </m:rPr>
            <m:t>không có chữ U ngược</m:t>
          </m:r>
        </m:oMath>
      </m:oMathPara>
    </w:p>
    <w:p>
      <w:pPr>
        <w:pStyle w:val="FirstParagraph"/>
      </w:pPr>
      <w:r>
        <w:t xml:space="preserve">M3 (M2 + kiểm soát nhân khẩu); M4 (M3 + TCI, DAI); M5 (M4 + tương tác uốn đường cong):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r>
            <m:t>ε</m:t>
          </m:r>
        </m:oMath>
      </m:oMathPara>
    </w:p>
    <w:p>
      <w:pPr>
        <w:pStyle w:val="FirstParagraph"/>
      </w:pPr>
      <m:oMathPara>
        <m:oMathParaPr>
          <m:jc m:val="center"/>
        </m:oMathParaPr>
        <m:oMath>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rPr>
              <m:sty m:val="p"/>
            </m:rPr>
            <m:t>+</m:t>
          </m:r>
          <m:r>
            <m:t>0</m:t>
          </m:r>
          <m:r>
            <m:rPr>
              <m:sty m:val="p"/>
            </m:rPr>
            <m:t>,</m:t>
          </m:r>
          <m:sSup>
            <m:e>
              <m:r>
                <m:t>100</m:t>
              </m:r>
            </m:e>
            <m:sup>
              <m:r>
                <m:rPr>
                  <m:sty m:val="p"/>
                </m:rPr>
                <m:t>*</m:t>
              </m:r>
              <m:r>
                <m:rPr>
                  <m:sty m:val="p"/>
                </m:rPr>
                <m:t>*</m:t>
              </m:r>
              <m:r>
                <m:rPr>
                  <m:sty m:val="p"/>
                </m:rPr>
                <m:t>*</m:t>
              </m:r>
            </m:sup>
          </m:sSup>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rPr>
              <m:sty m:val="p"/>
            </m:rPr>
            <m:t>+</m:t>
          </m:r>
          <m:r>
            <m:t>0</m:t>
          </m:r>
          <m:r>
            <m:rPr>
              <m:sty m:val="p"/>
            </m:rPr>
            <m:t>,</m:t>
          </m:r>
          <m:sSup>
            <m:e>
              <m:r>
                <m:t>110</m:t>
              </m:r>
            </m:e>
            <m:sup>
              <m:r>
                <m:rPr>
                  <m:sty m:val="p"/>
                </m:rPr>
                <m:t>*</m:t>
              </m:r>
            </m:sup>
          </m:sSup>
          <m:r>
            <m:rPr>
              <m:sty m:val="p"/>
            </m:rPr>
            <m:t>;</m:t>
          </m:r>
          <m:r>
            <m:t> </m:t>
          </m:r>
          <m:r>
            <m:rPr>
              <m:nor/>
              <m:sty m:val="p"/>
            </m:rPr>
            <m:t>tương tác uốn đường cong NS qua M3–M5</m:t>
          </m:r>
        </m:oMath>
      </m:oMathPara>
    </w:p>
    <w:p>
      <w:pPr>
        <w:pStyle w:val="FirstParagraph"/>
      </w:pPr>
      <w:r>
        <w:rPr>
          <w:bCs/>
          <w:b/>
        </w:rPr>
        <w:t xml:space="preserve">Mô hình xác suất tham gia (biên rộng, kiểm định H4):</w:t>
      </w:r>
      <w:r>
        <w:t xml:space="preserve"> </w:t>
      </w:r>
      <w:r>
        <w:t xml:space="preserve">vì đường cường độ phẳng trong miền quan sát, biến thiên có ý nghĩa nằm ở</w:t>
      </w:r>
      <w:r>
        <w:t xml:space="preserve"> </w:t>
      </w:r>
      <w:r>
        <w:rPr>
          <w:iCs/>
          <w:i/>
        </w:rPr>
        <w:t xml:space="preserve">ai</w:t>
      </w:r>
      <w:r>
        <w:t xml:space="preserve"> </w:t>
      </w:r>
      <w:r>
        <w:t xml:space="preserve">xuất khẩu:</w:t>
      </w:r>
    </w:p>
    <w:p>
      <w:pPr>
        <w:pStyle w:val="BodyText"/>
      </w:pPr>
      <m:oMathPara>
        <m:oMathParaPr>
          <m:jc m:val="center"/>
        </m:oMathParaPr>
        <m:oMath>
          <m:r>
            <m:rPr>
              <m:sty m:val="p"/>
            </m:rPr>
            <m:t>Pr</m:t>
          </m:r>
          <m:d>
            <m:dPr>
              <m:begChr m:val="("/>
              <m:endChr m:val=")"/>
              <m:sepChr m:val=""/>
              <m:grow/>
            </m:dPr>
            <m:e>
              <m:sSub>
                <m:e>
                  <m:r>
                    <m:rPr>
                      <m:sty m:val="p"/>
                    </m:rPr>
                    <m:t>E</m:t>
                  </m:r>
                  <m:r>
                    <m:rPr>
                      <m:sty m:val="p"/>
                    </m:rPr>
                    <m:t>x</m:t>
                  </m:r>
                  <m:r>
                    <m:rPr>
                      <m:sty m:val="p"/>
                    </m:rPr>
                    <m:t>p</m:t>
                  </m:r>
                  <m:r>
                    <m:rPr>
                      <m:sty m:val="p"/>
                    </m:rPr>
                    <m:t>o</m:t>
                  </m:r>
                  <m:r>
                    <m:rPr>
                      <m:sty m:val="p"/>
                    </m:rPr>
                    <m:t>r</m:t>
                  </m:r>
                  <m:r>
                    <m:rPr>
                      <m:sty m:val="p"/>
                    </m:rPr>
                    <m:t>t</m:t>
                  </m:r>
                </m:e>
                <m:sub>
                  <m:r>
                    <m:t>i</m:t>
                  </m:r>
                </m:sub>
              </m:sSub>
              <m:r>
                <m:rPr>
                  <m:sty m:val="p"/>
                </m:rPr>
                <m:t>=</m:t>
              </m:r>
              <m:r>
                <m:t>1</m:t>
              </m:r>
            </m:e>
          </m:d>
          <m:r>
            <m:rPr>
              <m:sty m:val="p"/>
            </m:rPr>
            <m:t>=</m:t>
          </m:r>
          <m:r>
            <m:t>α</m:t>
          </m:r>
          <m:r>
            <m:rPr>
              <m:sty m:val="p"/>
            </m:rPr>
            <m:t>+</m:t>
          </m:r>
          <m:sSub>
            <m:e>
              <m:r>
                <m:t>θ</m:t>
              </m:r>
            </m:e>
            <m:sub>
              <m:r>
                <m:t>1</m:t>
              </m:r>
            </m:sub>
          </m:sSub>
          <m:sSub>
            <m:e>
              <m:r>
                <m:rPr>
                  <m:sty m:val="p"/>
                </m:rPr>
                <m:t>O</m:t>
              </m:r>
              <m:r>
                <m:rPr>
                  <m:sty m:val="p"/>
                </m:rPr>
                <m:t>w</m:t>
              </m:r>
              <m:r>
                <m:rPr>
                  <m:sty m:val="p"/>
                </m:rPr>
                <m:t>n</m:t>
              </m:r>
            </m:e>
            <m:sub>
              <m:r>
                <m:t>i</m:t>
              </m:r>
            </m:sub>
          </m:sSub>
          <m:r>
            <m:rPr>
              <m:sty m:val="p"/>
            </m:rPr>
            <m:t>+</m:t>
          </m:r>
          <m:sSub>
            <m:e>
              <m:r>
                <m:t>θ</m:t>
              </m:r>
            </m:e>
            <m:sub>
              <m:r>
                <m:t>2</m:t>
              </m:r>
            </m:sub>
          </m:sSub>
          <m:sSub>
            <m:e>
              <m:r>
                <m:rPr>
                  <m:sty m:val="p"/>
                </m:rPr>
                <m:t>T</m:t>
              </m:r>
              <m:r>
                <m:rPr>
                  <m:sty m:val="p"/>
                </m:rPr>
                <m:t>C</m:t>
              </m:r>
              <m:r>
                <m:rPr>
                  <m:sty m:val="p"/>
                </m:rPr>
                <m:t>I</m:t>
              </m:r>
            </m:e>
            <m:sub>
              <m:r>
                <m:t>z</m:t>
              </m:r>
              <m:r>
                <m:rPr>
                  <m:sty m:val="p"/>
                </m:rPr>
                <m:t>,</m:t>
              </m:r>
              <m:r>
                <m:t>i</m:t>
              </m:r>
            </m:sub>
          </m:sSub>
          <m:r>
            <m:rPr>
              <m:sty m:val="p"/>
            </m:rPr>
            <m:t>+</m:t>
          </m:r>
          <m:sSub>
            <m:e>
              <m:r>
                <m:t>θ</m:t>
              </m:r>
            </m:e>
            <m:sub>
              <m:r>
                <m:t>3</m:t>
              </m:r>
            </m:sub>
          </m:sSub>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b>
            <m:e>
              <m:r>
                <m:t>θ</m:t>
              </m:r>
            </m:e>
            <m:sub>
              <m:r>
                <m:t>1</m:t>
              </m:r>
            </m:sub>
          </m:sSub>
          <m:r>
            <m:t> </m:t>
          </m:r>
          <m:d>
            <m:dPr>
              <m:begChr m:val="("/>
              <m:endChr m:val=")"/>
              <m:sepChr m:val=""/>
              <m:grow/>
            </m:dPr>
            <m:e>
              <m:r>
                <m:rPr>
                  <m:sty m:val="p"/>
                </m:rPr>
                <m:t>O</m:t>
              </m:r>
              <m:r>
                <m:rPr>
                  <m:sty m:val="p"/>
                </m:rPr>
                <m:t>w</m:t>
              </m:r>
              <m:r>
                <m:rPr>
                  <m:sty m:val="p"/>
                </m:rPr>
                <m:t>n</m:t>
              </m:r>
            </m:e>
          </m:d>
          <m:r>
            <m:rPr>
              <m:sty m:val="p"/>
            </m:rPr>
            <m:t>=</m:t>
          </m:r>
          <m:r>
            <m:rPr>
              <m:sty m:val="p"/>
            </m:rPr>
            <m:t>+</m:t>
          </m:r>
          <m:r>
            <m:t>0</m:t>
          </m:r>
          <m:r>
            <m:rPr>
              <m:sty m:val="p"/>
            </m:rPr>
            <m:t>,</m:t>
          </m:r>
          <m:sSup>
            <m:e>
              <m:r>
                <m:t>408</m:t>
              </m:r>
            </m:e>
            <m:sup>
              <m:r>
                <m:rPr>
                  <m:sty m:val="p"/>
                </m:rPr>
                <m:t>*</m:t>
              </m:r>
              <m:r>
                <m:rPr>
                  <m:sty m:val="p"/>
                </m:rPr>
                <m:t>*</m:t>
              </m:r>
              <m:r>
                <m:rPr>
                  <m:sty m:val="p"/>
                </m:rPr>
                <m:t>*</m:t>
              </m:r>
            </m:sup>
          </m:sSup>
          <m:r>
            <m:rPr>
              <m:sty m:val="p"/>
            </m:rPr>
            <m:t>;</m:t>
          </m:r>
          <m:r>
            <m:t> </m:t>
          </m:r>
          <m:sSub>
            <m:e>
              <m:r>
                <m:t>θ</m:t>
              </m:r>
            </m:e>
            <m:sub>
              <m:r>
                <m:t>2</m:t>
              </m:r>
            </m:sub>
          </m:sSub>
          <m:r>
            <m:t> </m:t>
          </m:r>
          <m:d>
            <m:dPr>
              <m:begChr m:val="("/>
              <m:endChr m:val=")"/>
              <m:sepChr m:val=""/>
              <m:grow/>
            </m:dPr>
            <m:e>
              <m:r>
                <m:rPr>
                  <m:sty m:val="p"/>
                </m:rPr>
                <m:t>T</m:t>
              </m:r>
              <m:r>
                <m:rPr>
                  <m:sty m:val="p"/>
                </m:rPr>
                <m:t>C</m:t>
              </m:r>
              <m:r>
                <m:rPr>
                  <m:sty m:val="p"/>
                </m:rPr>
                <m:t>I</m:t>
              </m:r>
            </m:e>
          </m:d>
          <m:r>
            <m:rPr>
              <m:sty m:val="p"/>
            </m:rPr>
            <m:t>=</m:t>
          </m:r>
          <m:r>
            <m:rPr>
              <m:sty m:val="p"/>
            </m:rPr>
            <m:t>+</m:t>
          </m:r>
          <m:r>
            <m:t>0</m:t>
          </m:r>
          <m:r>
            <m:rPr>
              <m:sty m:val="p"/>
            </m:rPr>
            <m:t>,</m:t>
          </m:r>
          <m:sSup>
            <m:e>
              <m:r>
                <m:t>083</m:t>
              </m:r>
            </m:e>
            <m:sup>
              <m:r>
                <m:rPr>
                  <m:sty m:val="p"/>
                </m:rPr>
                <m:t>*</m:t>
              </m:r>
              <m:r>
                <m:rPr>
                  <m:sty m:val="p"/>
                </m:rPr>
                <m:t>*</m:t>
              </m:r>
              <m:r>
                <m:rPr>
                  <m:sty m:val="p"/>
                </m:rPr>
                <m:t>*</m:t>
              </m:r>
            </m:sup>
          </m:sSup>
          <m:r>
            <m:rPr>
              <m:sty m:val="p"/>
            </m:rPr>
            <m:t>;</m:t>
          </m:r>
          <m:r>
            <m:t> </m:t>
          </m:r>
          <m:sSub>
            <m:e>
              <m:r>
                <m:t>θ</m:t>
              </m:r>
            </m:e>
            <m:sub>
              <m:r>
                <m:t>3</m:t>
              </m:r>
            </m:sub>
          </m:sSub>
          <m:r>
            <m:t> </m:t>
          </m:r>
          <m:d>
            <m:dPr>
              <m:begChr m:val="("/>
              <m:endChr m:val=")"/>
              <m:sepChr m:val=""/>
              <m:grow/>
            </m:dPr>
            <m:e>
              <m:r>
                <m:rPr>
                  <m:sty m:val="p"/>
                </m:rPr>
                <m:t>D</m:t>
              </m:r>
              <m:r>
                <m:rPr>
                  <m:sty m:val="p"/>
                </m:rPr>
                <m:t>A</m:t>
              </m:r>
              <m:r>
                <m:rPr>
                  <m:sty m:val="p"/>
                </m:rPr>
                <m:t>I</m:t>
              </m:r>
            </m:e>
          </m:d>
          <m:r>
            <m:rPr>
              <m:sty m:val="p"/>
            </m:rPr>
            <m:t>=</m:t>
          </m:r>
          <m:r>
            <m:rPr>
              <m:sty m:val="p"/>
            </m:rPr>
            <m:t>+</m:t>
          </m:r>
          <m:r>
            <m:t>0</m:t>
          </m:r>
          <m:r>
            <m:rPr>
              <m:sty m:val="p"/>
            </m:rPr>
            <m:t>,</m:t>
          </m:r>
          <m:sSup>
            <m:e>
              <m:r>
                <m:t>046</m:t>
              </m:r>
            </m:e>
            <m:sup>
              <m:r>
                <m:rPr>
                  <m:sty m:val="p"/>
                </m:rPr>
                <m:t>*</m:t>
              </m:r>
              <m:r>
                <m:rPr>
                  <m:sty m:val="p"/>
                </m:rPr>
                <m:t>*</m:t>
              </m:r>
            </m:sup>
          </m:sSup>
          <m:r>
            <m:rPr>
              <m:sty m:val="p"/>
            </m:rPr>
            <m:t>;</m:t>
          </m:r>
          <m:r>
            <m:t> </m:t>
          </m:r>
          <m:sSup>
            <m:e>
              <m:r>
                <m:t>R</m:t>
              </m:r>
            </m:e>
            <m:sup>
              <m:r>
                <m:t>2</m:t>
              </m:r>
            </m:sup>
          </m:sSup>
          <m:r>
            <m:rPr>
              <m:sty m:val="p"/>
            </m:rPr>
            <m:t>=</m:t>
          </m:r>
          <m:r>
            <m:t>0</m:t>
          </m:r>
          <m:r>
            <m:rPr>
              <m:sty m:val="p"/>
            </m:rPr>
            <m:t>,</m:t>
          </m:r>
          <m:r>
            <m:t>228</m:t>
          </m:r>
        </m:oMath>
      </m:oMathPara>
    </w:p>
    <w:p>
      <w:pPr>
        <w:pStyle w:val="FirstParagraph"/>
      </w:pPr>
      <m:oMathPara>
        <m:oMathParaPr>
          <m:jc m:val="center"/>
        </m:oMathParaPr>
        <m:oMath>
          <m:r>
            <m:rPr>
              <m:nor/>
              <m:sty m:val="p"/>
            </m:rPr>
            <m:t>Phần bù năng suất doanh nghiệp xuất khẩu</m:t>
          </m:r>
          <m:r>
            <m:rPr>
              <m:sty m:val="p"/>
            </m:rPr>
            <m:t>=</m:t>
          </m:r>
          <m:r>
            <m:rPr>
              <m:sty m:val="p"/>
            </m:rPr>
            <m:t>+</m:t>
          </m:r>
          <m:r>
            <m:t>0</m:t>
          </m:r>
          <m:r>
            <m:rPr>
              <m:sty m:val="p"/>
            </m:rPr>
            <m:t>,</m:t>
          </m:r>
          <m:sSup>
            <m:e>
              <m:r>
                <m:t>258</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2.011</m:t>
              </m:r>
            </m:e>
          </m:d>
        </m:oMath>
      </m:oMathPara>
    </w:p>
    <w:p>
      <w:pPr>
        <w:pStyle w:val="FirstParagraph"/>
      </w:pPr>
      <w:r>
        <w:rPr>
          <w:iCs/>
          <w:i/>
        </w:rPr>
        <w:t xml:space="preserve">Ghi chú: Sai số chuẩn HC1, hiệu ứng cố định ngành</w:t>
      </w:r>
      <w:r>
        <w:rPr>
          <w:iCs/>
          <w:i/>
        </w:rPr>
        <w:t xml:space="preserve"> </w:t>
      </w:r>
      <w:r>
        <w:rPr>
          <w:rStyle w:val="VerbatimChar"/>
          <w:iCs/>
          <w:i/>
        </w:rPr>
        <w:t xml:space="preserve">a4a</w:t>
      </w:r>
      <w:r>
        <w:rPr>
          <w:iCs/>
          <w:i/>
        </w:rPr>
        <w:t xml:space="preserve">. DAI Bậc 1 và 2 nhưng website đã bão hòa 83,8% nên phần bù DAI bị nén còn khoảng một nửa mức gộp 50 nền. Quan hệ FSTS gần tuyến tính, không có chữ U ngược (Lind–Mehlum NS qua mọi mô hình), nhất quán với cấp nhóm Advanced của Nghiên cứu 7 và với Singapore (P4): ở biên trên phổ thể chế, cơ chế chuyển từ biên cường độ sang biên rộng (tự chọn lọc Melitz 2003). Tái lập:</w:t>
      </w:r>
      <w:r>
        <w:rPr>
          <w:iCs/>
          <w:i/>
        </w:rPr>
        <w:t xml:space="preserve"> </w:t>
      </w:r>
      <w:r>
        <w:rPr>
          <w:rStyle w:val="VerbatimChar"/>
          <w:iCs/>
          <w:i/>
        </w:rPr>
        <w:t xml:space="preserve">p10_japan/replication/p10_japan_models.py</w:t>
      </w:r>
      <w:r>
        <w:rPr>
          <w:iCs/>
          <w:i/>
        </w:rPr>
        <w:t xml:space="preserve">. Kết quả chi tiết tại Chương 4, Mục 4.9.</w:t>
      </w:r>
    </w:p>
    <w:p>
      <w:r>
        <w:pict>
          <v:rect style="width:0;height:1.5pt" o:hralign="center" o:hrstd="t" o:hr="t"/>
        </w:pict>
      </w:r>
    </w:p>
    <w:bookmarkEnd w:id="128"/>
    <w:bookmarkStart w:id="129" w:name="X2dcd08b74b2b6261fe0c7239f3f462d9ebbbd6c"/>
    <w:p>
      <w:pPr>
        <w:pStyle w:val="Heading4"/>
      </w:pPr>
      <w:r>
        <w:t xml:space="preserve">3.4.5.8 Hai nghiên cứu nền tảng: đa quốc gia 17 nền (P1) và doanh nghiệp nhỏ và vừa Trung Quốc (P2)</w:t>
      </w:r>
    </w:p>
    <w:p>
      <w:pPr>
        <w:pStyle w:val="FirstParagraph"/>
      </w:pPr>
      <w:r>
        <w:t xml:space="preserve">Ngoài bảy nghiên cứu đường cong ở trên, hai nghiên cứu nền tảng cung cấp bằng chứng cấp doanh nghiệp định khung cho luận án, được trình bày kết quả tại Chương 4 (Mục 4.1.7 và 4.4.8).</w:t>
      </w:r>
    </w:p>
    <w:p>
      <w:pPr>
        <w:pStyle w:val="BodyText"/>
      </w:pPr>
      <w:r>
        <w:rPr>
          <w:bCs/>
          <w:b/>
        </w:rPr>
        <w:t xml:space="preserve">Nghiên cứu 1 (P1): phân tầng năng suất vùng và hiệu ứng lá chắn số.</w:t>
      </w:r>
      <w:r>
        <w:t xml:space="preserve"> </w:t>
      </w:r>
      <w:r>
        <w:t xml:space="preserve">Mẫu phân tích</w:t>
      </w:r>
      <w:r>
        <w:t xml:space="preserve"> </w:t>
      </w:r>
      <m:oMath>
        <m:r>
          <m:t>N</m:t>
        </m:r>
        <m:r>
          <m:rPr>
            <m:sty m:val="p"/>
          </m:rPr>
          <m:t>=</m:t>
        </m:r>
        <m:r>
          <m:t>40.633</m:t>
        </m:r>
      </m:oMath>
      <w:r>
        <w:t xml:space="preserve"> </w:t>
      </w:r>
      <w:r>
        <w:t xml:space="preserve">doanh nghiệp tại 17 nền kinh tế châu Á (2009–2024), nhóm thành ba cụm vùng: Đại Trung Hoa (5.251), ASEAN (12.068), Nam Á (23.314). Biến phụ thuộc là ln(năng suất lao động) winsorize tại bách phân vị 1 và 99. Thiết kế OLS phân tầng theo khối biến,</w:t>
      </w:r>
      <w:r>
        <w:t xml:space="preserve"> </w:t>
      </w:r>
      <w:r>
        <w:rPr>
          <w:bCs/>
          <w:b/>
        </w:rPr>
        <w:t xml:space="preserve">không có số hạng FSTS</w:t>
      </w:r>
      <w:r>
        <w:t xml:space="preserve"> </w:t>
      </w:r>
      <w:r>
        <w:t xml:space="preserve">(trọng tâm là năng lực và rào cản thể chế, không phải cường độ xuất khẩu). Chuỗi mô hình: M1 chỉ biến vùng; M2 thêm khối năng lực (chấp nhận công nghệ, chứng nhận chất lượng); M3 thêm tương tác rào cản × năng lực.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R</m:t>
              </m:r>
              <m:r>
                <m:rPr>
                  <m:sty m:val="p"/>
                </m:rPr>
                <m:t>e</m:t>
              </m:r>
              <m:r>
                <m:rPr>
                  <m:sty m:val="p"/>
                </m:rPr>
                <m:t>g</m:t>
              </m:r>
              <m:r>
                <m:rPr>
                  <m:sty m:val="p"/>
                </m:rPr>
                <m:t>i</m:t>
              </m:r>
              <m:r>
                <m:rPr>
                  <m:sty m:val="p"/>
                </m:rPr>
                <m:t>o</m:t>
              </m:r>
              <m:r>
                <m:rPr>
                  <m:sty m:val="p"/>
                </m:rPr>
                <m:t>n</m:t>
              </m:r>
            </m:e>
            <m:sub>
              <m:r>
                <m:t>i</m:t>
              </m:r>
            </m:sub>
          </m:sSub>
          <m:r>
            <m:rPr>
              <m:sty m:val="p"/>
            </m:rPr>
            <m:t>+</m:t>
          </m:r>
          <m:sSub>
            <m:e>
              <m:r>
                <m:t>β</m:t>
              </m:r>
            </m:e>
            <m:sub>
              <m:r>
                <m:t>2</m:t>
              </m:r>
            </m:sub>
          </m:sSub>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r>
            <m:rPr>
              <m:sty m:val="p"/>
            </m:rPr>
            <m:t>+</m:t>
          </m:r>
          <m:sSub>
            <m:e>
              <m:r>
                <m:t>β</m:t>
              </m:r>
            </m:e>
            <m:sub>
              <m:r>
                <m:t>3</m:t>
              </m:r>
            </m:sub>
          </m:sSub>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t>β</m:t>
              </m:r>
            </m:e>
            <m:sub>
              <m:r>
                <m:t>4</m:t>
              </m:r>
            </m:sub>
          </m:sSub>
          <m:d>
            <m:dPr>
              <m:begChr m:val="("/>
              <m:endChr m:val=")"/>
              <m:sepChr m:val=""/>
              <m:grow/>
            </m:dPr>
            <m:e>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r>
            <m:t>β</m:t>
          </m:r>
          <m:d>
            <m:dPr>
              <m:begChr m:val="("/>
              <m:endChr m:val=")"/>
              <m:sepChr m:val=""/>
              <m:grow/>
            </m:dPr>
            <m:e>
              <m:r>
                <m:rPr>
                  <m:sty m:val="p"/>
                </m:rPr>
                <m:t>G</m:t>
              </m:r>
              <m:r>
                <m:rPr>
                  <m:sty m:val="p"/>
                </m:rPr>
                <m:t>C</m:t>
              </m:r>
            </m:e>
          </m:d>
          <m:r>
            <m:rPr>
              <m:sty m:val="p"/>
            </m:rPr>
            <m:t>=</m:t>
          </m:r>
          <m:r>
            <m:rPr>
              <m:sty m:val="p"/>
            </m:rPr>
            <m:t>+</m:t>
          </m:r>
          <m:r>
            <m:t>0</m:t>
          </m:r>
          <m:r>
            <m:rPr>
              <m:sty m:val="p"/>
            </m:rPr>
            <m:t>,</m:t>
          </m:r>
          <m:sSup>
            <m:e>
              <m:r>
                <m:t>990</m:t>
              </m:r>
            </m:e>
            <m:sup>
              <m:r>
                <m:rPr>
                  <m:sty m:val="p"/>
                </m:rPr>
                <m:t>*</m:t>
              </m:r>
              <m:r>
                <m:rPr>
                  <m:sty m:val="p"/>
                </m:rPr>
                <m:t>*</m:t>
              </m:r>
              <m:r>
                <m:rPr>
                  <m:sty m:val="p"/>
                </m:rPr>
                <m:t>*</m:t>
              </m:r>
            </m:sup>
          </m:sSup>
          <m:r>
            <m:rPr>
              <m:sty m:val="p"/>
            </m:rPr>
            <m:t>;</m:t>
          </m:r>
          <m:r>
            <m:t> </m:t>
          </m:r>
          <m:r>
            <m:t>β</m:t>
          </m:r>
          <m:d>
            <m:dPr>
              <m:begChr m:val="("/>
              <m:endChr m:val=")"/>
              <m:sepChr m:val=""/>
              <m:grow/>
            </m:dPr>
            <m:e>
              <m:r>
                <m:rPr>
                  <m:sty m:val="p"/>
                </m:rPr>
                <m:t>S</m:t>
              </m:r>
              <m:r>
                <m:rPr>
                  <m:sty m:val="p"/>
                </m:rPr>
                <m:t>A</m:t>
              </m:r>
            </m:e>
          </m:d>
          <m:r>
            <m:rPr>
              <m:sty m:val="p"/>
            </m:rPr>
            <m:t>=</m:t>
          </m:r>
          <m:r>
            <m:rPr>
              <m:sty m:val="p"/>
            </m:rPr>
            <m:t>+</m:t>
          </m:r>
          <m:r>
            <m:t>0</m:t>
          </m:r>
          <m:r>
            <m:rPr>
              <m:sty m:val="p"/>
            </m:rPr>
            <m:t>,</m:t>
          </m:r>
          <m:sSup>
            <m:e>
              <m:r>
                <m:t>506</m:t>
              </m:r>
            </m:e>
            <m:sup>
              <m:r>
                <m:rPr>
                  <m:sty m:val="p"/>
                </m:rPr>
                <m:t>*</m:t>
              </m:r>
              <m:r>
                <m:rPr>
                  <m:sty m:val="p"/>
                </m:rPr>
                <m:t>*</m:t>
              </m:r>
              <m:r>
                <m:rPr>
                  <m:sty m:val="p"/>
                </m:rPr>
                <m:t>*</m:t>
              </m:r>
            </m:sup>
          </m:sSup>
          <m:r>
            <m:rPr>
              <m:sty m:val="p"/>
            </m:rPr>
            <m:t>;</m:t>
          </m:r>
          <m:r>
            <m:t> </m:t>
          </m:r>
          <m:sSup>
            <m:e>
              <m:r>
                <m:t>R</m:t>
              </m:r>
            </m:e>
            <m:sup>
              <m:r>
                <m:t>2</m:t>
              </m:r>
            </m:sup>
          </m:sSup>
          <m:r>
            <m:rPr>
              <m:sty m:val="p"/>
            </m:rPr>
            <m:t>:</m:t>
          </m:r>
          <m:r>
            <m:t>0</m:t>
          </m:r>
          <m:r>
            <m:rPr>
              <m:sty m:val="p"/>
            </m:rPr>
            <m:t>,</m:t>
          </m:r>
          <m:r>
            <m:t>054</m:t>
          </m:r>
          <m:r>
            <m:rPr>
              <m:sty m:val="p"/>
            </m:rPr>
            <m:t>→</m:t>
          </m:r>
          <m:r>
            <m:t>0</m:t>
          </m:r>
          <m:r>
            <m:rPr>
              <m:sty m:val="p"/>
            </m:rPr>
            <m:t>,</m:t>
          </m:r>
          <m:r>
            <m:t>105</m:t>
          </m:r>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e>
          </m:d>
          <m:r>
            <m:rPr>
              <m:sty m:val="p"/>
            </m:rPr>
            <m:t>=</m:t>
          </m:r>
          <m:r>
            <m:rPr>
              <m:sty m:val="p"/>
            </m:rPr>
            <m:t>−</m:t>
          </m:r>
          <m:r>
            <m:t>0</m:t>
          </m:r>
          <m:r>
            <m:rPr>
              <m:sty m:val="p"/>
            </m:rPr>
            <m:t>,</m:t>
          </m:r>
          <m:sSup>
            <m:e>
              <m:r>
                <m:t>076</m:t>
              </m:r>
            </m:e>
            <m:sup>
              <m:r>
                <m:rPr>
                  <m:sty m:val="p"/>
                </m:rPr>
                <m:t>*</m:t>
              </m:r>
              <m:r>
                <m:rPr>
                  <m:sty m:val="p"/>
                </m:rPr>
                <m:t>*</m:t>
              </m:r>
              <m:r>
                <m:rPr>
                  <m:sty m:val="p"/>
                </m:rPr>
                <m:t>*</m:t>
              </m:r>
            </m:sup>
          </m:sSup>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r>
                <m:rPr>
                  <m:sty m:val="p"/>
                </m:rPr>
                <m:t>×</m:t>
              </m:r>
              <m:r>
                <m:rPr>
                  <m:sty m:val="p"/>
                </m:rPr>
                <m:t>T</m:t>
              </m:r>
              <m:r>
                <m:rPr>
                  <m:sty m:val="p"/>
                </m:rPr>
                <m:t>e</m:t>
              </m:r>
              <m:r>
                <m:rPr>
                  <m:sty m:val="p"/>
                </m:rPr>
                <m:t>c</m:t>
              </m:r>
              <m:r>
                <m:rPr>
                  <m:sty m:val="p"/>
                </m:rPr>
                <m:t>h</m:t>
              </m:r>
            </m:e>
          </m:d>
          <m:r>
            <m:rPr>
              <m:sty m:val="p"/>
            </m:rPr>
            <m:t>=</m:t>
          </m:r>
          <m:r>
            <m:rPr>
              <m:sty m:val="p"/>
            </m:rPr>
            <m:t>+</m:t>
          </m:r>
          <m:r>
            <m:t>0</m:t>
          </m:r>
          <m:r>
            <m:rPr>
              <m:sty m:val="p"/>
            </m:rPr>
            <m:t>,</m:t>
          </m:r>
          <m:sSup>
            <m:e>
              <m:r>
                <m:t>110</m:t>
              </m:r>
            </m:e>
            <m:sup>
              <m:r>
                <m:rPr>
                  <m:sty m:val="p"/>
                </m:rPr>
                <m:t>*</m:t>
              </m:r>
              <m:r>
                <m:rPr>
                  <m:sty m:val="p"/>
                </m:rPr>
                <m:t>*</m:t>
              </m:r>
              <m:r>
                <m:rPr>
                  <m:sty m:val="p"/>
                </m:rPr>
                <m:t>*</m:t>
              </m:r>
            </m:sup>
          </m:sSup>
        </m:oMath>
      </m:oMathPara>
    </w:p>
    <w:p>
      <w:pPr>
        <w:pStyle w:val="FirstParagraph"/>
      </w:pPr>
      <w:r>
        <w:t xml:space="preserve">Tương tác dương là bằng chứng định lượng cho</w:t>
      </w:r>
      <w:r>
        <w:t xml:space="preserve"> </w:t>
      </w:r>
      <w:r>
        <w:rPr>
          <w:bCs/>
          <w:b/>
        </w:rPr>
        <w:t xml:space="preserve">hiệu ứng lá chắn số</w:t>
      </w:r>
      <w:r>
        <w:t xml:space="preserve">: chấp nhận công nghệ triệt tiêu phần lớn tổn thất năng suất do rào cản thể chế, đúng theo logic khung CDCM.</w:t>
      </w:r>
    </w:p>
    <w:p>
      <w:pPr>
        <w:pStyle w:val="BodyText"/>
      </w:pPr>
      <w:r>
        <w:rPr>
          <w:bCs/>
          <w:b/>
        </w:rPr>
        <w:t xml:space="preserve">Nghiên cứu 2 (P2): chữ U ngược và bẫy vốn lưu động ở doanh nghiệp nhỏ và vừa Trung Quốc.</w:t>
      </w:r>
      <w:r>
        <w:t xml:space="preserve"> </w:t>
      </w:r>
      <w:r>
        <w:t xml:space="preserve">Mẫu</w:t>
      </w:r>
      <w:r>
        <w:t xml:space="preserve"> </w:t>
      </w:r>
      <m:oMath>
        <m:r>
          <m:t>N</m:t>
        </m:r>
        <m:r>
          <m:rPr>
            <m:sty m:val="p"/>
          </m:rPr>
          <m:t>=</m:t>
        </m:r>
        <m:r>
          <m:t>4.290</m:t>
        </m:r>
      </m:oMath>
      <w:r>
        <w:t xml:space="preserve"> </w:t>
      </w:r>
      <w:r>
        <w:t xml:space="preserve">quan sát doanh nghiệp và năm, doanh nghiệp sản xuất nhỏ và vừa (mã ngành ISIC 15–37). Cường độ xuất khẩu trung bình 23,7% (độ lệch chuẩn 28,4%), 18% doanh nghiệp có FSTS vượt 50%. Ước lượng mô hình bậc hai với hiệu ứng cố định ngành và năm:</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i</m:t>
              </m:r>
              <m:r>
                <m:t>t</m:t>
              </m:r>
            </m:sub>
          </m:sSub>
          <m:r>
            <m:rPr>
              <m:sty m:val="p"/>
            </m:rPr>
            <m:t>+</m:t>
          </m:r>
          <m:sSub>
            <m:e>
              <m:r>
                <m:t>β</m:t>
              </m:r>
            </m:e>
            <m:sub>
              <m:r>
                <m:t>2</m:t>
              </m:r>
            </m:sub>
          </m:sSub>
          <m:sSubSup>
            <m:e>
              <m:r>
                <m:rPr>
                  <m:sty m:val="p"/>
                </m:rPr>
                <m:t>F</m:t>
              </m:r>
              <m:r>
                <m:rPr>
                  <m:sty m:val="p"/>
                </m:rPr>
                <m:t>S</m:t>
              </m:r>
              <m:r>
                <m:rPr>
                  <m:sty m:val="p"/>
                </m:rPr>
                <m:t>T</m:t>
              </m:r>
              <m:r>
                <m:rPr>
                  <m:sty m:val="p"/>
                </m:rPr>
                <m:t>S</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704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sty m:val="p"/>
            </m:rPr>
            <m:t>;</m:t>
          </m:r>
          <m:r>
            <m:t> </m:t>
          </m:r>
          <m:sSub>
            <m:e>
              <m:r>
                <m:t>β</m:t>
              </m:r>
            </m:e>
            <m:sub>
              <m:r>
                <m:t>2</m:t>
              </m:r>
            </m:sub>
          </m:sSub>
          <m:r>
            <m:rPr>
              <m:sty m:val="p"/>
            </m:rPr>
            <m:t>&lt;</m:t>
          </m:r>
          <m:r>
            <m:t>0</m:t>
          </m:r>
          <m:r>
            <m:t> </m:t>
          </m:r>
          <m:d>
            <m:dPr>
              <m:begChr m:val="("/>
              <m:endChr m:val=")"/>
              <m:sepChr m:val=""/>
              <m:grow/>
            </m:dPr>
            <m:e>
              <m:r>
                <m:t>p</m:t>
              </m:r>
              <m:r>
                <m:rPr>
                  <m:sty m:val="p"/>
                </m:rPr>
                <m:t>&lt;</m:t>
              </m:r>
              <m:r>
                <m:rPr>
                  <m:sty m:val="p"/>
                </m:rPr>
                <m:t>,</m:t>
              </m:r>
              <m:r>
                <m:t>001</m:t>
              </m:r>
            </m:e>
          </m:d>
          <m:r>
            <m:rPr>
              <m:sty m:val="p"/>
            </m:rPr>
            <m:t>;</m:t>
          </m:r>
          <m:r>
            <m:t> </m:t>
          </m:r>
          <m:r>
            <m:rPr>
              <m:sty m:val="p"/>
            </m:rPr>
            <m:t>T</m:t>
          </m:r>
          <m:r>
            <m:rPr>
              <m:sty m:val="p"/>
            </m:rPr>
            <m:t>P</m:t>
          </m:r>
          <m:r>
            <m:rPr>
              <m:sty m:val="p"/>
            </m:rPr>
            <m:t>=</m:t>
          </m:r>
          <m:r>
            <m:t>47</m:t>
          </m:r>
          <m:r>
            <m:rPr>
              <m:sty m:val="p"/>
            </m:rPr>
            <m:t>,</m:t>
          </m:r>
          <m:r>
            <m:t>8</m:t>
          </m:r>
          <m:r>
            <m:rPr>
              <m:sty m:val="p"/>
            </m:rPr>
            <m:t>%</m:t>
          </m:r>
          <m:r>
            <m:t> </m:t>
          </m:r>
          <m:r>
            <m:rPr>
              <m:nor/>
              <m:sty m:val="p"/>
            </m:rPr>
            <m:t>(Lind–Mehlum xác nhận)</m:t>
          </m:r>
        </m:oMath>
      </m:oMathPara>
    </w:p>
    <w:p>
      <w:pPr>
        <w:pStyle w:val="FirstParagraph"/>
      </w:pPr>
      <w:r>
        <w:t xml:space="preserve">Điểm uốn 47,8% sát ngưỡng P5 (48,8%) và trong dải vận hành an toàn 30–60% xuyên suốt luận án. Đóng góp đặc thù của P2 là cơ chế nhánh đi xuống:</w:t>
      </w:r>
      <w:r>
        <w:t xml:space="preserve"> </w:t>
      </w:r>
      <w:r>
        <w:rPr>
          <w:bCs/>
          <w:b/>
        </w:rPr>
        <w:t xml:space="preserve">bẫy vốn lưu động</w:t>
      </w:r>
      <w:r>
        <w:t xml:space="preserve"> </w:t>
      </w:r>
      <w:r>
        <w:t xml:space="preserve">(chu kỳ chuyển đổi tiền mặt kéo dài khi cường độ xuất khẩu cao). P2 là kiểm định độc lập, củng cố độ vững của điểm uốn Trung Quốc trên một lát cắt mẫu khác.</w:t>
      </w:r>
    </w:p>
    <w:p>
      <w:pPr>
        <w:pStyle w:val="BodyText"/>
      </w:pPr>
      <w:r>
        <w:rPr>
          <w:iCs/>
          <w:i/>
        </w:rPr>
        <w:t xml:space="preserve">Ghi chú: P1 và P2 là nghiên cứu nền tảng/bổ trợ, không nằm trong chuỗi bảy nghiên cứu đường cong chính nhưng cung cấp neo thực nghiệm cho hai trụ cột của khung CDCM (lá chắn số ở P1; điểm uốn và cơ chế tài chính ở P2). Số hạng FSTS vắng mặt ở P1 do thiết kế tập trung vào phân tầng năng lực vùng.</w:t>
      </w:r>
    </w:p>
    <w:p>
      <w:r>
        <w:pict>
          <v:rect style="width:0;height:1.5pt" o:hralign="center" o:hrstd="t" o:hr="t"/>
        </w:pict>
      </w:r>
    </w:p>
    <w:bookmarkEnd w:id="129"/>
    <w:bookmarkStart w:id="130" w:name="X92626cf16d7ade7145561606a3bab8b2a583963"/>
    <w:p>
      <w:pPr>
        <w:pStyle w:val="Heading4"/>
      </w:pPr>
      <w:r>
        <w:t xml:space="preserve">3.4.5.9 Nghiên cứu tam giác hóa đã công bố: chương sách quản trị cấp cao Ấn Độ (Đỗ và Phan, 2025)</w:t>
      </w:r>
    </w:p>
    <w:p>
      <w:pPr>
        <w:pStyle w:val="FirstParagraph"/>
      </w:pPr>
      <w:r>
        <w:t xml:space="preserve">Một nghiên cứu đã xuất bản của nhóm tác giả (Đỗ và Phan, 2025, IntechOpen, DOI 10.5772/intechopen.1011012) cung cấp bằng chứng tam giác hóa độc lập cho bối cảnh Ấn Độ, tiếp cận từ khung lý thuyết và đặc tả</w:t>
      </w:r>
      <w:r>
        <w:t xml:space="preserve"> </w:t>
      </w:r>
      <w:r>
        <w:rPr>
          <w:bCs/>
          <w:b/>
        </w:rPr>
        <w:t xml:space="preserve">khác hẳn</w:t>
      </w:r>
      <w:r>
        <w:t xml:space="preserve"> </w:t>
      </w:r>
      <w:r>
        <w:t xml:space="preserve">Nghiên cứu 9. Vì hội đồng không thể truy cập toàn văn ấn phẩm này, thiết kế của nó được tóm tắt tại đây để luận án tự chứa.</w:t>
      </w:r>
    </w:p>
    <w:p>
      <w:pPr>
        <w:numPr>
          <w:ilvl w:val="0"/>
          <w:numId w:val="1012"/>
        </w:numPr>
        <w:pStyle w:val="Compact"/>
      </w:pPr>
      <w:r>
        <w:rPr>
          <w:bCs/>
          <w:b/>
        </w:rPr>
        <w:t xml:space="preserve">Biến phụ thuộc</w:t>
      </w:r>
      <w:r>
        <w:t xml:space="preserve">: tỷ suất lợi nhuận trên doanh thu (ROS), trung bình 30,34% (miền −660% đến 98,166%), khác với biến năng suất lao động dạng logarit của Nghiên cứu 9.</w:t>
      </w:r>
    </w:p>
    <w:p>
      <w:pPr>
        <w:numPr>
          <w:ilvl w:val="0"/>
          <w:numId w:val="1012"/>
        </w:numPr>
        <w:pStyle w:val="Compact"/>
      </w:pPr>
      <w:r>
        <w:rPr>
          <w:bCs/>
          <w:b/>
        </w:rPr>
        <w:t xml:space="preserve">Biến độc lập</w:t>
      </w:r>
      <w:r>
        <w:t xml:space="preserve">: mức độ quốc tế hóa (DOI),</w:t>
      </w:r>
      <w:r>
        <w:t xml:space="preserve"> </w:t>
      </w:r>
      <w:r>
        <w:rPr>
          <w:bCs/>
          <w:b/>
        </w:rPr>
        <w:t xml:space="preserve">đặc tả tuyến tính</w:t>
      </w:r>
      <w:r>
        <w:t xml:space="preserve"> </w:t>
      </w:r>
      <w:r>
        <w:t xml:space="preserve">(không bậc hai), trung bình 5,6% (miền 0–100%).</w:t>
      </w:r>
    </w:p>
    <w:p>
      <w:pPr>
        <w:numPr>
          <w:ilvl w:val="0"/>
          <w:numId w:val="1012"/>
        </w:numPr>
        <w:pStyle w:val="Compact"/>
      </w:pPr>
      <w:r>
        <w:rPr>
          <w:bCs/>
          <w:b/>
        </w:rPr>
        <w:t xml:space="preserve">Khung lý thuyết</w:t>
      </w:r>
      <w:r>
        <w:t xml:space="preserve">: mô hình Uppsala (Johanson và Vahlne, 1977) kết hợp lý thuyết thượng tầng quản trị (Upper Echelons; Hambrick và Mason, 1984), khác với khung CDCM của Nghiên cứu 9.</w:t>
      </w:r>
    </w:p>
    <w:p>
      <w:pPr>
        <w:numPr>
          <w:ilvl w:val="0"/>
          <w:numId w:val="1012"/>
        </w:numPr>
        <w:pStyle w:val="Compact"/>
      </w:pPr>
      <w:r>
        <w:rPr>
          <w:bCs/>
          <w:b/>
        </w:rPr>
        <w:t xml:space="preserve">Biến điều tiết</w:t>
      </w:r>
      <w:r>
        <w:t xml:space="preserve">: kinh nghiệm nhà quản trị cấp cao (số năm) và giới tính nữ của nhà quản trị cấp cao.</w:t>
      </w:r>
    </w:p>
    <w:p>
      <w:pPr>
        <w:numPr>
          <w:ilvl w:val="0"/>
          <w:numId w:val="1012"/>
        </w:numPr>
        <w:pStyle w:val="Compact"/>
      </w:pPr>
      <w:r>
        <w:rPr>
          <w:bCs/>
          <w:b/>
        </w:rPr>
        <w:t xml:space="preserve">Phương pháp ước lượng</w:t>
      </w:r>
      <w:r>
        <w:t xml:space="preserve">: bình phương nhỏ nhất tổng quát khả thi (FGLS) trên dữ liệu bảng, xử lý phương sai thay đổi.</w:t>
      </w:r>
    </w:p>
    <w:p>
      <w:pPr>
        <w:numPr>
          <w:ilvl w:val="0"/>
          <w:numId w:val="1012"/>
        </w:numPr>
        <w:pStyle w:val="Compact"/>
      </w:pPr>
      <w:r>
        <w:rPr>
          <w:bCs/>
          <w:b/>
        </w:rPr>
        <w:t xml:space="preserve">Mẫu</w:t>
      </w:r>
      <w:r>
        <w:t xml:space="preserve">:</w:t>
      </w:r>
      <w:r>
        <w:t xml:space="preserve"> </w:t>
      </w:r>
      <m:oMath>
        <m:r>
          <m:t>N</m:t>
        </m:r>
        <m:r>
          <m:rPr>
            <m:sty m:val="p"/>
          </m:rPr>
          <m:t>=</m:t>
        </m:r>
        <m:r>
          <m:t>760</m:t>
        </m:r>
      </m:oMath>
      <w:r>
        <w:t xml:space="preserve"> </w:t>
      </w:r>
      <w:r>
        <w:t xml:space="preserve">quan sát doanh nghiệp và năm = 380 doanh nghiệp × 2 đợt (mẫu con bảng cân đối của WBES Ấn Độ), khác với mẫu đầy đủ ~10.000 doanh nghiệp/đợt của Nghiên cứu 9.</w:t>
      </w:r>
    </w:p>
    <w:p>
      <w:pPr>
        <w:pStyle w:val="FirstParagraph"/>
      </w:pPr>
      <m:oMathPara>
        <m:oMathParaPr>
          <m:jc m:val="center"/>
        </m:oMathParaPr>
        <m:oMath>
          <m:sSub>
            <m:e>
              <m:r>
                <m:rPr>
                  <m:sty m:val="p"/>
                </m:rPr>
                <m:t>R</m:t>
              </m:r>
              <m:r>
                <m:rPr>
                  <m:sty m:val="p"/>
                </m:rPr>
                <m:t>O</m:t>
              </m:r>
              <m:r>
                <m:rPr>
                  <m:sty m:val="p"/>
                </m:rPr>
                <m:t>S</m:t>
              </m:r>
            </m:e>
            <m:sub>
              <m:r>
                <m:t>i</m:t>
              </m:r>
              <m:r>
                <m:t>t</m:t>
              </m:r>
            </m:sub>
          </m:sSub>
          <m:r>
            <m:rPr>
              <m:sty m:val="p"/>
            </m:rPr>
            <m:t>=</m:t>
          </m:r>
          <m:r>
            <m:t>α</m:t>
          </m:r>
          <m:r>
            <m:rPr>
              <m:sty m:val="p"/>
            </m:rPr>
            <m:t>+</m:t>
          </m:r>
          <m:sSub>
            <m:e>
              <m:r>
                <m:t>β</m:t>
              </m:r>
            </m:e>
            <m:sub>
              <m:r>
                <m:t>1</m:t>
              </m:r>
            </m:sub>
          </m:sSub>
          <m:sSub>
            <m:e>
              <m:r>
                <m:rPr>
                  <m:sty m:val="p"/>
                </m:rPr>
                <m:t>D</m:t>
              </m:r>
              <m:r>
                <m:rPr>
                  <m:sty m:val="p"/>
                </m:rPr>
                <m:t>O</m:t>
              </m:r>
              <m:r>
                <m:rPr>
                  <m:sty m:val="p"/>
                </m:rPr>
                <m:t>I</m:t>
              </m:r>
            </m:e>
            <m:sub>
              <m:r>
                <m:t>i</m:t>
              </m:r>
              <m:r>
                <m:t>t</m:t>
              </m:r>
            </m:sub>
          </m:sSub>
          <m:r>
            <m:rPr>
              <m:sty m:val="p"/>
            </m:rPr>
            <m:t>+</m:t>
          </m:r>
          <m:sSub>
            <m:e>
              <m:r>
                <m:t>β</m:t>
              </m:r>
            </m:e>
            <m:sub>
              <m:r>
                <m:t>2</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E</m:t>
                  </m:r>
                  <m:r>
                    <m:rPr>
                      <m:sty m:val="p"/>
                    </m:rPr>
                    <m:t>x</m:t>
                  </m:r>
                  <m:r>
                    <m:rPr>
                      <m:sty m:val="p"/>
                    </m:rPr>
                    <m:t>p</m:t>
                  </m:r>
                </m:e>
                <m:sub>
                  <m:r>
                    <m:t>i</m:t>
                  </m:r>
                  <m:r>
                    <m:t>t</m:t>
                  </m:r>
                </m:sub>
              </m:sSub>
            </m:e>
          </m:d>
          <m:r>
            <m:rPr>
              <m:sty m:val="p"/>
            </m:rPr>
            <m:t>+</m:t>
          </m:r>
          <m:sSub>
            <m:e>
              <m:r>
                <m:t>β</m:t>
              </m:r>
            </m:e>
            <m:sub>
              <m:r>
                <m:t>3</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F</m:t>
                  </m:r>
                  <m:r>
                    <m:rPr>
                      <m:sty m:val="p"/>
                    </m:rPr>
                    <m:t>e</m:t>
                  </m:r>
                  <m:r>
                    <m:rPr>
                      <m:sty m:val="p"/>
                    </m:rPr>
                    <m:t>m</m:t>
                  </m:r>
                </m:e>
                <m:sub>
                  <m:r>
                    <m:t>i</m:t>
                  </m:r>
                  <m:r>
                    <m:t>t</m:t>
                  </m:r>
                </m:sub>
              </m:sSub>
            </m:e>
          </m:d>
          <m:r>
            <m:rPr>
              <m:sty m:val="p"/>
            </m:rPr>
            <m:t>+</m:t>
          </m:r>
          <m:r>
            <m:rPr>
              <m:sty m:val="b"/>
            </m:rPr>
            <m:t>γ</m:t>
          </m:r>
          <m:sSub>
            <m:e>
              <m:r>
                <m:rPr>
                  <m:sty m:val="b"/>
                </m:rPr>
                <m:t>X</m:t>
              </m:r>
            </m:e>
            <m:sub>
              <m:r>
                <m:t>i</m:t>
              </m:r>
              <m:r>
                <m:t>t</m:t>
              </m:r>
            </m:sub>
          </m:sSub>
          <m:r>
            <m:rPr>
              <m:sty m:val="p"/>
            </m:rPr>
            <m:t>+</m:t>
          </m:r>
          <m:sSub>
            <m:e>
              <m:r>
                <m:t>u</m:t>
              </m:r>
            </m:e>
            <m:sub>
              <m:r>
                <m:t>i</m:t>
              </m:r>
              <m:r>
                <m:t>t</m:t>
              </m:r>
            </m:sub>
          </m:sSub>
        </m:oMath>
      </m:oMathPara>
    </w:p>
    <w:p>
      <w:pPr>
        <w:pStyle w:val="FirstParagraph"/>
      </w:pPr>
      <w:r>
        <w:t xml:space="preserve">Kết quả: quốc tế hóa có hiệu ứng tuyến tính</w:t>
      </w:r>
      <w:r>
        <w:t xml:space="preserve"> </w:t>
      </w:r>
      <w:r>
        <w:rPr>
          <w:bCs/>
          <w:b/>
        </w:rPr>
        <w:t xml:space="preserve">âm</w:t>
      </w:r>
      <w:r>
        <w:t xml:space="preserve"> </w:t>
      </w:r>
      <w:r>
        <w:t xml:space="preserve">lên hiệu quả (</w:t>
      </w:r>
      <m:oMath>
        <m:sSub>
          <m:e>
            <m:acc>
              <m:accPr>
                <m:chr m:val="̂"/>
              </m:accPr>
              <m:e>
                <m:r>
                  <m:t>β</m:t>
                </m:r>
              </m:e>
            </m:acc>
          </m:e>
          <m:sub>
            <m:r>
              <m:t>1</m:t>
            </m:r>
          </m:sub>
        </m:sSub>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kinh nghiệm quản trị điều tiết</w:t>
      </w:r>
      <w:r>
        <w:t xml:space="preserve"> </w:t>
      </w:r>
      <w:r>
        <w:rPr>
          <w:bCs/>
          <w:b/>
        </w:rPr>
        <w:t xml:space="preserve">dương</w:t>
      </w:r>
      <w:r>
        <w:t xml:space="preserve"> </w:t>
      </w:r>
      <w:r>
        <w:t xml:space="preserve">(</w:t>
      </w:r>
      <m:oMath>
        <m:sSub>
          <m:e>
            <m:acc>
              <m:accPr>
                <m:chr m:val="̂"/>
              </m:accPr>
              <m:e>
                <m:r>
                  <m:t>β</m:t>
                </m:r>
              </m:e>
            </m:acc>
          </m:e>
          <m:sub>
            <m:r>
              <m:t>2</m:t>
            </m:r>
          </m:sub>
        </m:sSub>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nữ quản trị cấp cao điều tiết</w:t>
      </w:r>
      <w:r>
        <w:t xml:space="preserve"> </w:t>
      </w:r>
      <w:r>
        <w:rPr>
          <w:bCs/>
          <w:b/>
        </w:rPr>
        <w:t xml:space="preserve">dương</w:t>
      </w:r>
      <w:r>
        <w:t xml:space="preserve"> </w:t>
      </w:r>
      <w:r>
        <w:t xml:space="preserve">(</w:t>
      </w:r>
      <m:oMath>
        <m:sSub>
          <m:e>
            <m:acc>
              <m:accPr>
                <m:chr m:val="̂"/>
              </m:accPr>
              <m:e>
                <m:r>
                  <m:t>β</m:t>
                </m:r>
              </m:e>
            </m:acc>
          </m:e>
          <m:sub>
            <m:r>
              <m:t>3</m:t>
            </m:r>
          </m:sub>
        </m:sSub>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Ba mệnh đề đều được ủng hộ.</w:t>
      </w:r>
    </w:p>
    <w:p>
      <w:pPr>
        <w:pStyle w:val="BodyText"/>
      </w:pPr>
      <w:r>
        <w:rPr>
          <w:iCs/>
          <w:i/>
        </w:rPr>
        <w:t xml:space="preserve">Ghi chú: Đây là ấn phẩm đã công bố (prior work), không phải đóng góp mới của luận án. Chồng lấn khái niệm, thực nghiệm và phương pháp với Nghiên cứu 9 gần bằng không (biến phụ thuộc, đặc tả, khung lý thuyết, biến điều tiết, mẫu đều khác); luận án trích dẫn book chapter như bằng chứng tam giác hóa và như công trình tiền nhiệm được công bố minh bạch. Chi tiết khác biệt:</w:t>
      </w:r>
      <w:r>
        <w:rPr>
          <w:iCs/>
          <w:i/>
        </w:rPr>
        <w:t xml:space="preserve"> </w:t>
      </w:r>
      <w:r>
        <w:rPr>
          <w:rStyle w:val="VerbatimChar"/>
          <w:iCs/>
          <w:i/>
        </w:rPr>
        <w:t xml:space="preserve">p9_india/BOOK_CHAPTER_DIFFERENTIATION.md</w:t>
      </w:r>
      <w:r>
        <w:rPr>
          <w:iCs/>
          <w:i/>
        </w:rPr>
        <w:t xml:space="preserve">. Kết quả được tham chiếu tại Chương 4, Mục 4.8.4.</w:t>
      </w:r>
    </w:p>
    <w:bookmarkEnd w:id="130"/>
    <w:bookmarkEnd w:id="131"/>
    <w:bookmarkStart w:id="132"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32"/>
    <w:bookmarkStart w:id="133"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33"/>
    <w:bookmarkEnd w:id="134"/>
    <w:bookmarkStart w:id="146" w:name="kiểm-định-độ-vững"/>
    <w:p>
      <w:pPr>
        <w:pStyle w:val="Heading2"/>
      </w:pPr>
      <w:r>
        <w:t xml:space="preserve">3.5 Kiểm định độ vững</w:t>
      </w:r>
    </w:p>
    <w:bookmarkStart w:id="135"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135"/>
    <w:bookmarkStart w:id="136"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6"/>
    <w:bookmarkStart w:id="137"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7"/>
    <w:bookmarkStart w:id="138"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8"/>
    <w:bookmarkStart w:id="139"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9"/>
    <w:bookmarkStart w:id="140"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40"/>
    <w:bookmarkStart w:id="141"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Sau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không phải bằng chứng nhân quả khẳng định. Mọi suy luận về điều tiết thể chế đều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41"/>
    <w:bookmarkStart w:id="142"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142"/>
    <w:bookmarkStart w:id="143"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43"/>
    <w:bookmarkStart w:id="144"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Chính việc đối chiếu chéo giữa hiệu ứng mức ổn định và hiệu ứng điều tiết không có ý nghĩa – lặp lại qua nhiều nghiên cứu thành phần và nhiều chế độ thể chế – tạo nên cấu trúc bằng chứng giúp luận án phân biệt một quy luật cấu trúc bền vững khỏi một hiệu ứng ngẫu nhiên của mẫu.</w:t>
      </w:r>
    </w:p>
    <w:bookmarkEnd w:id="144"/>
    <w:bookmarkStart w:id="145"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 Một hệ quả của bản chất hợp thành này là luận án không áp dụng các hiệu chỉnh tạo tác đo lường kiểu Schmidt và Hunter, cụ thể là hiệu chỉnh sai số đo lường và hiệu chỉnh giới hạn phạm vi, cho TCI và DAI, bởi những hiệu chỉnh đó được thiết kế cho cấu trúc phản ánh có biến tiềm ẩn chung chứ không phù hợp với chỉ số hợp thành; lưu ý rằng giới hạn này chỉ liên quan đến hai biến điều tiết, trong khi biến phụ thuộc (năng suất lao động) và biến độc lập (cường độ xuất khẩu) là đại lượng quan sát trực tiếp nên cũng không thuộc diện hiệu chỉnh tạo tác.</w:t>
      </w:r>
    </w:p>
    <w:bookmarkEnd w:id="145"/>
    <w:bookmarkEnd w:id="146"/>
    <w:bookmarkStart w:id="14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7"/>
    <w:bookmarkStart w:id="148"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8"/>
    <w:bookmarkStart w:id="149" w:name="chương-4-kết-quả-nghiên-cứu"/>
    <w:p>
      <w:pPr>
        <w:pStyle w:val="Heading1"/>
      </w:pPr>
      <w:r>
        <w:t xml:space="preserve">CHƯƠNG 4: KẾT QUẢ NGHIÊN CỨU</w:t>
      </w:r>
    </w:p>
    <w:bookmarkEnd w:id="149"/>
    <w:p>
      <w:r>
        <w:pict>
          <v:rect style="width:0;height:1.5pt" o:hralign="center" o:hrstd="t" o:hr="t"/>
        </w:pict>
      </w:r>
    </w:p>
    <w:bookmarkStart w:id="150" w:name="giới-thiệu-chương"/>
    <w:p>
      <w:pPr>
        <w:pStyle w:val="Heading2"/>
      </w:pPr>
      <w:r>
        <w:t xml:space="preserve">Giới thiệu chương</w:t>
      </w:r>
    </w:p>
    <w:p>
      <w:pPr>
        <w:pStyle w:val="FirstParagraph"/>
      </w:pPr>
      <w:r>
        <w:t xml:space="preserve">Chương 4 trình bày kết quả nghiên cứu của luận án theo logic đi từ mô tả thực trạng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odyText"/>
      </w:pPr>
      <w:r>
        <w:t xml:space="preserve">Trật tự trình bày này không ngẫu nhiên mà được tổ chức để kiểm chứng luận điểm trọng tâm của luận án theo một lát cắt dọc trên phổ thể chế: rằng thể chế quy định không chỉ độ lớn mà cả dấu và dạng hình của quan hệ quốc tế hóa và hiệu quả. Đi từ Nhóm I (Singapore gần tuyến tính dương) qua Nhóm III (Trung Quốc, điểm uốn ổn định) đến Nhóm IV (Việt Nam, chữ U ngược rõ nét), rồi đối chiếu với toàn mẫu 50 nền (P7) và cực trị Nhóm VI (SIDS), chương này lần lượt phơi bày cách dạng hàm dịch chuyển theo vị trí thể chế và cách toàn bộ họ mô hình chữ U ngược mất cấu trúc tại cực trị, tức điều kiện biên FIP.</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150"/>
    <w:bookmarkStart w:id="180" w:name="Xed285cd0261846a13dee28de69c0403b250498d"/>
    <w:p>
      <w:pPr>
        <w:pStyle w:val="Heading2"/>
      </w:pPr>
      <w:r>
        <w:t xml:space="preserve">4.1 Thực trạng quốc tế hóa và hiệu quả hoạt động kinh doanh tại châu Á</w:t>
      </w:r>
    </w:p>
    <w:bookmarkStart w:id="157"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hiệu quả hoạt động kinh doanh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Chênh lệch giữa các con số này là hệ quả trực tiếp của xóa-theo-danh-sách (listwise deletion) trên tập biến lõi (xem Phụ lục A.9): pool phân loại rộng nhất giữ cả doanh nghiệp thiếu biến năng suất hoặc thể chế, còn mẫu hồi quy chỉ giữ doanh nghiệp có đủ mọi biến mô hình; kiểm định ổn định điểm uốn (Mục 4.6.8) xác nhận các kết luận không bị chi phối bởi cơ chế khuyết.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Việc gộp hai loại Advanced vào một nhóm duy nhất, như các nghiên cứu trước thường làm, do đó che khuất cơ chế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neo phần mô tả vào bằng chứng suy diễn nhất quán, thay vì dừng ở so sánh trung bình và độ lệch chuẩn.</w:t>
      </w:r>
    </w:p>
    <w:p>
      <w:pPr>
        <w:pStyle w:val="CaptionedFigure"/>
      </w:pPr>
      <w:r>
        <w:drawing>
          <wp:inline>
            <wp:extent cx="5753100" cy="3141580"/>
            <wp:effectExtent b="0" l="0" r="0" t="0"/>
            <wp:docPr descr="Hình 4.1. Thành phần mẫu gộp theo nhóm ICRV" title="" id="152" name="Picture"/>
            <a:graphic>
              <a:graphicData uri="http://schemas.openxmlformats.org/drawingml/2006/picture">
                <pic:pic>
                  <pic:nvPicPr>
                    <pic:cNvPr descr="figures/fig_4_1_pool_composition.png" id="153" name="Picture"/>
                    <pic:cNvPicPr>
                      <a:picLocks noChangeArrowheads="1" noChangeAspect="1"/>
                    </pic:cNvPicPr>
                  </pic:nvPicPr>
                  <pic:blipFill>
                    <a:blip r:embed="rId151"/>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5" name="Picture"/>
            <a:graphic>
              <a:graphicData uri="http://schemas.openxmlformats.org/drawingml/2006/picture">
                <pic:pic>
                  <pic:nvPicPr>
                    <pic:cNvPr descr="figures/fig_4_0_pool_by_year.png" id="156" name="Picture"/>
                    <pic:cNvPicPr>
                      <a:picLocks noChangeArrowheads="1" noChangeAspect="1"/>
                    </pic:cNvPicPr>
                  </pic:nvPicPr>
                  <pic:blipFill>
                    <a:blip r:embed="rId154"/>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7"/>
    <w:bookmarkStart w:id="161"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Trung bình cao và Advanced có cùng FSTS trung bình (~10%) nhưng cơ chế xuất khẩu khác hẳn: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9" name="Picture"/>
            <a:graphic>
              <a:graphicData uri="http://schemas.openxmlformats.org/drawingml/2006/picture">
                <pic:pic>
                  <pic:nvPicPr>
                    <pic:cNvPr descr="figures/fig_4_4_growth_pathway.png" id="160" name="Picture"/>
                    <pic:cNvPicPr>
                      <a:picLocks noChangeArrowheads="1" noChangeAspect="1"/>
                    </pic:cNvPicPr>
                  </pic:nvPicPr>
                  <pic:blipFill>
                    <a:blip r:embed="rId158"/>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61"/>
    <w:bookmarkStart w:id="16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Ở SIDS nổi lên khuôn mẫu</w:t>
      </w:r>
      <w:r>
        <w:t xml:space="preserve"> </w:t>
      </w:r>
      <w:r>
        <w:t xml:space="preserve">“</w:t>
      </w:r>
      <w:r>
        <w:t xml:space="preserve">thích nghi và nhảy vọt</w:t>
      </w:r>
      <w:r>
        <w:t xml:space="preserve">”</w:t>
      </w:r>
      <w:r>
        <w:t xml:space="preserve"> </w:t>
      </w:r>
      <w:r>
        <w:t xml:space="preserve">(adaptive leapfrogging):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63" name="Picture"/>
            <a:graphic>
              <a:graphicData uri="http://schemas.openxmlformats.org/drawingml/2006/picture">
                <pic:pic>
                  <pic:nvPicPr>
                    <pic:cNvPr descr="figures/fig_4_6_firm_size.png" id="164" name="Picture"/>
                    <pic:cNvPicPr>
                      <a:picLocks noChangeArrowheads="1" noChangeAspect="1"/>
                    </pic:cNvPicPr>
                  </pic:nvPicPr>
                  <pic:blipFill>
                    <a:blip r:embed="rId162"/>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5"/>
    <w:bookmarkStart w:id="16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6"/>
    <w:bookmarkStart w:id="16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7"/>
    <w:bookmarkStart w:id="177"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Như vậy, quan hệ thô giữa quốc tế hóa và năng suất gần như biến mất ở môi trường thể chế yếu, cho thấy một quan hệ phi tuyến và bị điều tiết chứ không phải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169" name="Picture"/>
            <a:graphic>
              <a:graphicData uri="http://schemas.openxmlformats.org/drawingml/2006/picture">
                <pic:pic>
                  <pic:nvPicPr>
                    <pic:cNvPr descr="figures/fig_icrv_capability_gradient.png" id="170" name="Picture"/>
                    <pic:cNvPicPr>
                      <a:picLocks noChangeArrowheads="1" noChangeAspect="1"/>
                    </pic:cNvPicPr>
                  </pic:nvPicPr>
                  <pic:blipFill>
                    <a:blip r:embed="rId168"/>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72" name="Picture"/>
            <a:graphic>
              <a:graphicData uri="http://schemas.openxmlformats.org/drawingml/2006/picture">
                <pic:pic>
                  <pic:nvPicPr>
                    <pic:cNvPr descr="figures/fig_4_2_productivity_density.png" id="173" name="Picture"/>
                    <pic:cNvPicPr>
                      <a:picLocks noChangeArrowheads="1" noChangeAspect="1"/>
                    </pic:cNvPicPr>
                  </pic:nvPicPr>
                  <pic:blipFill>
                    <a:blip r:embed="rId171"/>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5" name="Picture"/>
            <a:graphic>
              <a:graphicData uri="http://schemas.openxmlformats.org/drawingml/2006/picture">
                <pic:pic>
                  <pic:nvPicPr>
                    <pic:cNvPr descr="figures/fig_4_7_spider_chart.png" id="176" name="Picture"/>
                    <pic:cNvPicPr>
                      <a:picLocks noChangeArrowheads="1" noChangeAspect="1"/>
                    </pic:cNvPicPr>
                  </pic:nvPicPr>
                  <pic:blipFill>
                    <a:blip r:embed="rId174"/>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tương phản về số hóa xuất hiện ngay ở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hệ quả của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7"/>
    <w:bookmarkStart w:id="178"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Kết quả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8"/>
    <w:bookmarkStart w:id="179"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9"/>
    <w:bookmarkEnd w:id="180"/>
    <w:bookmarkStart w:id="189" w:name="X793daa8b2eddd060588462e198e78f93f4f770d"/>
    <w:p>
      <w:pPr>
        <w:pStyle w:val="Heading2"/>
      </w:pPr>
      <w:r>
        <w:t xml:space="preserve">4.2 Kết quả tổng hợp định lượng: phân tích tổng hợp ba tầng (P6)</w:t>
      </w:r>
    </w:p>
    <w:bookmarkStart w:id="181"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(danh sách đầy đủ các nghiên cứu sơ cấp được liệt kê ở Phụ lục D)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81"/>
    <w:bookmarkStart w:id="18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3"/>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3"/>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quan trọng: dị biệt trong tài liệu về quan hệ quốc tế hóa và hiệu quả xuất phát chủ yếu từ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Theo đó, sự không nhất quán trong tài liệu phần lớn là vấn đề</w:t>
      </w:r>
      <w:r>
        <w:t xml:space="preserve"> </w:t>
      </w:r>
      <w:r>
        <w:rPr>
          <w:bCs/>
          <w:b/>
        </w:rPr>
        <w:t xml:space="preserve">đo lường và bối cảnh</w:t>
      </w:r>
      <w:r>
        <w:t xml:space="preserve">, chứ không phản ánh quan hệ nhân quả giữa quốc tế hóa và hiệu quả thiếu nhất quán thực sự.</w:t>
      </w:r>
    </w:p>
    <w:bookmarkEnd w:id="182"/>
    <w:bookmarkStart w:id="183"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Kết quả này xác nhận chế độ thể chế, phân loại từ tiên tiến đổi mới (Nhóm I) đến nhóm biên thể chế yếu nhất, là biến điều tiết có ý nghĩa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83"/>
    <w:bookmarkStart w:id="184"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84"/>
    <w:bookmarkStart w:id="185"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không chỉ là một cảnh báo phương pháp mà còn có hàm ý lý thuyết quan trọng.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5"/>
    <w:bookmarkStart w:id="186"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6"/>
    <w:bookmarkStart w:id="187"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7"/>
    <w:bookmarkStart w:id="188"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8"/>
    <w:bookmarkEnd w:id="189"/>
    <w:bookmarkStart w:id="199" w:name="Xae571c1410747d630a72c4d12985bac375822ae"/>
    <w:p>
      <w:pPr>
        <w:pStyle w:val="Heading2"/>
      </w:pPr>
      <w:r>
        <w:t xml:space="preserve">4.3 Kết quả bối cảnh thể chế tiên tiến đổi mới: Singapore (P4)</w:t>
      </w:r>
    </w:p>
    <w:bookmarkStart w:id="190"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90"/>
    <w:bookmarkStart w:id="191"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91"/>
    <w:bookmarkStart w:id="192"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92"/>
    <w:bookmarkStart w:id="193"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VIF) duy trì dưới 3 ở mọi mô hình cuối.</w:t>
      </w:r>
    </w:p>
    <w:bookmarkEnd w:id="193"/>
    <w:bookmarkStart w:id="194"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94"/>
    <w:bookmarkStart w:id="195"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5"/>
    <w:bookmarkStart w:id="196"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6"/>
    <w:bookmarkStart w:id="197"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7"/>
    <w:bookmarkStart w:id="198"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198"/>
    <w:bookmarkEnd w:id="199"/>
    <w:bookmarkStart w:id="208" w:name="Xabe361c2d5961cf19ce7ab2bd5d9bc6d758140a"/>
    <w:p>
      <w:pPr>
        <w:pStyle w:val="Heading2"/>
      </w:pPr>
      <w:r>
        <w:t xml:space="preserve">4.4 Kết quả bối cảnh thể chế trung bình cao: Trung Quốc, 2012–2024 (P5)</w:t>
      </w:r>
    </w:p>
    <w:bookmarkStart w:id="20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14"/>
        </w:numPr>
        <w:pStyle w:val="Compact"/>
      </w:pPr>
      <w:r>
        <w:rPr>
          <w:bCs/>
          <w:b/>
        </w:rPr>
        <w:t xml:space="preserve">Năm 2012</w:t>
      </w:r>
      <w:r>
        <w:t xml:space="preserve">: TP = 49,37% FSTS</w:t>
      </w:r>
    </w:p>
    <w:p>
      <w:pPr>
        <w:numPr>
          <w:ilvl w:val="0"/>
          <w:numId w:val="1014"/>
        </w:numPr>
        <w:pStyle w:val="Compact"/>
      </w:pPr>
      <w:r>
        <w:rPr>
          <w:bCs/>
          <w:b/>
        </w:rPr>
        <w:t xml:space="preserve">Năm 2024</w:t>
      </w:r>
      <w:r>
        <w:t xml:space="preserve">: TP = 47,19% FSTS</w:t>
      </w:r>
    </w:p>
    <w:p>
      <w:pPr>
        <w:numPr>
          <w:ilvl w:val="0"/>
          <w:numId w:val="1014"/>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tập trung quốc tế vừa phải, khi thị trường nội địa khổng lồ của Trung Quốc đồng thời mở ra dư địa tăng trưởng trong nước.</w:t>
      </w:r>
    </w:p>
    <w:bookmarkEnd w:id="200"/>
    <w:bookmarkStart w:id="201"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w:t>
      </w:r>
      <w:r>
        <w:t xml:space="preserve"> </w:t>
      </w:r>
      <m:oMath>
        <m:sSup>
          <m:e>
            <m:r>
              <m:rPr>
                <m:nor/>
                <m:sty m:val="p"/>
              </m:rPr>
              <m:t>FSTS</m:t>
            </m:r>
          </m:e>
          <m:sup>
            <m:r>
              <m:t>2</m:t>
            </m:r>
          </m:sup>
        </m:sSup>
      </m:oMath>
      <w:r>
        <w:t xml:space="preserve">),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Như vậy, ở bối cảnh trung bình cao như Trung Quốc, cơ chế nền tảng của quan hệ quốc tế hóa và hiệu quả khá ổn định. Sự ổn định này có thể phản ánh thế bù trừ giữa chi phí thích ứng tăng do chính sách thương mại khó đoán và năng lực tổ chức ngày càng trưởng thành của các doanh nghiệp xuất khẩu Trung Quốc.</w:t>
      </w:r>
    </w:p>
    <w:bookmarkEnd w:id="201"/>
    <w:bookmarkStart w:id="202"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202"/>
    <w:bookmarkStart w:id="203"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203"/>
    <w:bookmarkStart w:id="204"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204"/>
    <w:bookmarkStart w:id="205"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5"/>
    <w:bookmarkStart w:id="206"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6"/>
    <w:bookmarkStart w:id="207"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7"/>
    <w:bookmarkEnd w:id="208"/>
    <w:bookmarkStart w:id="220" w:name="Xdbd5cc67084304ba85b73781c0cb0c00b74055b"/>
    <w:p>
      <w:pPr>
        <w:pStyle w:val="Heading2"/>
      </w:pPr>
      <w:r>
        <w:t xml:space="preserve">4.5 Kết quả bối cảnh chuyển đổi bậc thấp–trung: Việt Nam (P3)</w:t>
      </w:r>
    </w:p>
    <w:bookmarkStart w:id="209"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9"/>
    <w:bookmarkStart w:id="210"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10"/>
    <w:bookmarkStart w:id="211"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11"/>
    <w:bookmarkStart w:id="212"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212"/>
    <w:bookmarkStart w:id="213"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13"/>
    <w:bookmarkStart w:id="214"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14"/>
    <w:bookmarkStart w:id="215"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5"/>
    <w:bookmarkStart w:id="216"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Cơ chế này giải thích vì sao điểm uốn Việt Nam (39–46%) nằm thấp hơn đáng kể so với điểm uốn Singapore (~88,6%) ở biên thể chế mạnh nhất.</w:t>
      </w:r>
    </w:p>
    <w:bookmarkEnd w:id="216"/>
    <w:bookmarkStart w:id="217"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7"/>
    <w:bookmarkStart w:id="218"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8"/>
    <w:bookmarkStart w:id="219"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Nhờ đó, đóng góp của P3 không dừng ở một báo cáo điểm uốn đơn lẻ mà dời câu hỏi nghiên cứu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9"/>
    <w:bookmarkEnd w:id="220"/>
    <w:bookmarkStart w:id="232" w:name="X561afa853383c674354c1acb167a55cae3a018f"/>
    <w:p>
      <w:pPr>
        <w:pStyle w:val="Heading2"/>
      </w:pPr>
      <w:r>
        <w:t xml:space="preserve">4.6 Kết quả kiểm định toàn mẫu đa bối cảnh châu Á (P7)</w:t>
      </w:r>
    </w:p>
    <w:bookmarkStart w:id="221"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21"/>
    <w:bookmarkStart w:id="225"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điều chỉnh H5</w:t>
      </w:r>
      <w:r>
        <w:t xml:space="preserve">: thể chế không chỉ dịch chuyển vị trí điểm uốn mà còn quyết định</w:t>
      </w:r>
      <w:r>
        <w:t xml:space="preserve"> </w:t>
      </w:r>
      <w:r>
        <w:rPr>
          <w:bCs/>
          <w:b/>
        </w:rPr>
        <w:t xml:space="preserve">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23" name="Picture"/>
            <a:graphic>
              <a:graphicData uri="http://schemas.openxmlformats.org/drawingml/2006/picture">
                <pic:pic>
                  <pic:nvPicPr>
                    <pic:cNvPr descr="figures/fig_4_x_ip_curves_icrv_gradient.png" id="224" name="Picture"/>
                    <pic:cNvPicPr>
                      <a:picLocks noChangeArrowheads="1" noChangeAspect="1"/>
                    </pic:cNvPicPr>
                  </pic:nvPicPr>
                  <pic:blipFill>
                    <a:blip r:embed="rId222"/>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225"/>
    <w:bookmarkStart w:id="226" w:name="điều-tiết-bởi-tci-và-dai-trong-toàn-mẫu"/>
    <w:p>
      <w:pPr>
        <w:pStyle w:val="Heading3"/>
      </w:pPr>
      <w:r>
        <w:t xml:space="preserve">4.6.3 Điều tiết bởi TCI và DAI trong toàn mẫu</w:t>
      </w:r>
    </w:p>
    <w:p>
      <w:pPr>
        <w:numPr>
          <w:ilvl w:val="0"/>
          <w:numId w:val="1015"/>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w:t>
      </w:r>
      <w:r>
        <w:t xml:space="preserve"> </w:t>
      </w:r>
      <m:oMath>
        <m:sSup>
          <m:e>
            <m:r>
              <m:rPr>
                <m:nor/>
                <m:sty m:val="p"/>
              </m:rPr>
              <m:t>FSTS</m:t>
            </m:r>
          </m:e>
          <m:sup>
            <m:r>
              <m:t>2</m:t>
            </m:r>
          </m:sup>
        </m:sSup>
      </m:oMath>
      <w:r>
        <w:t xml:space="preserve">×TCI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5"/>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w:t>
      </w:r>
      <w:r>
        <w:t xml:space="preserve"> </w:t>
      </w:r>
      <m:oMath>
        <m:sSup>
          <m:e>
            <m:r>
              <m:rPr>
                <m:nor/>
                <m:sty m:val="p"/>
              </m:rPr>
              <m:t>FSTS</m:t>
            </m:r>
          </m:e>
          <m:sup>
            <m:r>
              <m:t>2</m:t>
            </m:r>
          </m:sup>
        </m:sSup>
        <m:r>
          <m:rPr>
            <m:sty m:val="p"/>
          </m:rPr>
          <m:t>×</m:t>
        </m:r>
        <m:r>
          <m:rPr>
            <m:nor/>
            <m:sty m:val="p"/>
          </m:rPr>
          <m:t>DAI</m:t>
        </m:r>
      </m:oMath>
      <w:r>
        <w:t xml:space="preserve"> </w:t>
      </w:r>
      <w:r>
        <w:t xml:space="preserve">=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w:t>
      </w:r>
      <w:r>
        <w:t xml:space="preserve"> </w:t>
      </w:r>
      <m:oMath>
        <m:sSup>
          <m:e>
            <m:r>
              <m:rPr>
                <m:nor/>
                <m:sty m:val="p"/>
              </m:rPr>
              <m:t>FSTS</m:t>
            </m:r>
          </m:e>
          <m:sup>
            <m:r>
              <m:t>2</m:t>
            </m:r>
          </m:sup>
        </m:sSup>
        <m:r>
          <m:rPr>
            <m:sty m:val="p"/>
          </m:rPr>
          <m:t>×</m:t>
        </m:r>
        <m:r>
          <m:rPr>
            <m:nor/>
            <m:sty m:val="p"/>
          </m:rPr>
          <m:t>DAI</m:t>
        </m:r>
      </m:oMath>
      <w:r>
        <w:t xml:space="preserve"> </w:t>
      </w:r>
      <w:r>
        <w:t xml:space="preserve">=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6"/>
    <w:bookmarkStart w:id="227"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7"/>
    <w:bookmarkStart w:id="228"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w:t>
      </w:r>
      <w:r>
        <w:t xml:space="preserve"> </w:t>
      </w:r>
      <m:oMath>
        <m:sSup>
          <m:e>
            <m:r>
              <m:rPr>
                <m:nor/>
                <m:sty m:val="p"/>
              </m:rPr>
              <m:t>FSTS</m:t>
            </m:r>
          </m:e>
          <m:sup>
            <m:r>
              <m:t>2</m:t>
            </m:r>
          </m:sup>
        </m:sSup>
      </m:oMath>
      <w:r>
        <w:t xml:space="preserve">×ICRV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228"/>
    <w:bookmarkStart w:id="229"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Ba mức bằng chứng (điểm uốn ổn định trong dải 43,6–51,5%, điểm uốn trơ trước năng lực và đặc trưng quản lý, và cấu trúc ba vùng theo chế độ thể chế) cùng chỉ về một kết luận: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9"/>
    <w:bookmarkStart w:id="230"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tương ứng ba cơ chế kinh tế: chi phí điều phối bám ngưỡng ở vùng giữa, chọn lọc theo năng suất ở biên trên, và hình phạt quốc tế hóa cưỡng bức ở biên dưới.</w:t>
      </w:r>
    </w:p>
    <w:bookmarkEnd w:id="230"/>
    <w:bookmarkStart w:id="231"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2008; MacKinnon và Webb, 2017,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31"/>
    <w:bookmarkEnd w:id="232"/>
    <w:bookmarkStart w:id="244" w:name="X42f69945b56833cca239d45dc5864a7be6f74d7"/>
    <w:p>
      <w:pPr>
        <w:pStyle w:val="Heading2"/>
      </w:pPr>
      <w:r>
        <w:t xml:space="preserve">4.7 Kết quả trường hợp biên SIDS: Các nền kinh tế đảo nhỏ đang phát triển (P8)</w:t>
      </w:r>
    </w:p>
    <w:bookmarkStart w:id="233"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33"/>
    <w:bookmarkStart w:id="237"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MacKinnon và Webb, 2017;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đúng vùng mà gần như toàn bộ doanh nghiệp đảo nhỏ hoạt động,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dạng \cap,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5" name="Picture"/>
            <a:graphic>
              <a:graphicData uri="http://schemas.openxmlformats.org/drawingml/2006/picture">
                <pic:pic>
                  <pic:nvPicPr>
                    <pic:cNvPr descr="figures/fig_4_7_1_sids_inversion.png" id="236" name="Picture"/>
                    <pic:cNvPicPr>
                      <a:picLocks noChangeArrowheads="1" noChangeAspect="1"/>
                    </pic:cNvPicPr>
                  </pic:nvPicPr>
                  <pic:blipFill>
                    <a:blip r:embed="rId234"/>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(dạng</w:t>
      </w:r>
      <w:r>
        <w:t xml:space="preserve"> </w:t>
      </w:r>
      <m:oMath>
        <m:r>
          <m:rPr>
            <m:sty m:val="p"/>
          </m:rPr>
          <m:t>∩</m:t>
        </m:r>
      </m:oMath>
      <w:r>
        <w:t xml:space="preserve">,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7"/>
    <w:bookmarkStart w:id="238"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8"/>
    <w:bookmarkStart w:id="23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bằng chứng cấp doanh nghiệp còn thiếu cho các phân tích vĩ mô của Ngân hàng Thế giới về các nền kinh tế nhỏ và dễ tổn thương.</w:t>
      </w:r>
    </w:p>
    <w:bookmarkEnd w:id="239"/>
    <w:bookmarkStart w:id="240"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40"/>
    <w:bookmarkStart w:id="241"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41"/>
    <w:bookmarkStart w:id="242"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42"/>
    <w:bookmarkStart w:id="243"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khái niệm gánh nặng quốc tế hóa bắt buộc có giá trị định hướng,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43"/>
    <w:bookmarkEnd w:id="244"/>
    <w:bookmarkStart w:id="25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Theo cách đọc này, điều thoạt nhìn mâu thuẫn (một nền Nhóm IV khởi đầu với điểm uốn kiểu Nhóm I) lại trở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5"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5"/>
    <w:bookmarkStart w:id="246"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6"/>
    <w:bookmarkStart w:id="247"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7"/>
    <w:bookmarkStart w:id="248"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8"/>
    <w:bookmarkStart w:id="249"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9"/>
    <w:bookmarkStart w:id="250"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50"/>
    <w:bookmarkStart w:id="251"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251"/>
    <w:bookmarkStart w:id="252"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52"/>
    <w:bookmarkEnd w:id="253"/>
    <w:bookmarkStart w:id="257"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54"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w:t>
      </w:r>
      <w:r>
        <w:rPr>
          <w:iCs/>
          <w:i/>
        </w:rPr>
        <w:t xml:space="preserve"> </w:t>
      </w:r>
      <m:oMath>
        <m:sSup>
          <m:e>
            <m:r>
              <m:rPr>
                <m:nor/>
                <m:sty m:val="p"/>
              </m:rPr>
              <m:t>FSTS</m:t>
            </m:r>
          </m:e>
          <m:sup>
            <m:r>
              <m:t>2</m:t>
            </m:r>
          </m:sup>
        </m:sSup>
      </m:oMath>
      <w:r>
        <w:rPr>
          <w:iCs/>
          <w:i/>
        </w:rPr>
        <w:t xml:space="preserve"> </w:t>
      </w:r>
      <w:r>
        <w:rPr>
          <w:iCs/>
          <w:i/>
        </w:rPr>
        <w:t xml:space="preserve">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254"/>
    <w:bookmarkStart w:id="255"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5"/>
    <w:bookmarkStart w:id="256"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6"/>
    <w:bookmarkEnd w:id="257"/>
    <w:bookmarkStart w:id="258" w:name="X3f9ed6ea86262c6caa26e51d1f917462628cea6"/>
    <w:p>
      <w:pPr>
        <w:pStyle w:val="Heading2"/>
      </w:pPr>
      <w:r>
        <w:t xml:space="preserve">4.10 Tam giác hóa kết quả cấp doanh nghiệp với bằng chứng vĩ mô độc lập</w:t>
      </w:r>
    </w:p>
    <w:p>
      <w:pPr>
        <w:pStyle w:val="FirstParagraph"/>
      </w:pPr>
      <w:r>
        <w:t xml:space="preserve">Một câu hỏi then chốt về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nhất quán với bằng chứng vĩ mô độc lập gần nhất. Tam giác hóa này củng cố tính giá trị của khung ICRV và gắn đóng góp của luận án với nghiên cứu phát triển đương đại.</w:t>
      </w:r>
    </w:p>
    <w:p>
      <w:r>
        <w:pict>
          <v:rect style="width:0;height:1.5pt" o:hralign="center" o:hrstd="t" o:hr="t"/>
        </w:pict>
      </w:r>
    </w:p>
    <w:bookmarkEnd w:id="258"/>
    <w:bookmarkStart w:id="259"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9"/>
    <w:bookmarkStart w:id="260"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60"/>
    <w:bookmarkStart w:id="261" w:name="chương-5-kết-luận-và-đề-xuất"/>
    <w:p>
      <w:pPr>
        <w:pStyle w:val="Heading1"/>
      </w:pPr>
      <w:r>
        <w:t xml:space="preserve">CHƯƠNG 5: KẾT LUẬN VÀ ĐỀ XUẤT</w:t>
      </w:r>
    </w:p>
    <w:bookmarkEnd w:id="261"/>
    <w:p>
      <w:r>
        <w:pict>
          <v:rect style="width:0;height:1.5pt" o:hralign="center" o:hrstd="t" o:hr="t"/>
        </w:pict>
      </w:r>
    </w:p>
    <w:bookmarkStart w:id="262"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Toàn bộ chương được tổ chức quanh việc bảo vệ luận điểm trọng tâm của luận án: thể chế không chỉ điều tiết độ lớn mà còn có thể định hình dấu và dạng hình của quan hệ quốc tế hóa và hiệu quả; ở cực trị thể chế yếu nhất, bằng chứng cho thấy họ mô hình chữ U ngược có xu hướng không còn áp dụng (điều kiện biên FIP, với độ lớn nhạy theo phiên bản dữ liệu).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62"/>
    <w:bookmarkStart w:id="271" w:name="Xff8cef3ed320f9cf6f3fba4ff558bfed3af19c6"/>
    <w:p>
      <w:pPr>
        <w:pStyle w:val="Heading2"/>
      </w:pPr>
      <w:r>
        <w:t xml:space="preserve">5.1 Bàn luận kết quả theo khung lý thuyết CDCM</w:t>
      </w:r>
    </w:p>
    <w:bookmarkStart w:id="263"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Tức là thể chế không chỉ dịch chuyển điểm tối ưu của quốc tế hóa mà còn quyết định liệu điểm tối ưu đó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Bằng chứng vì vậy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đây là một tinh chỉnh lý thuyết chứ không phải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63"/>
    <w:bookmarkStart w:id="264"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w:t>
      </w:r>
      <w:r>
        <w:t xml:space="preserve"> </w:t>
      </w:r>
      <m:oMath>
        <m:sSup>
          <m:e>
            <m:r>
              <m:rPr>
                <m:nor/>
                <m:sty m:val="p"/>
              </m:rPr>
              <m:t>FSTS</m:t>
            </m:r>
          </m:e>
          <m:sup>
            <m:r>
              <m:t>2</m:t>
            </m:r>
          </m:sup>
        </m:sSup>
      </m:oMath>
      <w:r>
        <w:t xml:space="preserve">×TCI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Kết quả này khẳng định TCI là</w:t>
      </w:r>
      <w:r>
        <w:t xml:space="preserve"> </w:t>
      </w:r>
      <w:r>
        <w:rPr>
          <w:bCs/>
          <w:b/>
        </w:rPr>
        <w:t xml:space="preserve">năng lực nền tảng</w:t>
      </w:r>
      <w:r>
        <w:t xml:space="preserve"> </w:t>
      </w:r>
      <w:r>
        <w:t xml:space="preserve">(foundational capability) trong khung CDCM: doanh nghiệp có năng lực công nghệ sâu hơn –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64"/>
    <w:bookmarkStart w:id="265"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chính là điểm phân biệt TCI với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5"/>
    <w:bookmarkStart w:id="266"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66"/>
    <w:bookmarkStart w:id="267"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FIP vạch ra một ranh giới biên lý thuyết cho các mô hình phi tuyến phổ quát trong tài liệu về quan hệ quốc tế hóa và hiệu quả.</w:t>
      </w:r>
    </w:p>
    <w:p>
      <w:r>
        <w:pict>
          <v:rect style="width:0;height:1.5pt" o:hralign="center" o:hrstd="t" o:hr="t"/>
        </w:pict>
      </w:r>
    </w:p>
    <w:bookmarkEnd w:id="267"/>
    <w:bookmarkStart w:id="268"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nhất quán với cách đọc rằng thời gian tự nó không phải biến điều tiết, mà là vận tốc biến động thể chế tích lũy.</w:t>
      </w:r>
    </w:p>
    <w:p>
      <w:r>
        <w:pict>
          <v:rect style="width:0;height:1.5pt" o:hralign="center" o:hrstd="t" o:hr="t"/>
        </w:pict>
      </w:r>
    </w:p>
    <w:bookmarkEnd w:id="268"/>
    <w:bookmarkStart w:id="269"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Đối chiếu bảy nghiên cứu thành phần thực nghiệm cho thấy một cấu trúc ba vùng là trục diễn giải trung tâm của khung lý thuyết CDCM: không phải ba kết quả rời rạc mà là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điều quyết định là doanh nghiệp có xuất khẩu hay không, chứ không phải xuất khẩu bao nhiêu,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9"/>
    <w:bookmarkStart w:id="270"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đưa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thành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chế độ SIDS, mà tại đó cả họ lý thuyết chữ U ngược không còn ứng dụng được.</w:t>
      </w:r>
    </w:p>
    <w:bookmarkEnd w:id="270"/>
    <w:bookmarkEnd w:id="271"/>
    <w:bookmarkStart w:id="279" w:name="so-sánh-với-nghiên-cứu-trước-đây"/>
    <w:p>
      <w:pPr>
        <w:pStyle w:val="Heading2"/>
      </w:pPr>
      <w:r>
        <w:t xml:space="preserve">5.2 So sánh với nghiên cứu trước đây</w:t>
      </w:r>
    </w:p>
    <w:bookmarkStart w:id="272"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72"/>
    <w:bookmarkStart w:id="273"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một bối cảnh ít được đại diện trong tài liệu Lu và Beamish.</w:t>
      </w:r>
    </w:p>
    <w:bookmarkEnd w:id="273"/>
    <w:bookmarkStart w:id="274"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74"/>
    <w:bookmarkStart w:id="275"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Kết quả của luận án do đó không mâu thuẫn với tài liệu nhân rộng mà giải thích nó: tính phân tán của các kết quả gộp không chứng tỏ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275"/>
    <w:bookmarkStart w:id="276"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lớn hơn từng phương pháp đứng riêng.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6"/>
    <w:bookmarkStart w:id="277"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7"/>
    <w:bookmarkStart w:id="278"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8"/>
    <w:bookmarkEnd w:id="279"/>
    <w:bookmarkStart w:id="290" w:name="đóng-góp-lý-thuyết-1"/>
    <w:p>
      <w:pPr>
        <w:pStyle w:val="Heading2"/>
      </w:pPr>
      <w:r>
        <w:t xml:space="preserve">5.3 Đóng góp lý thuyết</w:t>
      </w:r>
    </w:p>
    <w:bookmarkStart w:id="280"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280"/>
    <w:bookmarkStart w:id="281"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81"/>
    <w:bookmarkStart w:id="282"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cho thấy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Phân biệt này còn có hệ quả về mặt phương pháp.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82"/>
    <w:bookmarkStart w:id="28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cho thấy FIP là một khái niệm độc lập chứ không phải tên gọi mới cho một ý tưởng đã có.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83"/>
    <w:bookmarkStart w:id="284"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84"/>
    <w:bookmarkStart w:id="285"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85"/>
    <w:bookmarkStart w:id="286"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Về mặt kiến trúc lý thuyết, thay vì chọn một lý thuyết trội nhất, luận án định vị rõ phạm vi áp dụng và điều kiện biên của từng lý thuyết, và chỉ ra thể chế là biến liên kết chúng thành một hệ giải thích nhất quán.</w:t>
      </w:r>
    </w:p>
    <w:bookmarkEnd w:id="286"/>
    <w:bookmarkStart w:id="287" w:name="Xaf4611420c0d9e18880fab8918c5deec248ab26"/>
    <w:p>
      <w:pPr>
        <w:pStyle w:val="Heading3"/>
      </w:pPr>
      <w:r>
        <w:t xml:space="preserve">5.3.6 Hệ quả phương pháp luận cho nghiên cứu phi tuyến đa bối cảnh (đóng góp phụ trợ)</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7"/>
    <w:bookmarkStart w:id="288"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8"/>
    <w:bookmarkStart w:id="289"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thị trường nội địa đủ lớn, chi phí thương mại không quá cao, và tồn tại hỗ trợ thể chế tối thiểu,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289"/>
    <w:bookmarkEnd w:id="290"/>
    <w:bookmarkStart w:id="297"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91"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91"/>
    <w:bookmarkStart w:id="292"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6"/>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6"/>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6"/>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6"/>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92"/>
    <w:bookmarkStart w:id="293"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ưu tiên chính sách nên là chất lượng xuất khẩu chứ không phải khối lượng xuất khẩu.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Tóm lại, muốn tránh bẫy quốc tế hóa cưỡng bức thì can thiệp chính sách phải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93"/>
    <w:bookmarkStart w:id="294"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94"/>
    <w:bookmarkStart w:id="295" w:name="X06a1f524ffa641eeef7964d8ecbb8b71d6457df"/>
    <w:p>
      <w:pPr>
        <w:pStyle w:val="Heading3"/>
      </w:pPr>
      <w:r>
        <w:t xml:space="preserve">5.4.5 Khung can thiệp phân tầng theo chế độ thể chế ICRV cho ba nhóm đối tượng</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 Phần này trình bày khung can thiệp phân tầng đó cho ba nhóm đối tượng kế tiếp nhau, là nhà hoạch định chính sách quốc gia, nhà quản trị doanh nghiệp, và các tổ chức phát triển và tài trợ quốc tế, mỗi nhóm vận dụng cùng một logic ba vùng nhưng qua đòn bẩy hành động khác nhau.</w:t>
      </w:r>
    </w:p>
    <w:p>
      <w:pPr>
        <w:pStyle w:val="BodyText"/>
      </w:pPr>
      <w:r>
        <w:rPr>
          <w:bCs/>
          <w:b/>
        </w:rPr>
        <w:t xml:space="preserve">Đối với nhà hoạch định chính sách quốc gia.</w:t>
      </w:r>
      <w:r>
        <w:t xml:space="preserve"> </w:t>
      </w: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so với khuyến nghị thông thường: trọng tâm là nâng chất lượng xuất khẩu, không phải tăng khối lượng.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p>
      <w:pPr>
        <w:pStyle w:val="BodyText"/>
      </w:pPr>
      <w:r>
        <w:rPr>
          <w:bCs/>
          <w:b/>
        </w:rPr>
        <w:t xml:space="preserve">Đối với nhà quản trị doanh nghiệp.</w:t>
      </w:r>
      <w:r>
        <w:t xml:space="preserve"> </w:t>
      </w:r>
      <w:r>
        <w:t xml:space="preserve">Khung ba vùng cũng cho nhà quản trị doanh nghiệp một quy tắc quyết định gọn, thay cho lời khuyên chung chung</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p>
      <w:pPr>
        <w:pStyle w:val="BodyText"/>
      </w:pPr>
      <w:r>
        <w:rPr>
          <w:bCs/>
          <w:b/>
        </w:rPr>
        <w:t xml:space="preserve">Đối với các tổ chức phát triển và tài trợ quốc tế.</w:t>
      </w:r>
      <w:r>
        <w:t xml:space="preserve"> </w:t>
      </w: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95"/>
    <w:bookmarkStart w:id="296" w:name="Xe0db8e28cf03dc8a65a6387c8f4ba9208afb8a3"/>
    <w:p>
      <w:pPr>
        <w:pStyle w:val="Heading3"/>
      </w:pPr>
      <w:r>
        <w:t xml:space="preserve">5.4.6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6"/>
    <w:bookmarkEnd w:id="297"/>
    <w:bookmarkStart w:id="307" w:name="hạn-chế-và-hướng-nghiên-cứu-tương-lai"/>
    <w:p>
      <w:pPr>
        <w:pStyle w:val="Heading2"/>
      </w:pPr>
      <w:r>
        <w:t xml:space="preserve">5.5 Hạn chế và hướng nghiên cứu tương lai</w:t>
      </w:r>
    </w:p>
    <w:p>
      <w:pPr>
        <w:pStyle w:val="FirstParagraph"/>
      </w:pPr>
      <w:r>
        <w:t xml:space="preserve">Các hạn chế dưới đây không phải một danh mục khuyết điểm rời rạc; chúng là đường biên suy luận của luận án: mỗi hạn chế được gắn với hệ quả cụ thể cho điều có thể và không thể kết luận, và được tách bạch với các điều kiện phạm vi lý thuyết đã nêu ở Mục 5.3.8. Đọc theo cách đó, phần này định khung chính xác miền mà bên trong đó các phát hiện được bằng chứng hỗ trợ, đồng thời chỉ ra các phép kiểm định còn thiếu mà hướng nghiên cứu tương lai ở Mục 5.5.4 được thiết kế để lấp.</w:t>
      </w:r>
    </w:p>
    <w:bookmarkStart w:id="298"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Một giới hạn thứ hai của đo lường DAI là tính tĩnh tại một thời điểm khảo sát; vì hệ quả của nó đối với việc diễn giải vai trò động của năng lực số được trình bày đầy đủ ở Mục 5.5.3.1, ở đây chỉ nêu để bảo đảm tính trọn vẹn của nhóm hạn chế đo lường DAI mà không nhắc lại.</w:t>
      </w:r>
    </w:p>
    <w:bookmarkEnd w:id="298"/>
    <w:bookmarkStart w:id="299"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9"/>
    <w:bookmarkStart w:id="300"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300"/>
    <w:bookmarkStart w:id="301"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301"/>
    <w:bookmarkStart w:id="302"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p>
      <w:pPr>
        <w:pStyle w:val="BodyText"/>
      </w:pPr>
      <w:r>
        <w:t xml:space="preserve">Bên cạnh đường biên không gian còn một đường biên thời gian. Cấu trúc ba vùng được nhận diện trên dữ liệu trải dài 2006–2026, một cửa sổ mà phần lớn các chế độ thể chế giữ ổn định tương đối; nhưng chính bằng chứng Ấn Độ (Mục 5.1.6) cho thấy khi tốc độ và biên độ biến động thể chế đủ lớn, điểm uốn có thể dịch chuyển rồi tan biến, nghĩa là tính ổn định của phổ điểm uốn là một điều kiện chứ không phải một thuộc tính bất biến của khung. Ba lực đang định hình lại bối cảnh sau giai đoạn quan sát, gồm sự khuếch tán nhanh của trí tuệ nhân tạo làm thay đổi bản chất của lợi thế số, sự tái cấu trúc thương mại dưới áp lực khí hậu và dịch chuyển chuỗi cung ứng, và sự phân mảnh địa chính trị làm tăng chi phí phối hợp xuyên biên giới, đều tác động trực tiếp lên cả ba tầng điều tiết của khung CDCM; do đó vị trí điểm uốn và ngay cả ranh giới giữa ba vùng nên được đọc như một lát cắt đặc trưng cho giai đoạn 2006–2026 chứ chưa phải một hằng số cấu trúc. Kiểm định lại phổ điểm uốn trên các đợt WBES sau 2026, khi dữ liệu sẵn có, vì vậy là một phép thử trực tiếp cho tính bền thời gian của khung và là một mở rộng tự nhiên của điều kiện ổn định thể chế mà chính khung CDCM đặt ra.</w:t>
      </w:r>
    </w:p>
    <w:bookmarkEnd w:id="302"/>
    <w:bookmarkStart w:id="303"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303"/>
    <w:bookmarkStart w:id="304"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304"/>
    <w:bookmarkStart w:id="305"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305"/>
    <w:bookmarkStart w:id="306" w:name="hướng-nghiên-cứu-tương-lai"/>
    <w:p>
      <w:pPr>
        <w:pStyle w:val="Heading3"/>
      </w:pPr>
      <w:r>
        <w:t xml:space="preserve">5.5.4 Hướng nghiên cứu tương lai</w:t>
      </w:r>
    </w:p>
    <w:p>
      <w:pPr>
        <w:pStyle w:val="FirstParagraph"/>
      </w:pPr>
      <w:r>
        <w:t xml:space="preserve">Dựa trên các hạn chế trên, luận án đề xuất mười hướng nghiên cứu ưu tiên, được tổ chức thành ba nhóm chủ đề tương ứng với ba nhóm hạn chế chính, để cho thấy các hướng này nảy sinh từ kiến trúc lý thuyết của luận án chứ không phải một danh mục rời rạc: nhóm A củng cố nhận dạng nhân quả và xử lý nội sinh; nhóm B làm giàu đo lường đa chiều và năng lực số động; và nhóm C mở rộng phạm vi khái quát hóa cùng lập bản đồ cơ chế. Mỗi hướng dưới đây được gắn nhãn nhóm tương ứng:</w:t>
      </w:r>
    </w:p>
    <w:p>
      <w:pPr>
        <w:pStyle w:val="BodyText"/>
      </w:pPr>
      <w:r>
        <w:rPr>
          <w:bCs/>
          <w:b/>
        </w:rPr>
        <w:t xml:space="preserve">Thứ nhất</w:t>
      </w:r>
      <w:r>
        <w:t xml:space="preserve"> </w:t>
      </w:r>
      <w:r>
        <w:t xml:space="preserve">(nhóm B),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w:t>
      </w:r>
      <w:r>
        <w:t xml:space="preserve">(nhóm A),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w:t>
      </w:r>
      <w:r>
        <w:t xml:space="preserve">(nhóm C),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w:t>
      </w:r>
      <w:r>
        <w:t xml:space="preserve">(nhóm C),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w:t>
      </w:r>
      <w:r>
        <w:t xml:space="preserve">(nhóm C),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w:t>
      </w:r>
      <w:r>
        <w:t xml:space="preserve">(nhóm A),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w:t>
      </w:r>
      <w:r>
        <w:t xml:space="preserve">(nhóm C),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w:t>
      </w:r>
      <w:r>
        <w:t xml:space="preserve">(nhóm C),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w:t>
      </w:r>
      <w:r>
        <w:t xml:space="preserve">(nhóm B),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w:t>
      </w:r>
      <w:r>
        <w:t xml:space="preserve">(nhóm B),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6"/>
    <w:bookmarkEnd w:id="307"/>
    <w:bookmarkStart w:id="312" w:name="kết-luận"/>
    <w:p>
      <w:pPr>
        <w:pStyle w:val="Heading2"/>
      </w:pPr>
      <w:r>
        <w:t xml:space="preserve">5.6 Kết luận</w:t>
      </w:r>
    </w:p>
    <w:bookmarkStart w:id="308"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7"/>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7"/>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7"/>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7"/>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7"/>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7"/>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7"/>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7"/>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7"/>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17"/>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7"/>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8"/>
    <w:bookmarkStart w:id="309"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Thể chế định hình không chỉ độ lớn mà còn cả dấu và dạng hình của quan hệ quốc tế hóa và hiệu quả: không tồn tại một mức độ quốc tế hóa tối ưu duy nhất, điểm uốn dịch chuyển theo vị trí thể chế, và ở cực trị thể chế yếu nhất, bằng chứng cho thấy dạng chữ U ngược có xu hướng không còn áp dụng, quan hệ nghiêng về bất lợi đơn điệu thay vì lợi ích (như trường hợp giới hạn FIP).</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09"/>
    <w:bookmarkStart w:id="310"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10"/>
    <w:bookmarkStart w:id="311"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Đóng góp cốt lõi mà luận án mang lại cho khoa học quản trị kinh doanh quốc tế là nhận thức rằng quan hệ quốc tế hóa và hiệu quả có điều kiện theo thể chế chứ không phổ quát.</w:t>
      </w:r>
    </w:p>
    <w:p>
      <w:r>
        <w:pict>
          <v:rect style="width:0;height:1.5pt" o:hralign="center" o:hrstd="t" o:hr="t"/>
        </w:pict>
      </w:r>
    </w:p>
    <w:p>
      <w:r>
        <w:br w:type="page"/>
      </w:r>
    </w:p>
    <w:bookmarkEnd w:id="311"/>
    <w:bookmarkEnd w:id="312"/>
    <w:bookmarkStart w:id="313"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P., &amp; Larimo, J. (2022). Moderating influence of product diversification on the international diversification–performance relationship: A meta-analysis.</w:t>
      </w:r>
      <w:r>
        <w:t xml:space="preserve"> </w:t>
      </w:r>
      <w:r>
        <w:rPr>
          <w:iCs/>
          <w:i/>
        </w:rPr>
        <w:t xml:space="preserve">Journal of Business Research, 139</w:t>
      </w:r>
      <w:r>
        <w:t xml:space="preserve">, 281–295.</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(2024, December 12).</w:t>
      </w:r>
      <w:r>
        <w:t xml:space="preserve"> </w:t>
      </w:r>
      <w:r>
        <w:rPr>
          <w:iCs/>
          <w:i/>
        </w:rPr>
        <w:t xml:space="preserve">Internationalization and firm performance: A meta-analysis review</w:t>
      </w:r>
      <w:r>
        <w:t xml:space="preserve"> </w:t>
      </w:r>
      <w:r>
        <w:t xml:space="preserve">[Conference presentation]. The 6th International Conference on Economics, Business and Finance, College of Economics, Can Tho University, Can Tho,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in preparation].</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C., Cuervo-Cazurra, A., &amp; Brannen, M. Y. (2011). From the Editors: Explaining theoretical relationships in international business research: Focusing on the arrows, NOT the boxes.</w:t>
      </w:r>
      <w:r>
        <w:t xml:space="preserve"> </w:t>
      </w:r>
      <w:r>
        <w:rPr>
          <w:iCs/>
          <w:i/>
        </w:rPr>
        <w:t xml:space="preserve">Journal of International Business Studies, 42</w:t>
      </w:r>
      <w:r>
        <w:t xml:space="preserve">(9), 1073–1080. https://doi.org/10.1057/jibs.2011.47</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13"/>
    <w:bookmarkStart w:id="324"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1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14"/>
    <w:bookmarkStart w:id="31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15"/>
    <w:bookmarkStart w:id="31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6"/>
    <w:bookmarkStart w:id="31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18"/>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8"/>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8"/>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8"/>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7"/>
    <w:bookmarkStart w:id="318"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9"/>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9"/>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8"/>
    <w:bookmarkStart w:id="319"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9"/>
    <w:bookmarkStart w:id="32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20"/>
    <w:bookmarkStart w:id="32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21"/>
    <w:bookmarkStart w:id="32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322"/>
    <w:bookmarkStart w:id="32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20"/>
        </w:numPr>
        <w:pStyle w:val="Compact"/>
      </w:pPr>
      <w:r>
        <w:rPr>
          <w:rStyle w:val="VerbatimChar"/>
        </w:rPr>
        <w:t xml:space="preserve">scripts/build_pooled_dataset.py</w:t>
      </w:r>
    </w:p>
    <w:p>
      <w:pPr>
        <w:numPr>
          <w:ilvl w:val="0"/>
          <w:numId w:val="1020"/>
        </w:numPr>
        <w:pStyle w:val="Compact"/>
      </w:pPr>
      <w:r>
        <w:rPr>
          <w:rStyle w:val="VerbatimChar"/>
        </w:rPr>
        <w:t xml:space="preserve">scripts/wbes_canon.py</w:t>
      </w:r>
    </w:p>
    <w:p>
      <w:pPr>
        <w:numPr>
          <w:ilvl w:val="0"/>
          <w:numId w:val="1020"/>
        </w:numPr>
        <w:pStyle w:val="Compact"/>
      </w:pPr>
      <w:r>
        <w:rPr>
          <w:rStyle w:val="VerbatimChar"/>
        </w:rPr>
        <w:t xml:space="preserve">scripts/cd1_descriptives_pipeline.py</w:t>
      </w:r>
    </w:p>
    <w:p>
      <w:pPr>
        <w:numPr>
          <w:ilvl w:val="0"/>
          <w:numId w:val="1020"/>
        </w:numPr>
        <w:pStyle w:val="Compact"/>
      </w:pPr>
      <w:r>
        <w:rPr>
          <w:rStyle w:val="VerbatimChar"/>
        </w:rPr>
        <w:t xml:space="preserve">data_wbes/analysis/pooled_dataflow.csv</w:t>
      </w:r>
    </w:p>
    <w:p>
      <w:pPr>
        <w:numPr>
          <w:ilvl w:val="0"/>
          <w:numId w:val="1020"/>
        </w:numPr>
        <w:pStyle w:val="Compact"/>
      </w:pPr>
      <w:r>
        <w:rPr>
          <w:rStyle w:val="VerbatimChar"/>
        </w:rPr>
        <w:t xml:space="preserve">DATA_UPDATE_MANIFEST.md</w:t>
      </w:r>
    </w:p>
    <w:p>
      <w:pPr>
        <w:numPr>
          <w:ilvl w:val="0"/>
          <w:numId w:val="1020"/>
        </w:numPr>
        <w:pStyle w:val="Compact"/>
      </w:pPr>
      <w:r>
        <w:rPr>
          <w:rStyle w:val="VerbatimChar"/>
        </w:rPr>
        <w:t xml:space="preserve">CANONICAL_RECONCILIATION.md</w:t>
      </w:r>
    </w:p>
    <w:p>
      <w:r>
        <w:br w:type="page"/>
      </w:r>
    </w:p>
    <w:bookmarkEnd w:id="323"/>
    <w:bookmarkEnd w:id="324"/>
    <w:bookmarkStart w:id="330" w:name="X86341329d4ca9e5afda73fb4c3b7168d5c43eb3"/>
    <w:p>
      <w:pPr>
        <w:pStyle w:val="Heading1"/>
      </w:pPr>
      <w:r>
        <w:t xml:space="preserve">PHỤ LỤC B: CÔNG CỤ TRÍCH XUẤT DỮ LIỆU META-ANALYSIS M-AIDA</w:t>
      </w:r>
    </w:p>
    <w:p>
      <w:pPr>
        <w:pStyle w:val="BlockText"/>
      </w:pPr>
      <w:r>
        <w:t xml:space="preserve">Phụ lục này mô tả phần mềm</w:t>
      </w:r>
      <w:r>
        <w:t xml:space="preserve"> </w:t>
      </w:r>
      <w:r>
        <w:rPr>
          <w:bCs/>
          <w:b/>
        </w:rPr>
        <w:t xml:space="preserve">M-AIDA</w:t>
      </w:r>
      <w:r>
        <w:t xml:space="preserve"> </w:t>
      </w:r>
      <w:r>
        <w:t xml:space="preserve">(Meta-Analysis Intelligent Data Assistant,</w:t>
      </w:r>
      <w:r>
        <w:t xml:space="preserve"> </w:t>
      </w:r>
      <w:r>
        <w:t xml:space="preserve">phiên bản 7.0) — công cụ do chính nghiên cứu sinh phát triển và đã nộp hồ sơ đăng ký</w:t>
      </w:r>
      <w:r>
        <w:t xml:space="preserve"> </w:t>
      </w:r>
      <w:r>
        <w:t xml:space="preserve">quyền tác giả, dùng để trích xuất và quản trị dữ liệu cỡ ảnh hưởng cho cấu phần phân</w:t>
      </w:r>
      <w:r>
        <w:t xml:space="preserve"> </w:t>
      </w:r>
      <w:r>
        <w:t xml:space="preserve">tích tổng hợp của luận án (Nghiên cứu thành phần P6). Phụ lục được trình bày như</w:t>
      </w:r>
      <w:r>
        <w:t xml:space="preserve"> </w:t>
      </w:r>
      <w:r>
        <w:rPr>
          <w:bCs/>
          <w:b/>
        </w:rPr>
        <w:t xml:space="preserve">một</w:t>
      </w:r>
      <w:r>
        <w:rPr>
          <w:bCs/>
          <w:b/>
        </w:rPr>
        <w:t xml:space="preserve"> </w:t>
      </w:r>
      <w:r>
        <w:rPr>
          <w:bCs/>
          <w:b/>
        </w:rPr>
        <w:t xml:space="preserve">cấu phần minh bạch phương pháp luận</w:t>
      </w:r>
      <w:r>
        <w:t xml:space="preserve">, nhằm bảo đảm khả năng tái lập, công bố sử dụng</w:t>
      </w:r>
      <w:r>
        <w:t xml:space="preserve"> </w:t>
      </w:r>
      <w:r>
        <w:t xml:space="preserve">trí tuệ nhân tạo, và khả năng phản biện trước hội đồng.</w:t>
      </w:r>
    </w:p>
    <w:bookmarkStart w:id="325" w:name="X6d93590c0a3fbf80b7f247fba2520689e8b440a"/>
    <w:p>
      <w:pPr>
        <w:pStyle w:val="Heading2"/>
      </w:pPr>
      <w:r>
        <w:t xml:space="preserve">B.1 Mục đích và vị trí trong thiết kế nghiên cứu</w:t>
      </w:r>
    </w:p>
    <w:p>
      <w:pPr>
        <w:pStyle w:val="FirstParagraph"/>
      </w:pPr>
      <w:r>
        <w:t xml:space="preserve">Cấu phần phân tích tổng hợp (Mục 3.2) tổng hợp K=288 cỡ ảnh hưởng từ k=238 nghiên cứu</w:t>
      </w:r>
      <w:r>
        <w:t xml:space="preserve"> </w:t>
      </w:r>
      <w:r>
        <w:t xml:space="preserve">thực nghiệm về quan hệ quốc tế hóa–hiệu quả (I–P) giai đoạn 1977–2026 (danh sách đầy đủ</w:t>
      </w:r>
      <w:r>
        <w:t xml:space="preserve"> </w:t>
      </w:r>
      <w:r>
        <w:t xml:space="preserve">các nghiên cứu sơ cấp: Phụ lục D). Trích xuất thủ</w:t>
      </w:r>
      <w:r>
        <w:t xml:space="preserve"> </w:t>
      </w:r>
      <w:r>
        <w:t xml:space="preserve">công thuần túy ở quy mô này vừa tốn kém vừa dễ phát sinh sai số ghi chép; ngược lại, trích</w:t>
      </w:r>
      <w:r>
        <w:t xml:space="preserve"> </w:t>
      </w:r>
      <w:r>
        <w:t xml:space="preserve">xuất hoàn toàn tự động bằng mô hình ngôn ngữ lớn (LLM) lại tiềm ẩn rủi ro</w:t>
      </w:r>
      <w:r>
        <w:t xml:space="preserve"> </w:t>
      </w:r>
      <w:r>
        <w:t xml:space="preserve">“</w:t>
      </w:r>
      <w:r>
        <w:t xml:space="preserve">ảo giác</w:t>
      </w:r>
      <w:r>
        <w:t xml:space="preserve">”</w:t>
      </w:r>
      <w:r>
        <w:t xml:space="preserve"> </w:t>
      </w:r>
      <w:r>
        <w:t xml:space="preserve">số liệu</w:t>
      </w:r>
      <w:r>
        <w:t xml:space="preserve"> </w:t>
      </w:r>
      <w:r>
        <w:t xml:space="preserve">và thiếu dấu vết kiểm toán. M-AIDA được thiết kế để dung hòa: tận dụng tốc độ của LLM cho</w:t>
      </w:r>
      <w:r>
        <w:t xml:space="preserve"> </w:t>
      </w:r>
      <w:r>
        <w:t xml:space="preserve">khâu đọc–trích, đồng thời đặt</w:t>
      </w:r>
      <w:r>
        <w:t xml:space="preserve"> </w:t>
      </w:r>
      <w:r>
        <w:rPr>
          <w:bCs/>
          <w:b/>
        </w:rPr>
        <w:t xml:space="preserve">toàn bộ quyền quyết định cuối cùng vào tay nghiên cứu sinh</w:t>
      </w:r>
      <w:r>
        <w:t xml:space="preserve"> </w:t>
      </w:r>
      <w:r>
        <w:t xml:space="preserve">(Principal Investigator, PI) thông qua quy trình xác minh và khóa dữ liệu bất biến.</w:t>
      </w:r>
    </w:p>
    <w:bookmarkEnd w:id="325"/>
    <w:bookmarkStart w:id="326" w:name="b.2-kiến-trúc-phần-mềm"/>
    <w:p>
      <w:pPr>
        <w:pStyle w:val="Heading2"/>
      </w:pPr>
      <w:r>
        <w:t xml:space="preserve">B.2 Kiến trúc phần mềm</w:t>
      </w:r>
    </w:p>
    <w:p>
      <w:pPr>
        <w:pStyle w:val="FirstParagraph"/>
      </w:pPr>
      <w:r>
        <w:t xml:space="preserve">M-AIDA gồm hai thành phần, giao tiếp qua REST API:</w:t>
      </w:r>
    </w:p>
    <w:p>
      <w:pPr>
        <w:numPr>
          <w:ilvl w:val="0"/>
          <w:numId w:val="1021"/>
        </w:numPr>
        <w:pStyle w:val="Compact"/>
      </w:pPr>
      <w:r>
        <w:rPr>
          <w:bCs/>
          <w:b/>
        </w:rPr>
        <w:t xml:space="preserve">Backend — FastAPI (Python 3.11+).</w:t>
      </w:r>
      <w:r>
        <w:t xml:space="preserve"> </w:t>
      </w:r>
      <w:r>
        <w:t xml:space="preserve">Các mô-đun chính:</w:t>
      </w:r>
      <w:r>
        <w:t xml:space="preserve"> </w:t>
      </w:r>
      <w:r>
        <w:rPr>
          <w:rStyle w:val="VerbatimChar"/>
        </w:rPr>
        <w:t xml:space="preserve">extractor.py</w:t>
      </w:r>
      <w:r>
        <w:t xml:space="preserve"> </w:t>
      </w:r>
      <w:r>
        <w:t xml:space="preserve">(lớp</w:t>
      </w:r>
      <w:r>
        <w:t xml:space="preserve"> </w:t>
      </w:r>
      <w:r>
        <w:rPr>
          <w:rStyle w:val="VerbatimChar"/>
        </w:rPr>
        <w:t xml:space="preserve">StatisticalExtractor</w:t>
      </w:r>
      <w:r>
        <w:t xml:space="preserve">: pipeline LLM trích cỡ ảnh hưởng từ văn bản PDF),</w:t>
      </w:r>
      <w:r>
        <w:t xml:space="preserve"> </w:t>
      </w:r>
      <w:r>
        <w:rPr>
          <w:rStyle w:val="VerbatimChar"/>
        </w:rPr>
        <w:t xml:space="preserve">models.py</w:t>
      </w:r>
      <w:r>
        <w:t xml:space="preserve"> </w:t>
      </w:r>
      <w:r>
        <w:t xml:space="preserve">(các mô hình dữ liệu Pydantic:</w:t>
      </w:r>
      <w:r>
        <w:t xml:space="preserve"> </w:t>
      </w:r>
      <w:r>
        <w:rPr>
          <w:rStyle w:val="VerbatimChar"/>
        </w:rPr>
        <w:t xml:space="preserve">ExtractedEffect</w:t>
      </w:r>
      <w:r>
        <w:t xml:space="preserve">,</w:t>
      </w:r>
      <w:r>
        <w:t xml:space="preserve"> </w:t>
      </w:r>
      <w:r>
        <w:rPr>
          <w:rStyle w:val="VerbatimChar"/>
        </w:rPr>
        <w:t xml:space="preserve">StudyDatabaseEntry</w:t>
      </w:r>
      <w:r>
        <w:t xml:space="preserve">,</w:t>
      </w:r>
      <w:r>
        <w:t xml:space="preserve"> </w:t>
      </w:r>
      <w:r>
        <w:rPr>
          <w:rStyle w:val="VerbatimChar"/>
        </w:rPr>
        <w:t xml:space="preserve">VerificationDecision</w:t>
      </w:r>
      <w:r>
        <w:t xml:space="preserve">),</w:t>
      </w:r>
      <w:r>
        <w:t xml:space="preserve"> </w:t>
      </w:r>
      <w:r>
        <w:rPr>
          <w:rStyle w:val="VerbatimChar"/>
        </w:rPr>
        <w:t xml:space="preserve">settings.py</w:t>
      </w:r>
      <w:r>
        <w:t xml:space="preserve"> </w:t>
      </w:r>
      <w:r>
        <w:t xml:space="preserve">(cấu hình runtime),</w:t>
      </w:r>
      <w:r>
        <w:t xml:space="preserve"> </w:t>
      </w:r>
      <w:r>
        <w:rPr>
          <w:rStyle w:val="VerbatimChar"/>
        </w:rPr>
        <w:t xml:space="preserve">notion_sync.py</w:t>
      </w:r>
      <w:r>
        <w:t xml:space="preserve"> </w:t>
      </w:r>
      <w:r>
        <w:t xml:space="preserve">(đồng bộ</w:t>
      </w:r>
      <w:r>
        <w:t xml:space="preserve"> </w:t>
      </w:r>
      <w:r>
        <w:t xml:space="preserve">cơ sở dữ liệu nghiên cứu). Thư viện xử lý: PyMuPDF (đọc PDF), Anthropic Claude SDK</w:t>
      </w:r>
      <w:r>
        <w:t xml:space="preserve"> </w:t>
      </w:r>
      <w:r>
        <w:t xml:space="preserve">(pipeline LLM), pandas/numpy/scipy (xử lý thống kê).</w:t>
      </w:r>
    </w:p>
    <w:p>
      <w:pPr>
        <w:numPr>
          <w:ilvl w:val="0"/>
          <w:numId w:val="1021"/>
        </w:numPr>
        <w:pStyle w:val="Compact"/>
      </w:pPr>
      <w:r>
        <w:rPr>
          <w:bCs/>
          <w:b/>
        </w:rPr>
        <w:t xml:space="preserve">Frontend — React 18 + TypeScript.</w:t>
      </w:r>
      <w:r>
        <w:t xml:space="preserve"> </w:t>
      </w:r>
      <w:r>
        <w:t xml:space="preserve">Bố cục hai thẻ: thẻ</w:t>
      </w:r>
      <w:r>
        <w:t xml:space="preserve"> </w:t>
      </w:r>
      <w:r>
        <w:rPr>
          <w:iCs/>
          <w:i/>
        </w:rPr>
        <w:t xml:space="preserve">Trích xuất</w:t>
      </w:r>
      <w:r>
        <w:t xml:space="preserve"> </w:t>
      </w:r>
      <w:r>
        <w:t xml:space="preserve">(upload PDF,</w:t>
      </w:r>
      <w:r>
        <w:t xml:space="preserve"> </w:t>
      </w:r>
      <w:r>
        <w:t xml:space="preserve">hiển thị kết quả LLM) và thẻ</w:t>
      </w:r>
      <w:r>
        <w:t xml:space="preserve"> </w:t>
      </w:r>
      <w:r>
        <w:rPr>
          <w:iCs/>
          <w:i/>
        </w:rPr>
        <w:t xml:space="preserve">Xác minh &amp; Khóa</w:t>
      </w:r>
      <w:r>
        <w:t xml:space="preserve"> </w:t>
      </w:r>
      <w:r>
        <w:t xml:space="preserve">(bảng điều khiển để PI rà soát, ghi đè,</w:t>
      </w:r>
      <w:r>
        <w:t xml:space="preserve"> </w:t>
      </w:r>
      <w:r>
        <w:t xml:space="preserve">phê duyệt và khóa từng nghiên cứu), kèm chức năng xuất CSV các nghiên cứu đã khóa.</w:t>
      </w:r>
    </w:p>
    <w:bookmarkEnd w:id="326"/>
    <w:bookmarkStart w:id="327" w:name="Xd490646ae04433afd3fe47be003ca47685bcf6d"/>
    <w:p>
      <w:pPr>
        <w:pStyle w:val="Heading2"/>
      </w:pPr>
      <w:r>
        <w:t xml:space="preserve">B.3 Quy trình trích xuất và chuyển đổi cỡ ảnh hưởng</w:t>
      </w:r>
    </w:p>
    <w:p>
      <w:pPr>
        <w:pStyle w:val="FirstParagraph"/>
      </w:pPr>
      <w:r>
        <w:t xml:space="preserve">Với mỗi PDF, M-AIDA đọc toàn văn bằng PyMuPDF rồi gửi tới LLM với một system prompt</w:t>
      </w:r>
      <w:r>
        <w:t xml:space="preserve"> </w:t>
      </w:r>
      <w:r>
        <w:t xml:space="preserve">chuyên biệt cho meta-analysis I–P, yêu cầu nhận diện: cỡ mẫu</w:t>
      </w:r>
      <w:r>
        <w:t xml:space="preserve"> </w:t>
      </w:r>
      <m:oMath>
        <m:r>
          <m:t>N</m:t>
        </m:r>
      </m:oMath>
      <w:r>
        <w:t xml:space="preserve">, hệ số tương quan</w:t>
      </w:r>
      <w:r>
        <w:t xml:space="preserve"> </w:t>
      </w:r>
      <w:r>
        <w:t xml:space="preserve">Pearson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w:t>
      </w:r>
      <w:r>
        <w:t xml:space="preserve"> </w:t>
      </w:r>
      <w:r>
        <w:t xml:space="preserve">khoảng tin cậy 95%; đồng thời phân loại hai chiều xác định được từ văn bản (thước đo</w:t>
      </w:r>
      <w:r>
        <w:t xml:space="preserve"> </w:t>
      </w:r>
      <w:r>
        <w:t xml:space="preserve">quốc tế hóa: FSTS/GEO/EXP/FDI/COMP/OTH; thước đo hiệu quả: ACC/MKT/LAB/MIX) và cửa sổ</w:t>
      </w:r>
      <w:r>
        <w:t xml:space="preserve"> </w:t>
      </w:r>
      <w:r>
        <w:t xml:space="preserve">dữ liệu. Khi chỉ có thống kê phái sinh, hệ thống chuyển đổi về</w:t>
      </w:r>
      <w:r>
        <w:t xml:space="preserve"> </w:t>
      </w:r>
      <m:oMath>
        <m:r>
          <m:t>r</m:t>
        </m:r>
      </m:oMath>
      <w:r>
        <w:t xml:space="preserve"> </w:t>
      </w:r>
      <w:r>
        <w:t xml:space="preserve">theo chuẩn:</w:t>
      </w:r>
    </w:p>
    <w:p>
      <w:pPr>
        <w:pStyle w:val="BodyText"/>
      </w:pPr>
      <m:oMathPara>
        <m:oMathParaPr>
          <m:jc m:val="center"/>
        </m:oMathParaPr>
        <m:oMath>
          <m:r>
            <m:t>r</m:t>
          </m:r>
          <m:r>
            <m:rPr>
              <m:sty m:val="p"/>
            </m:rPr>
            <m:t>=</m:t>
          </m:r>
          <m:rad>
            <m:radPr>
              <m:degHide m:val="on"/>
            </m:radPr>
            <m:deg/>
            <m:e>
              <m:f>
                <m:fPr>
                  <m:type m:val="bar"/>
                </m:fPr>
                <m:num>
                  <m:sSup>
                    <m:e>
                      <m:r>
                        <m:t>t</m:t>
                      </m:r>
                    </m:e>
                    <m:sup>
                      <m:r>
                        <m:t>2</m:t>
                      </m:r>
                    </m:sup>
                  </m:sSup>
                </m:num>
                <m:den>
                  <m:sSup>
                    <m:e>
                      <m:r>
                        <m:t>t</m:t>
                      </m:r>
                    </m:e>
                    <m:sup>
                      <m:r>
                        <m:t>2</m:t>
                      </m:r>
                    </m:sup>
                  </m:sSup>
                  <m:r>
                    <m:rPr>
                      <m:sty m:val="p"/>
                    </m:rPr>
                    <m:t>+</m:t>
                  </m:r>
                  <m:r>
                    <m:t>d</m:t>
                  </m:r>
                  <m:r>
                    <m:t>f</m:t>
                  </m:r>
                </m:den>
              </m:f>
            </m:e>
          </m:rad>
          <m:r>
            <m:t> </m:t>
          </m:r>
          <m:r>
            <m:rPr>
              <m:nor/>
              <m:sty m:val="p"/>
            </m:rPr>
            <m:t>(Cohen, 1988)</m:t>
          </m:r>
          <m:r>
            <m:rPr>
              <m:sty m:val="p"/>
            </m:rPr>
            <m:t>;</m:t>
          </m:r>
          <m:r>
            <m:t>  </m:t>
          </m:r>
          <m:r>
            <m:t>r</m:t>
          </m:r>
          <m:r>
            <m:rPr>
              <m:sty m:val="p"/>
            </m:rPr>
            <m:t>≈</m:t>
          </m:r>
          <m:r>
            <m:t>0</m:t>
          </m:r>
          <m:r>
            <m:rPr>
              <m:sty m:val="p"/>
            </m:rPr>
            <m:t>,</m:t>
          </m:r>
          <m:r>
            <m:t>98</m:t>
          </m:r>
          <m:r>
            <m:t> </m:t>
          </m:r>
          <m:r>
            <m:t>β</m:t>
          </m:r>
          <m:r>
            <m:t> </m:t>
          </m:r>
          <m:r>
            <m:rPr>
              <m:nor/>
              <m:sty m:val="p"/>
            </m:rPr>
            <m:t>(Peterson &amp;Brown, 2005)</m:t>
          </m:r>
          <m:r>
            <m:rPr>
              <m:sty m:val="p"/>
            </m:rPr>
            <m:t>.</m:t>
          </m:r>
        </m:oMath>
      </m:oMathPara>
    </w:p>
    <w:p>
      <w:pPr>
        <w:pStyle w:val="FirstParagraph"/>
      </w:pPr>
      <w:r>
        <w:t xml:space="preserve">Phép chuyển từ</w:t>
      </w:r>
      <w:r>
        <w:t xml:space="preserve"> </w:t>
      </w:r>
      <m:oMath>
        <m:r>
          <m:t>β</m:t>
        </m:r>
      </m:oMath>
      <w:r>
        <w:t xml:space="preserve"> </w:t>
      </w:r>
      <w:r>
        <w:t xml:space="preserve">chỉ dùng số hạng độ dốc</w:t>
      </w:r>
      <w:r>
        <w:t xml:space="preserve"> </w:t>
      </w:r>
      <m:oMath>
        <m:r>
          <m:t>0</m:t>
        </m:r>
        <m:r>
          <m:rPr>
            <m:sty m:val="p"/>
          </m:rPr>
          <m:t>,</m:t>
        </m:r>
        <m:r>
          <m:t>98</m:t>
        </m:r>
      </m:oMath>
      <w:r>
        <w:t xml:space="preserve"> </w:t>
      </w:r>
      <w:r>
        <w:t xml:space="preserve">của Peterson và Brown (2005), bỏ</w:t>
      </w:r>
      <w:r>
        <w:t xml:space="preserve"> </w:t>
      </w:r>
      <w:r>
        <w:t xml:space="preserve">hệ số chặn</w:t>
      </w:r>
      <w:r>
        <w:t xml:space="preserve"> </w:t>
      </w:r>
      <m:oMath>
        <m:r>
          <m:rPr>
            <m:sty m:val="p"/>
          </m:rPr>
          <m:t>+</m:t>
        </m:r>
        <m:r>
          <m:t>0</m:t>
        </m:r>
        <m:r>
          <m:rPr>
            <m:sty m:val="p"/>
          </m:rPr>
          <m:t>,</m:t>
        </m:r>
        <m:r>
          <m:t>05</m:t>
        </m:r>
        <m:r>
          <m:t>λ</m:t>
        </m:r>
      </m:oMath>
      <w:r>
        <w:t xml:space="preserve"> </w:t>
      </w:r>
      <w:r>
        <w:t xml:space="preserve">trong công thức gốc của hai tác giả. Cách làm này trùng khít với</w:t>
      </w:r>
      <w:r>
        <w:t xml:space="preserve"> </w:t>
      </w:r>
      <w:r>
        <w:t xml:space="preserve">Peterson và Brown khi</w:t>
      </w:r>
      <w:r>
        <w:t xml:space="preserve"> </w:t>
      </w:r>
      <m:oMath>
        <m:r>
          <m:t>β</m:t>
        </m:r>
      </m:oMath>
      <w:r>
        <w:t xml:space="preserve"> </w:t>
      </w:r>
      <w:r>
        <w:t xml:space="preserve">âm và làm</w:t>
      </w:r>
      <w:r>
        <w:t xml:space="preserve"> </w:t>
      </w:r>
      <m:oMath>
        <m:d>
          <m:dPr>
            <m:begChr m:val="|"/>
            <m:endChr m:val="|"/>
            <m:sepChr m:val=""/>
            <m:grow/>
          </m:dPr>
          <m:e>
            <m:r>
              <m:t>r</m:t>
            </m:r>
          </m:e>
        </m:d>
      </m:oMath>
      <w:r>
        <w:t xml:space="preserve"> </w:t>
      </w:r>
      <w:r>
        <w:t xml:space="preserve">nhỏ đi</w:t>
      </w:r>
      <w:r>
        <w:t xml:space="preserve"> </w:t>
      </w:r>
      <m:oMath>
        <m:r>
          <m:t>0</m:t>
        </m:r>
        <m:r>
          <m:rPr>
            <m:sty m:val="p"/>
          </m:rPr>
          <m:t>,</m:t>
        </m:r>
        <m:r>
          <m:t>05</m:t>
        </m:r>
      </m:oMath>
      <w:r>
        <w:t xml:space="preserve"> </w:t>
      </w:r>
      <w:r>
        <w:t xml:space="preserve">khi</w:t>
      </w:r>
      <w:r>
        <w:t xml:space="preserve"> </w:t>
      </w:r>
      <m:oMath>
        <m:r>
          <m:t>β</m:t>
        </m:r>
      </m:oMath>
      <w:r>
        <w:t xml:space="preserve"> </w:t>
      </w:r>
      <w:r>
        <w:t xml:space="preserve">dương, tức thiên về</w:t>
      </w:r>
      <w:r>
        <w:t xml:space="preserve"> </w:t>
      </w:r>
      <w:r>
        <w:t xml:space="preserve">hướng thận trọng (không thổi phồng hiệu ứng); dấu của</w:t>
      </w:r>
      <w:r>
        <w:t xml:space="preserve"> </w:t>
      </w:r>
      <m:oMath>
        <m:r>
          <m:t>t</m:t>
        </m:r>
      </m:oMath>
      <w:r>
        <w:t xml:space="preserve"> </w:t>
      </w:r>
      <w:r>
        <w:t xml:space="preserve">và</w:t>
      </w:r>
      <w:r>
        <w:t xml:space="preserve"> </w:t>
      </w:r>
      <m:oMath>
        <m:r>
          <m:t>β</m:t>
        </m:r>
      </m:oMath>
      <w:r>
        <w:t xml:space="preserve"> </w:t>
      </w:r>
      <w:r>
        <w:t xml:space="preserve">luôn được giữ nguyên.</w:t>
      </w:r>
    </w:p>
    <w:p>
      <w:pPr>
        <w:pStyle w:val="BodyText"/>
      </w:pPr>
      <w:r>
        <w:t xml:space="preserve">Mỗi bản ghi được gán</w:t>
      </w:r>
      <w:r>
        <w:t xml:space="preserve"> </w:t>
      </w:r>
      <w:r>
        <w:rPr>
          <w:bCs/>
          <w:b/>
        </w:rPr>
        <w:t xml:space="preserve">điểm tin cậy trích xuất</w:t>
      </w:r>
      <w:r>
        <w:t xml:space="preserve"> </w:t>
      </w:r>
      <w:r>
        <w:t xml:space="preserve">ba mức: 1,0 (lấy trực tiếp</w:t>
      </w:r>
      <w:r>
        <w:t xml:space="preserve"> </w:t>
      </w:r>
      <m:oMath>
        <m:r>
          <m:t>r</m:t>
        </m:r>
      </m:oMath>
      <w:r>
        <w:t xml:space="preserve">), 0,8</w:t>
      </w:r>
      <w:r>
        <w:t xml:space="preserve"> </w:t>
      </w:r>
      <w:r>
        <w:t xml:space="preserve">(suy từ</w:t>
      </w:r>
      <w:r>
        <w:t xml:space="preserve"> </w:t>
      </w:r>
      <m:oMath>
        <m:r>
          <m:t>t</m:t>
        </m:r>
      </m:oMath>
      <w:r>
        <w:t xml:space="preserve">), 0,6 (suy từ</w:t>
      </w:r>
      <w:r>
        <w:t xml:space="preserve"> </w:t>
      </w:r>
      <m:oMath>
        <m:r>
          <m:t>β</m:t>
        </m:r>
      </m:oMath>
      <w:r>
        <w:t xml:space="preserve">); bản ghi có độ tin cậy dưới 0,7 tự động bị gắn cờ</w:t>
      </w:r>
      <w:r>
        <w:t xml:space="preserve"> </w:t>
      </w:r>
      <w:r>
        <w:rPr>
          <w:rStyle w:val="VerbatimChar"/>
        </w:rPr>
        <w:t xml:space="preserve">requires_verification</w:t>
      </w:r>
      <w:r>
        <w:t xml:space="preserve">.</w:t>
      </w:r>
    </w:p>
    <w:bookmarkEnd w:id="327"/>
    <w:bookmarkStart w:id="328" w:name="X2995f31ab8f3a55ab6f991c85d8b72cf0b230e7"/>
    <w:p>
      <w:pPr>
        <w:pStyle w:val="Heading2"/>
      </w:pPr>
      <w:r>
        <w:t xml:space="preserve">B.4 Quản trị dữ liệu: nguyên tắc tách bạch, xác minh PI và khóa bất biến</w:t>
      </w:r>
    </w:p>
    <w:p>
      <w:pPr>
        <w:pStyle w:val="FirstParagraph"/>
      </w:pPr>
      <w:r>
        <w:t xml:space="preserve">Ba nguyên tắc quản trị bảo đảm tính kiểm chứng độc lập và liêm chính:</w:t>
      </w:r>
    </w:p>
    <w:p>
      <w:pPr>
        <w:numPr>
          <w:ilvl w:val="0"/>
          <w:numId w:val="1022"/>
        </w:numPr>
        <w:pStyle w:val="Compact"/>
      </w:pPr>
      <w:r>
        <w:rPr>
          <w:bCs/>
          <w:b/>
        </w:rPr>
        <w:t xml:space="preserve">Tách bạch máy–người.</w:t>
      </w:r>
      <w:r>
        <w:t xml:space="preserve"> </w:t>
      </w:r>
      <w:r>
        <w:t xml:space="preserve">LLM</w:t>
      </w:r>
      <w:r>
        <w:t xml:space="preserve"> </w:t>
      </w:r>
      <w:r>
        <w:rPr>
          <w:bCs/>
          <w:b/>
        </w:rPr>
        <w:t xml:space="preserve">chỉ</w:t>
      </w:r>
      <w:r>
        <w:t xml:space="preserve"> </w:t>
      </w:r>
      <w:r>
        <w:t xml:space="preserve">trích thống kê. Các biến điều tiết thể chế của</w:t>
      </w:r>
      <w:r>
        <w:t xml:space="preserve"> </w:t>
      </w:r>
      <w:r>
        <w:t xml:space="preserve">luận án — chế độ ICRV (I/II/III/FR/MX theo WGI Rule of Law), pha DPL (PRE/SPN/FOL theo</w:t>
      </w:r>
      <w:r>
        <w:t xml:space="preserve"> </w:t>
      </w:r>
      <w:r>
        <w:t xml:space="preserve">năm dữ liệu trung vị) và chỉ số cDAI (Digital Adoption Index 0–1) —</w:t>
      </w:r>
      <w:r>
        <w:t xml:space="preserve"> </w:t>
      </w:r>
      <w:r>
        <w:rPr>
          <w:bCs/>
          <w:b/>
        </w:rPr>
        <w:t xml:space="preserve">do PI gán thủ</w:t>
      </w:r>
      <w:r>
        <w:rPr>
          <w:bCs/>
          <w:b/>
        </w:rPr>
        <w:t xml:space="preserve"> </w:t>
      </w:r>
      <w:r>
        <w:rPr>
          <w:bCs/>
          <w:b/>
        </w:rPr>
        <w:t xml:space="preserve">công từ bảng tra cứu ngoài</w:t>
      </w:r>
      <w:r>
        <w:t xml:space="preserve">, không để LLM suy đoán.</w:t>
      </w:r>
    </w:p>
    <w:p>
      <w:pPr>
        <w:numPr>
          <w:ilvl w:val="0"/>
          <w:numId w:val="1022"/>
        </w:numPr>
        <w:pStyle w:val="Compact"/>
      </w:pPr>
      <w:r>
        <w:rPr>
          <w:bCs/>
          <w:b/>
        </w:rPr>
        <w:t xml:space="preserve">Xác minh PI.</w:t>
      </w:r>
      <w:r>
        <w:t xml:space="preserve"> </w:t>
      </w:r>
      <w:r>
        <w:t xml:space="preserve">PI có thể áp</w:t>
      </w:r>
      <w:r>
        <w:t xml:space="preserve"> </w:t>
      </w:r>
      <w:r>
        <w:rPr>
          <w:rStyle w:val="VerbatimChar"/>
        </w:rPr>
        <w:t xml:space="preserve">field_overrides</w:t>
      </w:r>
      <w:r>
        <w:t xml:space="preserve"> </w:t>
      </w:r>
      <w:r>
        <w:t xml:space="preserve">lên bất kỳ trường nào của bản ghi và</w:t>
      </w:r>
      <w:r>
        <w:t xml:space="preserve"> </w:t>
      </w:r>
      <w:r>
        <w:t xml:space="preserve">ghi</w:t>
      </w:r>
      <w:r>
        <w:t xml:space="preserve"> </w:t>
      </w:r>
      <w:r>
        <w:rPr>
          <w:rStyle w:val="VerbatimChar"/>
        </w:rPr>
        <w:t xml:space="preserve">pi_notes</w:t>
      </w:r>
      <w:r>
        <w:t xml:space="preserve">; chỉ khi PI phê duyệt thì cờ</w:t>
      </w:r>
      <w:r>
        <w:t xml:space="preserve"> </w:t>
      </w:r>
      <w:r>
        <w:rPr>
          <w:rStyle w:val="VerbatimChar"/>
        </w:rPr>
        <w:t xml:space="preserve">requires_verification</w:t>
      </w:r>
      <w:r>
        <w:t xml:space="preserve"> </w:t>
      </w:r>
      <w:r>
        <w:t xml:space="preserve">mới chuyển sang</w:t>
      </w:r>
      <w:r>
        <w:t xml:space="preserve"> </w:t>
      </w:r>
      <w:r>
        <w:rPr>
          <w:rStyle w:val="VerbatimChar"/>
        </w:rPr>
        <w:t xml:space="preserve">False</w:t>
      </w:r>
      <w:r>
        <w:t xml:space="preserve">.</w:t>
      </w:r>
    </w:p>
    <w:p>
      <w:pPr>
        <w:numPr>
          <w:ilvl w:val="0"/>
          <w:numId w:val="1022"/>
        </w:numPr>
        <w:pStyle w:val="Compact"/>
      </w:pPr>
      <w:r>
        <w:rPr>
          <w:bCs/>
          <w:b/>
        </w:rPr>
        <w:t xml:space="preserve">Khóa bất biến (irreversible lock).</w:t>
      </w:r>
      <w:r>
        <w:t xml:space="preserve"> </w:t>
      </w:r>
      <w:r>
        <w:t xml:space="preserve">Bản ghi đã phê duyệt được khóa vĩnh viễn</w:t>
      </w:r>
      <w:r>
        <w:t xml:space="preserve"> </w:t>
      </w:r>
      <w:r>
        <w:t xml:space="preserve">(</w:t>
      </w:r>
      <w:r>
        <w:rPr>
          <w:rStyle w:val="VerbatimChar"/>
        </w:rPr>
        <w:t xml:space="preserve">pi_locked = True</w:t>
      </w:r>
      <w:r>
        <w:t xml:space="preserve">, kèm</w:t>
      </w:r>
      <w:r>
        <w:t xml:space="preserve"> </w:t>
      </w:r>
      <w:r>
        <w:rPr>
          <w:rStyle w:val="VerbatimChar"/>
        </w:rPr>
        <w:t xml:space="preserve">locked_at</w:t>
      </w:r>
      <w:r>
        <w:t xml:space="preserve"> </w:t>
      </w:r>
      <w:r>
        <w:t xml:space="preserve">theo giờ UTC); thao tác</w:t>
      </w:r>
      <w:r>
        <w:t xml:space="preserve"> </w:t>
      </w:r>
      <w:r>
        <w:rPr>
          <w:bCs/>
          <w:b/>
        </w:rPr>
        <w:t xml:space="preserve">không thể đảo ngược</w:t>
      </w:r>
      <w:r>
        <w:t xml:space="preserve">.</w:t>
      </w:r>
      <w:r>
        <w:t xml:space="preserve"> </w:t>
      </w:r>
      <w:r>
        <w:t xml:space="preserve">Chỉ các bản ghi đã khóa mới được xuất ra tập dữ liệu phân tích tổng hợp.</w:t>
      </w:r>
    </w:p>
    <w:p>
      <w:pPr>
        <w:pStyle w:val="FirstParagraph"/>
      </w:pPr>
      <w:r>
        <w:t xml:space="preserve">Cơ chế hai bước phê duyệt–khóa tạo</w:t>
      </w:r>
      <w:r>
        <w:t xml:space="preserve"> </w:t>
      </w:r>
      <w:r>
        <w:rPr>
          <w:bCs/>
          <w:b/>
        </w:rPr>
        <w:t xml:space="preserve">dấu vết kiểm toán (audit trail)</w:t>
      </w:r>
      <w:r>
        <w:t xml:space="preserve"> </w:t>
      </w:r>
      <w:r>
        <w:t xml:space="preserve">phân tách rõ phần</w:t>
      </w:r>
      <w:r>
        <w:t xml:space="preserve"> </w:t>
      </w:r>
      <w:r>
        <w:t xml:space="preserve">do máy trích xuất với phần do con người quyết định — đặc tính cốt lõi giúp kết quả meta-</w:t>
      </w:r>
      <w:r>
        <w:t xml:space="preserve"> </w:t>
      </w:r>
      <w:r>
        <w:t xml:space="preserve">analysis có thể tái lập và phản biện.</w:t>
      </w:r>
    </w:p>
    <w:bookmarkEnd w:id="328"/>
    <w:bookmarkStart w:id="329" w:name="X70bd36d09d5519c6a8efeaa4d46f4c4e0dca580"/>
    <w:p>
      <w:pPr>
        <w:pStyle w:val="Heading2"/>
      </w:pPr>
      <w:r>
        <w:t xml:space="preserve">B.5 Công bố sử dụng trí tuệ nhân tạo và liêm chính học thuật</w:t>
      </w:r>
    </w:p>
    <w:p>
      <w:pPr>
        <w:pStyle w:val="FirstParagraph"/>
      </w:pPr>
      <w:r>
        <w:t xml:space="preserve">Theo các khuyến nghị công bố sử dụng AI ngày càng phổ biến ở tạp chí học thuật, luận án</w:t>
      </w:r>
      <w:r>
        <w:t xml:space="preserve"> </w:t>
      </w:r>
      <w:r>
        <w:t xml:space="preserve">công bố minh bạch: (i) LLM được dùng</w:t>
      </w:r>
      <w:r>
        <w:t xml:space="preserve"> </w:t>
      </w:r>
      <w:r>
        <w:rPr>
          <w:bCs/>
          <w:b/>
        </w:rPr>
        <w:t xml:space="preserve">chỉ ở khâu trích xuất thống kê</w:t>
      </w:r>
      <w:r>
        <w:t xml:space="preserve"> </w:t>
      </w:r>
      <w:r>
        <w:t xml:space="preserve">trong cấu phần</w:t>
      </w:r>
      <w:r>
        <w:t xml:space="preserve"> </w:t>
      </w:r>
      <w:r>
        <w:t xml:space="preserve">phân tích tổng hợp, không dùng để sinh nội dung khoa học, không dùng để gán biến điều</w:t>
      </w:r>
      <w:r>
        <w:t xml:space="preserve"> </w:t>
      </w:r>
      <w:r>
        <w:t xml:space="preserve">tiết hay diễn giải kết quả; (ii)</w:t>
      </w:r>
      <w:r>
        <w:t xml:space="preserve"> </w:t>
      </w:r>
      <w:r>
        <w:rPr>
          <w:bCs/>
          <w:b/>
        </w:rPr>
        <w:t xml:space="preserve">toàn bộ</w:t>
      </w:r>
      <w:r>
        <w:t xml:space="preserve"> </w:t>
      </w:r>
      <w:r>
        <w:t xml:space="preserve">bản ghi đưa vào phân tích đã qua kiểm chứng</w:t>
      </w:r>
      <w:r>
        <w:t xml:space="preserve"> </w:t>
      </w:r>
      <w:r>
        <w:t xml:space="preserve">100% và phê duyệt của nghiên cứu sinh, kèm khóa dữ liệu bất biến; (iii) tập dữ liệu đã</w:t>
      </w:r>
      <w:r>
        <w:t xml:space="preserve"> </w:t>
      </w:r>
      <w:r>
        <w:t xml:space="preserve">khóa và mã nguồn công cụ được lưu giữ phục vụ kiểm tra tái lập. Nhờ đó, vai trò của trí</w:t>
      </w:r>
      <w:r>
        <w:t xml:space="preserve"> </w:t>
      </w:r>
      <w:r>
        <w:t xml:space="preserve">tuệ nhân tạo là</w:t>
      </w:r>
      <w:r>
        <w:t xml:space="preserve"> </w:t>
      </w:r>
      <w:r>
        <w:rPr>
          <w:bCs/>
          <w:b/>
        </w:rPr>
        <w:t xml:space="preserve">hỗ trợ năng suất ở khâu cơ học</w:t>
      </w:r>
      <w:r>
        <w:t xml:space="preserve">, trong khi trách nhiệm khoa học và mọi</w:t>
      </w:r>
      <w:r>
        <w:t xml:space="preserve"> </w:t>
      </w:r>
      <w:r>
        <w:t xml:space="preserve">quyết định nội dung thuộc về nghiên cứu sinh.</w:t>
      </w:r>
    </w:p>
    <w:p>
      <w:r>
        <w:br w:type="page"/>
      </w:r>
    </w:p>
    <w:bookmarkEnd w:id="329"/>
    <w:bookmarkEnd w:id="33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54" Target="media/rId154.png" /><Relationship Type="http://schemas.openxmlformats.org/officeDocument/2006/relationships/image" Id="rId151" Target="media/rId151.png" /><Relationship Type="http://schemas.openxmlformats.org/officeDocument/2006/relationships/image" Id="rId171" Target="media/rId17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234" Target="media/rId234.png" /><Relationship Type="http://schemas.openxmlformats.org/officeDocument/2006/relationships/image" Id="rId174" Target="media/rId174.png" /><Relationship Type="http://schemas.openxmlformats.org/officeDocument/2006/relationships/image" Id="rId222" Target="media/rId222.png" /><Relationship Type="http://schemas.openxmlformats.org/officeDocument/2006/relationships/image" Id="rId168" Target="media/rId1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2026-06-30T17:48:35Z</dcterms:created>
  <dcterms:modified xsi:type="dcterms:W3CDTF">2026-06-30T17:48:35Z</dcterms:modified>
</cp:coreProperties>
</file>

<file path=docProps/custom.xml><?xml version="1.0" encoding="utf-8"?>
<Properties xmlns="http://schemas.openxmlformats.org/officeDocument/2006/custom-properties" xmlns:vt="http://schemas.openxmlformats.org/officeDocument/2006/docPropsVTypes"/>
</file>