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88.869 doanh nghiệp ở 50 nền kinh tế (gồm Nhật Bản) châu Á và Thái Bình Dương, bao gồm 108 cặp quốc gia-năm qua 14 mốc khảo sát WBES giai đoạn 2009–2025 (hồi quy chính M2 N=81.022, M5 N=79.080).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108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 IJOEM đang phản biện)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2009–2025 (kèm một đợt khảo sát Oman 2003 trong bộ dữ liệu hợp nhất), bao trùm ba thế hệ schema WBES, tạo thành 103 cặp nền kinh tế–năm trên khung phân tích 50 nền (gồm Nhật Bản).</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e9d3ddc50a975426938b90e9f8f17c0f4735086"/>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đang phản biện): Phân tích 623 doanh nghiệp WBES 2023. Trong nền kinh tế số bão hòa, đường cong I–P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đang phản biện): Phân tích 4.559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88.869 doanh nghiệp (50 nền, gồm Nhật Bản).</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pattern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sang Nhóm IV (~39–46%) sang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ba vùng: chữ U ngược định hình rõ ở vùng giữa gradient (Nhóm IV, điểm uốn 43,0%); duỗi thẳng gần tuyến tính dương ở biên trên (Nhóm I–II); mất cấu trúc ở biên dưới (Nhóm V không ý nghĩa; Nhóm VI có pattern gánh nặng bắt buộc). Thể chế càng mạnh; ở biên trên gradient, chi phí giao dịch thấp và năng lực điều phối cao đẩy nhánh đi xuống ra ngoài miền quan sát thay vì tạo đỉnh sớm hơn.</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pool 88.869 (50 nền, gồm Nhật Bản).</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(pool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Pool phân loại đầy đủ = 96.415 DN/52 nền; loại 2 nền ngoài châu Á (Turkey, Cyprus) sang khung phân tích 50 nền Á–TBD (gồm Nhật Bản) = 88.869 DN.</w:t>
      </w:r>
    </w:p>
    <w:p>
      <w:pPr>
        <w:pStyle w:val="BodyText"/>
      </w:pPr>
      <w:r>
        <w:t xml:space="preserve">Ba thế hệ schema WBES và giao thức hòa hợp: PICS3 (2006–2012): biến FSTS từ d3b/d3c; TCI từ h1/h8/b8; DAI từ c22b only. Standardized (2013–2017): biến tái định dạng nhưng tương thích. BREADY/BEE (2018–2025):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trong cụm nền kinh tế × năm; và chuẩn hóa năng suất xuyên tiền tệ (xem dưới).</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I–P được nhận dạng từ biến thiên</w:t>
      </w:r>
      <w:r>
        <w:t xml:space="preserve"> </w:t>
      </w:r>
      <w:r>
        <w:rPr>
          <w:iCs/>
          <w:i/>
        </w:rPr>
        <w:t xml:space="preserve">nội bộ</w:t>
      </w:r>
      <w:r>
        <w:t xml:space="preserve"> </w:t>
      </w:r>
      <w:r>
        <w:t xml:space="preserve">nền kinh tế–năm, nhất quán với Phụ lục A của luận án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văn liệu I–P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(Pool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Pool đủ lớn (88.869 / 50 nền, gồm Nhật Bản) cho phép chạy M0–M7 riêng cho từng nhóm ICRV (Nhóm I: 6.390; Nhóm IV: 45.003)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50 nền kinh tế (gồm Nhật Bản)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88.869 doanh nghiệp (50 nền, gồm Nhật Bản),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88.869 doanh nghiệp WBES xuyên 50 nền kinh tế (gồm Nhật Bản)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Advanced Innovation (~28%); DAI×ICRV p=.012 (digital shield strongest khi thể chế yếu). P3 (Nhóm IV), P4 (Nhóm I), P5 (Nhóm III) cung cấp neo đậu cross-context đã được xác nhận bởi pooled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pool 1.371), β(FSTS_c)=−1,339</w:t>
      </w:r>
      <w:r>
        <w:t xml:space="preserve"> </w:t>
      </w:r>
      <w:r>
        <w:t xml:space="preserve">(p&lt;.001); kiểm định độ vững mở rộng 9 nền (thêm Comoros + Timor-Leste, N≈1.469, β≈−0,4), xác nhận Forced Internationalization Penalty: quan hệ âm đơn điệu không có điểm uốn,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đang phản biện].</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đang phản biện].</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rPr>
          <w:iCs/>
          <w:i/>
        </w:rPr>
        <w:t xml:space="preserve">(DOI cần xác minh Crossref)</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 Phân tích 4.559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2026-06-14T18:33:24Z</dcterms:created>
  <dcterms:modified xsi:type="dcterms:W3CDTF">2026-06-14T18:33:24Z</dcterms:modified>
</cp:coreProperties>
</file>

<file path=docProps/custom.xml><?xml version="1.0" encoding="utf-8"?>
<Properties xmlns="http://schemas.openxmlformats.org/officeDocument/2006/custom-properties" xmlns:vt="http://schemas.openxmlformats.org/officeDocument/2006/docPropsVTypes"/>
</file>