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 of the</w:t>
      </w:r>
      <w:r>
        <w:t xml:space="preserve"> </w:t>
      </w:r>
      <w:r>
        <w:rPr>
          <w:iCs/>
          <w:i/>
        </w:rPr>
        <w:t xml:space="preserve">Journal of Economics and Development</w:t>
      </w:r>
      <w:r>
        <w:t xml:space="preserve"> </w:t>
      </w:r>
      <w:r>
        <w:t xml:space="preserve">Special Issue on "Sustainable Growth and Welfare in the Age of Artificial Intelligence",</w:t>
      </w:r>
    </w:p>
    <w:p>
      <w:pPr>
        <w:pStyle w:val="BodyText"/>
      </w:pPr>
      <w:r>
        <w:t xml:space="preserve">Please consider our manuscript, "The Pre-AI Digital Divide and Firm Productivity across Asia's Institutional Regimes: Firm-Level Evidence from 50 Economies", for the special issue.</w:t>
      </w:r>
    </w:p>
    <w:p>
      <w:pPr>
        <w:pStyle w:val="BodyText"/>
      </w:pPr>
      <w:r>
        <w:t xml:space="preserve">The special issue asks how AI will shape development and welfare, particularly in developing and emerging economies. Our paper addresses a precondition that the AI debate often presumes but rarely measures: the basic digital substrate on which any AI dividend must build. Using harmonised World Bank Enterprise Survey micro-data for 88,869 firms across 50 Asian and Pacific economies, we map the firm-level digital divide across six institutional regimes and estimate the productivity dividend of basic digital adoption.</w:t>
      </w:r>
    </w:p>
    <w:p>
      <w:pPr>
        <w:pStyle w:val="BodyText"/>
      </w:pPr>
      <w:r>
        <w:t xml:space="preserve">We report three findings of direct relevance to the issue's themes (AI and development strategy; digital divides and adoption barriers; AI, inequality, and welfare). First, a pronounced firm-level digital divide: web adoption falls from 69% in the strongest-institution regime to roughly 41% in the emerging and Pacific-SIDS regimes, and barely half of the region's formal-sector firms have crossed even this basic threshold. Second, the productivity dividend from crossing it is positive and significant in every regime (+0.18 to +0.48 SD), and roughly double the level effect of deeper technological capability. Third, the economies furthest behind still earn a significant dividend from closing the gap, yet are least equipped to absorb AI — implying that, unless the pre-AI digital divide is closed, AI is more likely to widen than narrow cross-economy inequality. We draw out a sequencing logic for development policy: digital substrate first, then AI.</w:t>
      </w:r>
    </w:p>
    <w:p>
      <w:pPr>
        <w:pStyle w:val="BodyText"/>
      </w:pPr>
      <w:r>
        <w:t xml:space="preserve">The manuscript is approximately 4,500 words, has not been published, and is not under consideration elsewhere. All quantitative results are reproducible from the accompanying scripts; we include an AI-use disclosure. We believe the paper's firm-level, cross-institutional evidence on the digital substrate of the AI era fits the special issue's developmental focus.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The Authors</w:t>
      </w:r>
    </w:p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2026-06-13T23:48:09Z</dcterms:created>
  <dcterms:modified xsi:type="dcterms:W3CDTF">2026-06-13T23:48:09Z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