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(centred-scale inflection,</w:t>
            </w:r>
            <w:r>
              <w:t xml:space="preserve"> </w:t>
            </w:r>
            <m:oMath>
              <m:sSup>
                <m:e>
                  <m:r>
                    <m:rPr>
                      <m:sty m:val="p"/>
                    </m:rPr>
                    <m:t>F</m:t>
                  </m:r>
                  <m:r>
                    <m:rPr>
                      <m:sty m:val="p"/>
                    </m:rPr>
                    <m:t>S</m:t>
                  </m:r>
                  <m:r>
                    <m:rPr>
                      <m:sty m:val="p"/>
                    </m:rPr>
                    <m:t>T</m:t>
                  </m:r>
                  <m:r>
                    <m:rPr>
                      <m:sty m:val="p"/>
                    </m:rPr>
                    <m:t>S</m:t>
                  </m:r>
                </m:e>
                <m:sup>
                  <m:r>
                    <m:t>c</m:t>
                  </m:r>
                </m:sup>
              </m:sSup>
            </m:oMath>
            <w:r>
              <w:t xml:space="preserve">)</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 The turning-point row reports the inflection on the wave-centred scale (</w:t>
      </w:r>
      <m:oMath>
        <m:sSup>
          <m:e>
            <m:r>
              <m:rPr>
                <m:sty m:val="p"/>
              </m:rPr>
              <m:t>F</m:t>
            </m:r>
            <m:r>
              <m:rPr>
                <m:sty m:val="p"/>
              </m:rPr>
              <m:t>S</m:t>
            </m:r>
            <m:r>
              <m:rPr>
                <m:sty m:val="p"/>
              </m:rPr>
              <m:t>T</m:t>
            </m:r>
            <m:r>
              <m:rPr>
                <m:sty m:val="p"/>
              </m:rPr>
              <m:t>S</m:t>
            </m:r>
          </m:e>
          <m:sup>
            <m:r>
              <m:t>c</m:t>
            </m:r>
          </m:sup>
        </m:sSup>
      </m:oMath>
      <w:r>
        <w:t xml:space="preserve">); the corresponding raw-FSTS turning points (46.2%, 39.3%, 41.6%, 39.7%; range 39–46%) with delta-method confidence intervals are reported in Table 4.</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 -2.115, p = .004 in M2) but the digital channel</w:t>
      </w:r>
    </w:p>
    <w:p>
      <w:pPr>
        <w:pStyle w:val="BodyText"/>
      </w:pPr>
      <w:r>
        <w:t xml:space="preserve">I–P curvature is unusually sharp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term is negative (β = -1.909, p &lt; .001); the Lind–Mehlum</w:t>
      </w:r>
    </w:p>
    <w:p>
      <w:pPr>
        <w:pStyle w:val="BodyText"/>
      </w:pPr>
      <w:r>
        <w:t xml:space="preserve">&lt; .001) and the quadratic</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Heckman, 1979; Certo et al., 2016; Wolfolds &amp; Siegel, 2019)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(p=.543)</w:t>
            </w:r>
          </w:p>
        </w:tc>
        <w:tc>
          <w:tcPr/>
          <w:p>
            <w:pPr>
              <w:pStyle w:val="Compact"/>
              <w:jc w:val="left"/>
            </w:pPr>
            <w:r>
              <w:t xml:space="preserve">z=0.96 (p=.337)</w:t>
            </w:r>
          </w:p>
        </w:tc>
        <w:tc>
          <w:tcPr/>
          <w:p>
            <w:pPr>
              <w:pStyle w:val="Compact"/>
              <w:jc w:val="left"/>
            </w:pPr>
            <w:r>
              <w:t xml:space="preserve">z=1.29 (p=.198)</w:t>
            </w:r>
          </w:p>
        </w:tc>
        <w:tc>
          <w:tcPr/>
          <w:p>
            <w:pPr>
              <w:pStyle w:val="Compact"/>
              <w:jc w:val="left"/>
            </w:pPr>
            <w:r>
              <w:t xml:space="preserve">z=3.35 (p=.001)</w:t>
            </w:r>
          </w:p>
        </w:tc>
      </w:tr>
      <w:tr>
        <w:tc>
          <w:tcPr/>
          <w:p>
            <w:pPr>
              <w:pStyle w:val="Compact"/>
              <w:jc w:val="left"/>
            </w:pPr>
            <w:r>
              <w:t xml:space="preserve">2009 vs. 2023</w:t>
            </w:r>
          </w:p>
        </w:tc>
        <w:tc>
          <w:tcPr/>
          <w:p>
            <w:pPr>
              <w:pStyle w:val="Compact"/>
              <w:jc w:val="left"/>
            </w:pPr>
            <w:r>
              <w:t xml:space="preserve">z=0.09 (p=.926)</w:t>
            </w:r>
          </w:p>
        </w:tc>
        <w:tc>
          <w:tcPr/>
          <w:p>
            <w:pPr>
              <w:pStyle w:val="Compact"/>
              <w:jc w:val="left"/>
            </w:pPr>
            <w:r>
              <w:t xml:space="preserve">z=0.14 (p=.888)</w:t>
            </w:r>
          </w:p>
        </w:tc>
        <w:tc>
          <w:tcPr/>
          <w:p>
            <w:pPr>
              <w:pStyle w:val="Compact"/>
              <w:jc w:val="left"/>
            </w:pPr>
            <w:r>
              <w:t xml:space="preserve">z=1.42 (p=.155)</w:t>
            </w:r>
          </w:p>
        </w:tc>
        <w:tc>
          <w:tcPr/>
          <w:p>
            <w:pPr>
              <w:pStyle w:val="Compact"/>
              <w:jc w:val="left"/>
            </w:pPr>
            <w:r>
              <w:t xml:space="preserve">z=1.28 (p=.201)</w:t>
            </w:r>
          </w:p>
        </w:tc>
      </w:tr>
      <w:tr>
        <w:tc>
          <w:tcPr/>
          <w:p>
            <w:pPr>
              <w:pStyle w:val="Compact"/>
              <w:jc w:val="left"/>
            </w:pPr>
            <w:r>
              <w:t xml:space="preserve">2015 vs. 2023</w:t>
            </w:r>
          </w:p>
        </w:tc>
        <w:tc>
          <w:tcPr/>
          <w:p>
            <w:pPr>
              <w:pStyle w:val="Compact"/>
              <w:jc w:val="left"/>
            </w:pPr>
            <w:r>
              <w:t xml:space="preserve">z=0.66 (p=.509)</w:t>
            </w:r>
          </w:p>
        </w:tc>
        <w:tc>
          <w:tcPr/>
          <w:p>
            <w:pPr>
              <w:pStyle w:val="Compact"/>
              <w:jc w:val="left"/>
            </w:pPr>
            <w:r>
              <w:t xml:space="preserve">z=-0.84 (p=.400)</w:t>
            </w:r>
          </w:p>
        </w:tc>
        <w:tc>
          <w:tcPr/>
          <w:p>
            <w:pPr>
              <w:pStyle w:val="Compact"/>
              <w:jc w:val="left"/>
            </w:pPr>
            <w:r>
              <w:t xml:space="preserve">z=0.07 (p=.947)</w:t>
            </w:r>
          </w:p>
        </w:tc>
        <w:tc>
          <w:tcPr/>
          <w:p>
            <w:pPr>
              <w:pStyle w:val="Compact"/>
              <w:jc w:val="left"/>
            </w:pPr>
            <w:r>
              <w:t xml:space="preserve">z=-2.05 (p=.040)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Sample selection bias and Heckman models in strategic management research.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MacKinnon, J. G. and White, H. (1985). Some heteroskedasticity-consistent covariance matrix estimators with improved finite sample properties. Journal of Econometrics, 29(3):305–325.</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2026-06-15T04:43:34Z</dcterms:created>
  <dcterms:modified xsi:type="dcterms:W3CDTF">2026-06-15T04:43:34Z</dcterms:modified>
</cp:coreProperties>
</file>

<file path=docProps/custom.xml><?xml version="1.0" encoding="utf-8"?>
<Properties xmlns="http://schemas.openxmlformats.org/officeDocument/2006/custom-properties" xmlns:vt="http://schemas.openxmlformats.org/officeDocument/2006/docPropsVTypes"/>
</file>