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(base wave samples 2012, N = 2,619; 2024, N = 1,940; pooled N = 4,559; focal‑complete analytic samples in Tables 1–2 are marginally smaller after listwise deletion, see Section 3.1),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+0.26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null capability curvature moderation and unstable working-capital analyses reinforce this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and Chen and Tan (2012) show that the relationship varies systematically across Chinese regions.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base wave samples are 2,619 firms in 2012, 1,940 firms in 2024, and 4,559 firm‑year observations in the pooled sample.</w:t>
      </w:r>
    </w:p>
    <w:p>
      <w:pPr>
        <w:pStyle w:val="BodyText"/>
      </w:pPr>
      <w:r>
        <w:t xml:space="preserve">The analysis uses three nested sample tiers that the reader should keep distinct. The base wave samples comprise 2,619 (2012) and 1,940 (2024) firms (pooled 4,559) and are the figures cited in the abstract and throughout the running text; applying listwise deletion across the full focal regressor set (</w:t>
      </w:r>
      <m:oMath>
        <m:r>
          <m:rPr>
            <m:sty m:val="p"/>
          </m:rPr>
          <m:t>ln</m:t>
        </m:r>
        <m:d>
          <m:dPr>
            <m:begChr m:val="("/>
            <m:endChr m:val=")"/>
            <m:sepChr m:val=""/>
            <m:grow/>
          </m:dPr>
          <m:e>
            <m:r>
              <m:rPr>
                <m:sty m:val="p"/>
              </m:rPr>
              <m:t>L</m:t>
            </m:r>
            <m:r>
              <m:rPr>
                <m:sty m:val="p"/>
              </m:rPr>
              <m:t>P</m:t>
            </m:r>
          </m:e>
        </m:d>
      </m:oMath>
      <w:r>
        <w:t xml:space="preserve">,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yields the slightly smaller focal‑complete analytic samples reported in Tables 1–2 (2,610 in 2012, 1,934 in 2024, pooled 4,544); and the capability‑complete subsample used for the three‑way interaction model (sample_full), which additionally requires non‑missing</w:t>
      </w:r>
      <w:r>
        <w:t xml:space="preserve"> </w:t>
      </w:r>
      <m:oMath>
        <m:sSub>
          <m:e>
            <m:r>
              <m:rPr>
                <m:sty m:val="p"/>
              </m:rPr>
              <m:t>T</m:t>
            </m:r>
            <m:r>
              <m:rPr>
                <m:sty m:val="p"/>
              </m:rPr>
              <m:t>C</m:t>
            </m:r>
            <m:r>
              <m:rPr>
                <m:sty m:val="p"/>
              </m:rPr>
              <m:t>I</m:t>
            </m:r>
          </m:e>
          <m:sub>
            <m:r>
              <m:rPr>
                <m:nor/>
                <m:sty m:val="p"/>
              </m:rPr>
              <m:t>full</m:t>
            </m:r>
          </m:sub>
        </m:sSub>
      </m:oMath>
      <w:r>
        <w:t xml:space="preserve"> </w:t>
      </w:r>
      <w:r>
        <w:t xml:space="preserve">items, is N = 3,559 (Table 3). The three tiers differ only by the breadth of the listwise‑deletion filter, not by any change to the underlying data, sampling frame, or coding; the small N differences across tiers reflect these progressively stricter completeness requirements.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by wave (focal‑complete analytic sample after listwise deletion; cf. base wave N in Section 3.1)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JFAR), where the DDC×FSTS curvature F-test yields p = .89,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JFAR) reports that female manager presence does not moderate the I–P curvature (female manager × FSTS β = 0.003, p = .892),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JFAR), where DAI curvature moderation returns a null F-test (p = .89).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ICBEF). A natural next step in our broader research stream is the multi-country replication of the threshold-stability test on WBES data for Vietnam, Indonesia, India, and other emerging-Asia settings (Author Citation, 2026,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9"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9">
        <w:r>
          <w:rPr>
            <w:rStyle w:val="Hyperlink"/>
          </w:rPr>
          <w:t xml:space="preserve">https://doi.org/10.1002/smj.3087</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0">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1">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2">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3">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4">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5">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6">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7">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7">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8">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9"/>
    <w:bookmarkStart w:id="11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code refactoring, and reference formatting. All research design, variable construction, model specification, estimation, interpretation, and scientific conclusions are the authors' own work and responsibility. No result was accepted on an AI's assertion; all reported quantitative results are reproducible from the replication package.</w:t>
      </w:r>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99" Target="https://doi.org/10.1002/smj.3087" TargetMode="External" /><Relationship Type="http://schemas.openxmlformats.org/officeDocument/2006/relationships/hyperlink" Id="rId102"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8" Target="https://doi.org/10.1016/j.intman.2012.12.003" TargetMode="External" /><Relationship Type="http://schemas.openxmlformats.org/officeDocument/2006/relationships/hyperlink" Id="rId103"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4"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5"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6"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100"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7"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99" Target="https://doi.org/10.1002/smj.3087" TargetMode="External" /><Relationship Type="http://schemas.openxmlformats.org/officeDocument/2006/relationships/hyperlink" Id="rId102"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8" Target="https://doi.org/10.1016/j.intman.2012.12.003" TargetMode="External" /><Relationship Type="http://schemas.openxmlformats.org/officeDocument/2006/relationships/hyperlink" Id="rId103"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4"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5"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6"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100"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7"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2026-06-15T04:43:35Z</dcterms:created>
  <dcterms:modified xsi:type="dcterms:W3CDTF">2026-06-15T04:43:35Z</dcterms:modified>
</cp:coreProperties>
</file>

<file path=docProps/custom.xml><?xml version="1.0" encoding="utf-8"?>
<Properties xmlns="http://schemas.openxmlformats.org/officeDocument/2006/custom-properties" xmlns:vt="http://schemas.openxmlformats.org/officeDocument/2006/docPropsVTypes"/>
</file>