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Editors of International Journal of Emerging Markets,</w:t>
      </w:r>
    </w:p>
    <w:p>
      <w:pPr>
        <w:pStyle w:val="BodyText"/>
      </w:pPr>
      <w:r>
        <w:t xml:space="preserve">Please consider our manuscript</w:t>
      </w:r>
      <w:r>
        <w:t xml:space="preserve"> </w:t>
      </w:r>
      <w:r>
        <w:t xml:space="preserve">“</w:t>
      </w:r>
      <w:r>
        <w:t xml:space="preserve">At the Upper Bound of the Institutional Gradient:</w:t>
      </w:r>
      <w:r>
        <w:t xml:space="preserve"> </w:t>
      </w:r>
      <w:r>
        <w:t xml:space="preserve">Internationalization, Capabilities, and Firm Performance in Japan’s Inaugural</w:t>
      </w:r>
      <w:r>
        <w:t xml:space="preserve"> </w:t>
      </w:r>
      <w:r>
        <w:t xml:space="preserve">World Bank Enterprise Survey</w:t>
      </w:r>
      <w:r>
        <w:t xml:space="preserve">”</w:t>
      </w:r>
      <w:r>
        <w:t xml:space="preserve"> </w:t>
      </w:r>
      <w:r>
        <w:t xml:space="preserve">for publication as an original research article.</w:t>
      </w:r>
    </w:p>
    <w:p>
      <w:pPr>
        <w:pStyle w:val="BodyText"/>
      </w:pPr>
      <w:r>
        <w:t xml:space="preserve">The paper exploits a unique data event: Japan’s first-ever inclusion in the World</w:t>
      </w:r>
      <w:r>
        <w:t xml:space="preserve"> </w:t>
      </w:r>
      <w:r>
        <w:t xml:space="preserve">Bank Enterprise Surveys (2025; N = 2,168 establishments). This closes the last</w:t>
      </w:r>
      <w:r>
        <w:t xml:space="preserve"> </w:t>
      </w:r>
      <w:r>
        <w:t xml:space="preserve">major gap in harmonised firm-level data for advanced Asia and allows the first</w:t>
      </w:r>
      <w:r>
        <w:t xml:space="preserve"> </w:t>
      </w:r>
      <w:r>
        <w:t xml:space="preserve">direct test, on identical instrumentation, of how the internationalization-</w:t>
      </w:r>
      <w:r>
        <w:t xml:space="preserve"> </w:t>
      </w:r>
      <w:r>
        <w:t xml:space="preserve">performance relationship behaves at the upper bound of the institutional</w:t>
      </w:r>
      <w:r>
        <w:t xml:space="preserve"> </w:t>
      </w:r>
      <w:r>
        <w:t xml:space="preserve">gradient. The setting is theoretically pointed: the inverted-U that organises</w:t>
      </w:r>
      <w:r>
        <w:t xml:space="preserve"> </w:t>
      </w:r>
      <w:r>
        <w:t xml:space="preserve">this literature was originally established on Japanese firms (Lu &amp; Beamish,</w:t>
      </w:r>
      <w:r>
        <w:t xml:space="preserve"> </w:t>
      </w:r>
      <w:r>
        <w:t xml:space="preserve">2001, 2004), yet Japan has never been observed on the harmonised instrument that</w:t>
      </w:r>
      <w:r>
        <w:t xml:space="preserve"> </w:t>
      </w:r>
      <w:r>
        <w:t xml:space="preserve">benchmarks it against its regional peers. We find a monotonically positive</w:t>
      </w:r>
      <w:r>
        <w:t xml:space="preserve"> </w:t>
      </w:r>
      <w:r>
        <w:t xml:space="preserve">relationship with no detectable turning point across eleven specifications;</w:t>
      </w:r>
      <w:r>
        <w:t xml:space="preserve"> </w:t>
      </w:r>
      <w:r>
        <w:t xml:space="preserve">level-shifting (not curve-reshaping) effects of technological capability and</w:t>
      </w:r>
      <w:r>
        <w:t xml:space="preserve"> </w:t>
      </w:r>
      <w:r>
        <w:t xml:space="preserve">digital adoption; and, most consequentially, that the productivity payoff to</w:t>
      </w:r>
      <w:r>
        <w:t xml:space="preserve"> </w:t>
      </w:r>
      <w:r>
        <w:t xml:space="preserve">internationalization operates at the extensive margin rather than along the</w:t>
      </w:r>
      <w:r>
        <w:t xml:space="preserve"> </w:t>
      </w:r>
      <w:r>
        <w:t xml:space="preserve">intensity gradient: foreign ownership, technological capability, and digital</w:t>
      </w:r>
      <w:r>
        <w:t xml:space="preserve"> </w:t>
      </w:r>
      <w:r>
        <w:t xml:space="preserve">adoption govern who exports, and exporters earn a 25.8% productivity premium. We</w:t>
      </w:r>
      <w:r>
        <w:t xml:space="preserve"> </w:t>
      </w:r>
      <w:r>
        <w:t xml:space="preserve">also document a firm-longevity premium consistent with the shinise tradition and</w:t>
      </w:r>
      <w:r>
        <w:t xml:space="preserve"> </w:t>
      </w:r>
      <w:r>
        <w:t xml:space="preserve">a strikingly thin female-leadership margin.</w:t>
      </w:r>
    </w:p>
    <w:p>
      <w:pPr>
        <w:pStyle w:val="BodyText"/>
      </w:pPr>
      <w:r>
        <w:t xml:space="preserve">The manuscript is approximately 7,000 words, has not been published, and is not</w:t>
      </w:r>
      <w:r>
        <w:t xml:space="preserve"> </w:t>
      </w:r>
      <w:r>
        <w:t xml:space="preserve">under consideration elsewhere. A full replication script accompanies the</w:t>
      </w:r>
      <w:r>
        <w:t xml:space="preserve"> </w:t>
      </w:r>
      <w:r>
        <w:t xml:space="preserve">submission. Given the journal’s focus on the Asian business context and on</w:t>
      </w:r>
      <w:r>
        <w:t xml:space="preserve"> </w:t>
      </w:r>
      <w:r>
        <w:t xml:space="preserve">Japan in particular, we believe the paper will interest your readership.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The Authors</w:t>
      </w:r>
    </w:p>
    <w:sect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80" w:before="180" w:line="276" w:lineRule="auto"/>
      <w:jc w:val="both"/>
    </w:pPr>
    <w:qFormat/>
    <w:rPr>
      <w:rFonts w:ascii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76" w:lineRule="auto"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76" w:lineRule="auto"/>
      <w:jc w:val="both"/>
    </w:pPr>
    <w:rPr>
      <w:rFonts w:ascii="Times New Roman" w:eastAsia="Times New Roman" w:hAnsi="Times New Roman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Date" w:type="paragraph">
    <w:name w:val="Date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300" w:line="276" w:lineRule="auto"/>
    </w:pPr>
    <w:rPr>
      <w:color w:val="000000"/>
      <w:sz w:val="24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76" w:lineRule="auto"/>
      <w:jc w:val="both"/>
    </w:pPr>
    <w:rPr>
      <w:rFonts w:ascii="Times New Roman" w:eastAsia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76" w:lineRule="auto"/>
      <w:jc w:val="both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76" w:lineRule="auto"/>
      <w:ind w:firstLine="0" w:left="480" w:right="480"/>
      <w:jc w:val="both"/>
    </w:pPr>
    <w:rPr>
      <w:rFonts w:ascii="Times New Roman" w:eastAsia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default="1" w:styleId="DefaultParagraphFont" w:type="character">
    <w:name w:val="Default Paragraph Font"/>
    <w:semiHidden/>
    <w:unhideWhenUsed/>
    <w:rPr>
      <w:rFonts w:ascii="Times New Roman" w:eastAsia="Times New Roman" w:hAnsi="Times New Roman"/>
      <w:color w:val="000000"/>
      <w:sz w:val="24"/>
    </w:rPr>
  </w:style>
  <w:style w:default="1" w:styleId="Table" w:type="table">
    <w:name w:val="Table"/>
    <w:basedOn w:val="TableNormal"/>
    <w:semiHidden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76" w:lineRule="auto"/>
      <w:jc w:val="both"/>
    </w:pPr>
    <w:rPr>
      <w:rFonts w:ascii="Times New Roman" w:eastAsia="Times New Roman" w:hAnsi="Times New Roman"/>
      <w:b/>
      <w:color w:val="000000"/>
      <w:sz w:val="24"/>
    </w:rPr>
  </w:style>
  <w:style w:customStyle="1" w:styleId="Definition" w:type="paragraph">
    <w:name w:val="Definition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Caption" w:type="paragraph">
    <w:name w:val="Caption"/>
    <w:basedOn w:val="Normal"/>
    <w:link w:val="BodyTextChar"/>
    <w:pPr>
      <w:spacing w:after="120" w:before="0" w:line="276" w:lineRule="auto"/>
      <w:jc w:val="both"/>
    </w:pPr>
    <w:rPr>
      <w:rFonts w:ascii="Times New Roman" w:eastAsia="Times New Roman" w:hAnsi="Times New Roman"/>
      <w:i/>
      <w:color w:val="000000"/>
      <w:sz w:val="24"/>
    </w:rPr>
  </w:style>
  <w:style w:customStyle="1" w:styleId="TableCaption" w:type="paragraph">
    <w:name w:val="Table Caption"/>
    <w:basedOn w:val="Caption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ImageCaption" w:type="paragraph">
    <w:name w:val="Image Caption"/>
    <w:basedOn w:val="Caption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Figure" w:type="paragraph">
    <w:name w:val="Figure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aptionedFigure" w:type="paragraph">
    <w:name w:val="Captioned Figure"/>
    <w:basedOn w:val="Figure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Times New Roman" w:hAnsi="Times New Roman"/>
      <w:color w:val="000000"/>
      <w:sz w:val="24"/>
    </w:rPr>
  </w:style>
  <w:style w:customStyle="1" w:styleId="VerbatimChar" w:type="character">
    <w:name w:val="Verbatim Char"/>
    <w:basedOn w:val="BodyTextChar"/>
    <w:rPr>
      <w:rFonts w:ascii="Times New Roman" w:eastAsia="Times New Roman" w:hAnsi="Times New Roman"/>
      <w:color w:val="000000"/>
      <w:sz w:val="24"/>
    </w:rPr>
  </w:style>
  <w:style w:customStyle="1" w:styleId="SectionNumber" w:type="character">
    <w:name w:val="Section Number"/>
    <w:basedOn w:val="BodyTextChar"/>
    <w:rPr>
      <w:rFonts w:ascii="Times New Roman" w:eastAsia="Times New Roman" w:hAnsi="Times New Roman"/>
      <w:color w:val="000000"/>
      <w:sz w:val="24"/>
    </w:rPr>
  </w:style>
  <w:style w:styleId="FootnoteReference" w:type="character">
    <w:name w:val="Footnote Reference"/>
    <w:basedOn w:val="BodyTextChar"/>
    <w:rPr>
      <w:rFonts w:ascii="Times New Roman" w:eastAsia="Times New Roman" w:hAnsi="Times New Roman"/>
      <w:color w:val="000000"/>
      <w:sz w:val="24"/>
      <w:vertAlign w:val="superscript"/>
    </w:rPr>
  </w:style>
  <w:style w:styleId="Hyperlink" w:type="character">
    <w:name w:val="Hyperlink"/>
    <w:basedOn w:val="BodyTextChar"/>
    <w:rPr>
      <w:rFonts w:ascii="Times New Roman" w:eastAsia="Times New Roman" w:hAnsi="Times New Roman"/>
      <w:color w:val="000000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76" w:lineRule="auto"/>
      <w:jc w:val="both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2026-06-20T21:12:43Z</dcterms:created>
  <dcterms:modified xsi:type="dcterms:W3CDTF">2026-06-20T21:12:43Z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