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54e083cb280719b872b735e6a4a532f12fa7a0c"/>
    <w:p>
      <w:pPr>
        <w:pStyle w:val="Heading1"/>
      </w:pPr>
      <w:r>
        <w:t xml:space="preserve">OSF Pre-Registration — P6 Three-Level Meta-Analysis</w:t>
      </w:r>
    </w:p>
    <w:p>
      <w:pPr>
        <w:pStyle w:val="FirstParagraph"/>
      </w:pPr>
      <w:r>
        <w:rPr>
          <w:bCs/>
          <w:b/>
        </w:rPr>
        <w:t xml:space="preserve">Title:</w:t>
      </w:r>
      <w:r>
        <w:t xml:space="preserve"> </w:t>
      </w:r>
      <w:r>
        <w:t xml:space="preserve">Institutional Context, Digital Adoption, and the Internationalization–Performance Relationship: A Three-Level Meta-Analysis</w:t>
      </w:r>
    </w:p>
    <w:p>
      <w:pPr>
        <w:pStyle w:val="BlockText"/>
      </w:pPr>
      <w:r>
        <w:rPr>
          <w:bCs/>
          <w:b/>
        </w:rPr>
        <w:t xml:space="preserve">Registration type:</w:t>
      </w:r>
      <w:r>
        <w:t xml:space="preserve"> </w:t>
      </w:r>
      <w:r>
        <w:t xml:space="preserve">Secondary-data / meta-analysis registration.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DRAFT — ready to submit to OSF. Insert the OSF URL + DOI + timestamp here after registering, then paste the same identifier into the manuscript Methods §3 and the PRISMA checklist.</w:t>
      </w:r>
      <w:r>
        <w:t xml:space="preserve"> </w:t>
      </w:r>
      <w:r>
        <w:rPr>
          <w:bCs/>
          <w:b/>
        </w:rPr>
        <w:t xml:space="preserve">Transparency disclosure:</w:t>
      </w:r>
      <w:r>
        <w:t xml:space="preserve"> </w:t>
      </w:r>
      <w:r>
        <w:t xml:space="preserve">Effect-size extraction from the working corpus is already complete. This is therefore a</w:t>
      </w:r>
      <w:r>
        <w:t xml:space="preserve"> </w:t>
      </w:r>
      <w:r>
        <w:rPr>
          <w:iCs/>
          <w:i/>
        </w:rPr>
        <w:t xml:space="preserve">transparency registration of an analysis plan applied to existing data</w:t>
      </w:r>
      <w:r>
        <w:t xml:space="preserve"> </w:t>
      </w:r>
      <w:r>
        <w:t xml:space="preserve">(not an a-priori, data-blind pre-registration); this is disclosed honestly here and should be stated as such in the manuscript.</w:t>
      </w:r>
      <w:r>
        <w:t xml:space="preserve"> </w:t>
      </w:r>
      <w:r>
        <w:rPr>
          <w:bCs/>
          <w:b/>
        </w:rPr>
        <w:t xml:space="preserve">Prepared by:</w:t>
      </w:r>
      <w:r>
        <w:t xml:space="preserve"> </w:t>
      </w:r>
      <w:r>
        <w:t xml:space="preserve">Đỗ Thùy Hương, Can Tho University, Vietnam.</w:t>
      </w:r>
    </w:p>
    <w:p>
      <w:r>
        <w:pict>
          <v:rect style="width:0;height:1.5pt" o:hralign="center" o:hrstd="t" o:hr="t"/>
        </w:pict>
      </w:r>
    </w:p>
    <w:bookmarkStart w:id="22" w:name="X24ba8b1b6ced6a275acf522acc26e3a684d55d0"/>
    <w:p>
      <w:pPr>
        <w:pStyle w:val="Heading2"/>
      </w:pPr>
      <w:r>
        <w:t xml:space="preserve">1. Authors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Đỗ Thùy Hương</w:t>
      </w:r>
      <w:r>
        <w:t xml:space="preserve"> </w:t>
      </w:r>
      <w:r>
        <w:t xml:space="preserve">(corresponding author) — College of Economics, Can Tho University, Vietnam ·</w:t>
      </w:r>
      <w:r>
        <w:t xml:space="preserve"> </w:t>
      </w:r>
      <w:hyperlink r:id="rId20">
        <w:r>
          <w:rPr>
            <w:rStyle w:val="Hyperlink"/>
          </w:rPr>
          <w:t xml:space="preserve">huongp1323001@gstudent.ctu.edu.vn</w:t>
        </w:r>
      </w:hyperlink>
      <w:r>
        <w:t xml:space="preserve"> </w:t>
      </w:r>
      <w:r>
        <w:t xml:space="preserve">· ORCID 0000-0002-7711-2487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Phan Anh Tú</w:t>
      </w:r>
      <w:r>
        <w:t xml:space="preserve"> </w:t>
      </w:r>
      <w:r>
        <w:t xml:space="preserve">— College of Economics, Can Tho University, Vietnam ·</w:t>
      </w:r>
      <w:r>
        <w:t xml:space="preserve"> </w:t>
      </w:r>
      <w:hyperlink r:id="rId21">
        <w:r>
          <w:rPr>
            <w:rStyle w:val="Hyperlink"/>
          </w:rPr>
          <w:t xml:space="preserve">patu@ctu.edu.vn</w:t>
        </w:r>
      </w:hyperlink>
      <w:r>
        <w:t xml:space="preserve"> </w:t>
      </w:r>
      <w:r>
        <w:t xml:space="preserve">· ORCID 0000-0003-0667-3137</w:t>
      </w:r>
    </w:p>
    <w:bookmarkEnd w:id="22"/>
    <w:bookmarkStart w:id="23" w:name="Xc8829299f573277ee3aa7ceaae7ca468f4aae45"/>
    <w:p>
      <w:pPr>
        <w:pStyle w:val="Heading2"/>
      </w:pPr>
      <w:r>
        <w:t xml:space="preserve">2. Research questions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RQ1 (Baseline).</w:t>
      </w:r>
      <w:r>
        <w:t xml:space="preserve"> </w:t>
      </w:r>
      <w:r>
        <w:t xml:space="preserve">What is the pooled internationalization→firm-performance (I→P) effect size (r̄, 95% CI), and how is heterogeneity distributed within vs. between studies (I²₍₂₎, I²₍₃₎) in a three-level model?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RQ2 (ICRV).</w:t>
      </w:r>
      <w:r>
        <w:t xml:space="preserve"> </w:t>
      </w:r>
      <w:r>
        <w:t xml:space="preserve">Do pooled I→P effects vary across</w:t>
      </w:r>
      <w:r>
        <w:t xml:space="preserve"> </w:t>
      </w:r>
      <w:r>
        <w:rPr>
          <w:bCs/>
          <w:b/>
        </w:rPr>
        <w:t xml:space="preserve">Institutional Context Regime Variation (ICRV)</w:t>
      </w:r>
      <w:r>
        <w:t xml:space="preserve"> </w:t>
      </w:r>
      <w:r>
        <w:t xml:space="preserve">regimes?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RQ3 (cDAI).</w:t>
      </w:r>
      <w:r>
        <w:t xml:space="preserve"> </w:t>
      </w:r>
      <w:r>
        <w:t xml:space="preserve">Does</w:t>
      </w:r>
      <w:r>
        <w:t xml:space="preserve"> </w:t>
      </w:r>
      <w:r>
        <w:rPr>
          <w:bCs/>
          <w:b/>
        </w:rPr>
        <w:t xml:space="preserve">country-level Digital Adoption (cDAI, 0–1)</w:t>
      </w:r>
      <w:r>
        <w:t xml:space="preserve"> </w:t>
      </w:r>
      <w:r>
        <w:t xml:space="preserve">moderate the I→P relationship?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RQ4 (DPL).</w:t>
      </w:r>
      <w:r>
        <w:t xml:space="preserve"> </w:t>
      </w:r>
      <w:r>
        <w:t xml:space="preserve">Does</w:t>
      </w:r>
      <w:r>
        <w:t xml:space="preserve"> </w:t>
      </w:r>
      <w:r>
        <w:rPr>
          <w:bCs/>
          <w:b/>
        </w:rPr>
        <w:t xml:space="preserve">Digital Paradox Lifecycle (DPL)</w:t>
      </w:r>
      <w:r>
        <w:t xml:space="preserve"> </w:t>
      </w:r>
      <w:r>
        <w:t xml:space="preserve">phase (temporal) moderate the I→P relationship?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RQ5 (Publication bias).</w:t>
      </w:r>
      <w:r>
        <w:t xml:space="preserve"> </w:t>
      </w:r>
      <w:r>
        <w:t xml:space="preserve">Is the literature affected by selective reporting, and what is the bias-adjusted effect?</w:t>
      </w:r>
    </w:p>
    <w:bookmarkEnd w:id="23"/>
    <w:bookmarkStart w:id="24" w:name="X8c8bdeebdaf625a2cc78ae0347e2ed9e178f3a1"/>
    <w:p>
      <w:pPr>
        <w:pStyle w:val="Heading2"/>
      </w:pPr>
      <w:r>
        <w:t xml:space="preserve">3. Hypotheses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H1 (ICRV between-regime).</w:t>
      </w:r>
      <w:r>
        <w:t xml:space="preserve"> </w:t>
      </w:r>
      <w:r>
        <w:t xml:space="preserve">Pooled I→P effect sizes vary systematically across ICRV regimes; the between-regime Q_M test is significant (p &lt; .05), with Advanced-regime (ICRV-I) studies expected to show the largest average effect.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E1a (exploratory).</w:t>
      </w:r>
      <w:r>
        <w:t xml:space="preserve"> </w:t>
      </w:r>
      <w:r>
        <w:t xml:space="preserve">Advanced-regime (ICRV-I) studies show the largest pooled effect.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E1b (exploratory).</w:t>
      </w:r>
      <w:r>
        <w:t xml:space="preserve"> </w:t>
      </w:r>
      <w:r>
        <w:t xml:space="preserve">Frontier-regime (ICRV-FR) studies show the smallest (possibly null/negative) effect. Treated as exploratory given small Frontier 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H2 (DPL phase).</w:t>
      </w:r>
      <w:r>
        <w:t xml:space="preserve"> </w:t>
      </w:r>
      <w:r>
        <w:t xml:space="preserve">Studies drawing predominantly on post-2014 data (Follow phase) show larger pooled I→P effects than pre-2009 (Precede) studies, with Span intermediate; between-phase Q_M significant.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H3 (cDAI amplification).</w:t>
      </w:r>
      <w:r>
        <w:t xml:space="preserve"> </w:t>
      </w:r>
      <w:r>
        <w:t xml:space="preserve">Studies from high-cDAI contexts show larger pooled I→P effects than low-cDAI contexts (between-group Q_M significant), concentrated in the Follow phase.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H4 (Publication bias).</w:t>
      </w:r>
      <w:r>
        <w:t xml:space="preserve"> </w:t>
      </w:r>
      <w:r>
        <w:t xml:space="preserve">Selective reporting inflates the raw pooled effect: (a) funnel asymmetry (Egger, Begg) significant; (b) trim-and-fill yields a smaller but still positive adjusted estimate; (c) Orwin fail-safe N exceeds the negligibility threshold.</w:t>
      </w:r>
    </w:p>
    <w:bookmarkEnd w:id="24"/>
    <w:bookmarkStart w:id="25" w:name="Xe044c6e3b21337611f63e2b94808d1c7b22818a"/>
    <w:p>
      <w:pPr>
        <w:pStyle w:val="Heading2"/>
      </w:pPr>
      <w:r>
        <w:t xml:space="preserve">4. Eligibility criteria (PICOS)</w:t>
      </w:r>
    </w:p>
    <w:p>
      <w:pPr>
        <w:pStyle w:val="FirstParagraph"/>
      </w:pPr>
      <w:r>
        <w:rPr>
          <w:bCs/>
          <w:b/>
        </w:rPr>
        <w:t xml:space="preserve">Include:</w:t>
      </w:r>
      <w:r>
        <w:t xml:space="preserve"> </w:t>
      </w:r>
      <w:r>
        <w:t xml:space="preserve">firm-level studies (any country / multi-country); internationalization measured by FSTS, degree of internationalization, export intensity, geographic diversification, foreign subsidiaries, or FATA; performance measured by accounting (ROA/ROE/ROS), market (Tobin's Q, returns), or productivity (labour productivity, TFP) indicators; peer-reviewed journal article reporting Pearson r or a statistic convertible to r (standardized β; t with N; F with df₁ = 1).</w:t>
      </w:r>
      <w:r>
        <w:t xml:space="preserve"> </w:t>
      </w:r>
      <w:r>
        <w:rPr>
          <w:bCs/>
          <w:b/>
        </w:rPr>
        <w:t xml:space="preserve">Exclude:</w:t>
      </w:r>
      <w:r>
        <w:t xml:space="preserve"> </w:t>
      </w:r>
      <w:r>
        <w:t xml:space="preserve">country/macro-level unit; qualitative/conceptual/review-only; non-IB disciplinary context; book chapters, dissertations, conference/working papers (no DOI / not peer-reviewed); duplicates (exact DOI or &gt;90% title match + same year); insufficient statistics to compute r.</w:t>
      </w:r>
      <w:r>
        <w:t xml:space="preserve"> </w:t>
      </w:r>
      <w:r>
        <w:rPr>
          <w:bCs/>
          <w:b/>
        </w:rPr>
        <w:t xml:space="preserve">Temporal coverage:</w:t>
      </w:r>
      <w:r>
        <w:t xml:space="preserve"> </w:t>
      </w:r>
      <w:r>
        <w:t xml:space="preserve">January 1977 – March 2026.</w:t>
      </w:r>
      <w:r>
        <w:t xml:space="preserve"> </w:t>
      </w:r>
      <w:r>
        <w:rPr>
          <w:bCs/>
          <w:b/>
        </w:rPr>
        <w:t xml:space="preserve">Language:</w:t>
      </w:r>
      <w:r>
        <w:t xml:space="preserve"> </w:t>
      </w:r>
      <w:r>
        <w:t xml:space="preserve">English (Vietnamese where a convertible effect size is confirmed).</w:t>
      </w:r>
    </w:p>
    <w:bookmarkEnd w:id="25"/>
    <w:bookmarkStart w:id="26" w:name="X448d2924889884423e37ff0c04acf198493ed68"/>
    <w:p>
      <w:pPr>
        <w:pStyle w:val="Heading2"/>
      </w:pPr>
      <w:r>
        <w:t xml:space="preserve">5. Search strategy</w:t>
      </w:r>
    </w:p>
    <w:p>
      <w:pPr>
        <w:pStyle w:val="FirstParagraph"/>
      </w:pPr>
      <w:r>
        <w:t xml:space="preserve">The corpus is assembled through a</w:t>
      </w:r>
      <w:r>
        <w:t xml:space="preserve"> </w:t>
      </w:r>
      <w:r>
        <w:rPr>
          <w:bCs/>
          <w:b/>
        </w:rPr>
        <w:t xml:space="preserve">systematic but bounded, citation-anchored strategy</w:t>
      </w:r>
      <w:r>
        <w:t xml:space="preserve"> </w:t>
      </w:r>
      <w:r>
        <w:t xml:space="preserve">rather than an exhaustive database census, and is reported under the PRISMA 2020 "studies identified via other methods" variant. The anchor set is five benchmark meta-analyses (Bausch &amp; Krist, 2007; Kirca et al., 2012; Marano et al., 2016; Schwens et al., 2018; Arte &amp; Larimo, 2022); their reference lists (backward citation) and forward-citation networks (Google Scholar) are screened. This is</w:t>
      </w:r>
      <w:r>
        <w:t xml:space="preserve"> </w:t>
      </w:r>
      <w:r>
        <w:rPr>
          <w:bCs/>
          <w:b/>
        </w:rPr>
        <w:t xml:space="preserve">supplemented</w:t>
      </w:r>
      <w:r>
        <w:t xml:space="preserve"> </w:t>
      </w:r>
      <w:r>
        <w:t xml:space="preserve">by targeted structured queries in Web of Science Core Collection (SSCI/SCI-E/ESCI), Scopus, and specialist databases (ABI/INFORM, Business Source Complete, ScienceDirect, SpringerLink, Emerald Insight, OpenAlex) to check coverage of the citation network — these queries supplement the citation-anchored search rather than constitute a standalone census.</w:t>
      </w:r>
    </w:p>
    <w:p>
      <w:pPr>
        <w:pStyle w:val="BodyText"/>
      </w:pPr>
      <w:r>
        <w:rPr>
          <w:bCs/>
          <w:b/>
        </w:rPr>
        <w:t xml:space="preserve">Supplementary query string (WoS Topic field):</w:t>
      </w:r>
    </w:p>
    <w:p>
      <w:pPr>
        <w:pStyle w:val="SourceCode"/>
      </w:pPr>
      <w:r>
        <w:rPr>
          <w:rStyle w:val="VerbatimChar"/>
        </w:rPr>
        <w:t xml:space="preserve">TS=(internationaliz* OR internationalis* OR multinationality OR "degree of internationalization"</w:t>
      </w:r>
      <w:r>
        <w:br/>
      </w:r>
      <w:r>
        <w:rPr>
          <w:rStyle w:val="VerbatimChar"/>
        </w:rPr>
        <w:t xml:space="preserve">    OR "international diversification" OR "geographic diversification" OR "foreign sales" OR FSTS</w:t>
      </w:r>
      <w:r>
        <w:br/>
      </w:r>
      <w:r>
        <w:rPr>
          <w:rStyle w:val="VerbatimChar"/>
        </w:rPr>
        <w:t xml:space="preserve">    OR "foreign assets" OR FATA OR "export intensity" OR "export scope" OR "export ratio"</w:t>
      </w:r>
      <w:r>
        <w:br/>
      </w:r>
      <w:r>
        <w:rPr>
          <w:rStyle w:val="VerbatimChar"/>
        </w:rPr>
        <w:t xml:space="preserve">    OR "foreign market entry" OR "foreign subsidiaries")</w:t>
      </w:r>
      <w:r>
        <w:br/>
      </w:r>
      <w:r>
        <w:rPr>
          <w:rStyle w:val="VerbatimChar"/>
        </w:rPr>
        <w:t xml:space="preserve">AND TS=("firm performance" OR "enterprise performance" OR "corporate performance" OR "financial performance"</w:t>
      </w:r>
      <w:r>
        <w:br/>
      </w:r>
      <w:r>
        <w:rPr>
          <w:rStyle w:val="VerbatimChar"/>
        </w:rPr>
        <w:t xml:space="preserve">    OR "business performance" OR "labor productivity" OR "labour productivity" OR profitability</w:t>
      </w:r>
      <w:r>
        <w:br/>
      </w:r>
      <w:r>
        <w:rPr>
          <w:rStyle w:val="VerbatimChar"/>
        </w:rPr>
        <w:t xml:space="preserve">    OR "Tobin's q" OR "return on assets" OR ROA OR "return on equity" OR "return on sales"</w:t>
      </w:r>
      <w:r>
        <w:br/>
      </w:r>
      <w:r>
        <w:rPr>
          <w:rStyle w:val="VerbatimChar"/>
        </w:rPr>
        <w:t xml:space="preserve">    OR "total factor productivity" OR "firm efficiency")</w:t>
      </w:r>
      <w:r>
        <w:br/>
      </w:r>
      <w:r>
        <w:rPr>
          <w:rStyle w:val="VerbatimChar"/>
        </w:rPr>
        <w:t xml:space="preserve">AND TS=(correlation OR regression OR coefficient OR "effect size" OR "r =")</w:t>
      </w:r>
    </w:p>
    <w:p>
      <w:pPr>
        <w:pStyle w:val="FirstParagraph"/>
      </w:pPr>
      <w:r>
        <w:t xml:space="preserve">An equivalent Scopus</w:t>
      </w:r>
      <w:r>
        <w:t xml:space="preserve"> </w:t>
      </w:r>
      <w:r>
        <w:rPr>
          <w:rStyle w:val="VerbatimChar"/>
        </w:rPr>
        <w:t xml:space="preserve">TITLE-ABS-KEY</w:t>
      </w:r>
      <w:r>
        <w:t xml:space="preserve"> </w:t>
      </w:r>
      <w:r>
        <w:t xml:space="preserve">string with</w:t>
      </w:r>
      <w:r>
        <w:t xml:space="preserve"> </w:t>
      </w:r>
      <w:r>
        <w:rPr>
          <w:rStyle w:val="VerbatimChar"/>
        </w:rPr>
        <w:t xml:space="preserve">DOCTYPE(ar) AND LANGUAGE(english) AND PUBYEAR AFT 1976</w:t>
      </w:r>
      <w:r>
        <w:t xml:space="preserve"> </w:t>
      </w:r>
      <w:r>
        <w:t xml:space="preserve">is applied. These queries are used to supplement and cross-check the citation-anchored corpus, not as an exhaustive census.</w:t>
      </w:r>
    </w:p>
    <w:bookmarkEnd w:id="26"/>
    <w:bookmarkStart w:id="27" w:name="X44eb89c6a312472102387336285db75427f7e09"/>
    <w:p>
      <w:pPr>
        <w:pStyle w:val="Heading2"/>
      </w:pPr>
      <w:r>
        <w:t xml:space="preserve">6. Screening protocol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two authors</w:t>
      </w:r>
      <w:r>
        <w:t xml:space="preserve"> </w:t>
      </w:r>
      <w:r>
        <w:t xml:space="preserve">independently apply the eligibility criteria in two stages, (L1) title/abstract and (L2) full text, resolving disagreements by discussion following a predetermined rule. Decisions and exclusion reasons are logged for the PRISMA 2020 flow diagram ("studies identified via other methods" variant).</w:t>
      </w:r>
    </w:p>
    <w:bookmarkEnd w:id="27"/>
    <w:bookmarkStart w:id="28" w:name="X2b3d9fe92daa87db237a8e7685828ec0952b7dc"/>
    <w:p>
      <w:pPr>
        <w:pStyle w:val="Heading2"/>
      </w:pPr>
      <w:r>
        <w:t xml:space="preserve">7. Data extraction &amp; coding</w:t>
      </w:r>
    </w:p>
    <w:p>
      <w:pPr>
        <w:pStyle w:val="FirstParagraph"/>
      </w:pPr>
      <w:r>
        <w:rPr>
          <w:bCs/>
          <w:b/>
        </w:rPr>
        <w:t xml:space="preserve">Effect-size priority order:</w:t>
      </w:r>
      <w:r>
        <w:t xml:space="preserve"> </w:t>
      </w:r>
      <w:r>
        <w:t xml:space="preserve">(1) Pearson r (as-is); (2) standardized β → r_partial = β × 0.98 (Peterson &amp; Brown, 2005); (3) t with N → r = √[t²/(t²+df)] (Cohen, 1988); (4) F with df₁ = 1 → r = √[F/(F+df₂)] (Rosenthal, 1994). For multiple effects per study, distinct subsamples are coded as independent effects; for multiple specifications on one sample, the most fully controlled model is retained.</w:t>
      </w:r>
    </w:p>
    <w:p>
      <w:pPr>
        <w:pStyle w:val="BodyText"/>
      </w:pPr>
      <w:r>
        <w:rPr>
          <w:bCs/>
          <w:b/>
        </w:rPr>
        <w:t xml:space="preserve">Moderator coding (aligned to the final manuscript):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ICRV — Institutional Context Regime Variation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regimes from World Bank WGI Rule of Law (2023):</w:t>
            </w:r>
            <w:r>
              <w:t xml:space="preserve"> </w:t>
            </w:r>
            <w:r>
              <w:rPr>
                <w:bCs/>
                <w:b/>
              </w:rPr>
              <w:t xml:space="preserve">I</w:t>
            </w:r>
            <w:r>
              <w:t xml:space="preserve"> </w:t>
            </w:r>
            <w:r>
              <w:t xml:space="preserve">Advanced-Innovation (WGI &gt; +0.80);</w:t>
            </w:r>
            <w:r>
              <w:t xml:space="preserve"> </w:t>
            </w:r>
            <w:r>
              <w:rPr>
                <w:bCs/>
                <w:b/>
              </w:rPr>
              <w:t xml:space="preserve">II</w:t>
            </w:r>
            <w:r>
              <w:t xml:space="preserve"> </w:t>
            </w:r>
            <w:r>
              <w:t xml:space="preserve">Upper-Middle (0 to +0.80);</w:t>
            </w:r>
            <w:r>
              <w:t xml:space="preserve"> </w:t>
            </w:r>
            <w:r>
              <w:rPr>
                <w:bCs/>
                <w:b/>
              </w:rPr>
              <w:t xml:space="preserve">III</w:t>
            </w:r>
            <w:r>
              <w:t xml:space="preserve"> </w:t>
            </w:r>
            <w:r>
              <w:t xml:space="preserve">Emerging (−0.50 to 0);</w:t>
            </w:r>
            <w:r>
              <w:t xml:space="preserve"> </w:t>
            </w:r>
            <w:r>
              <w:rPr>
                <w:bCs/>
                <w:b/>
              </w:rPr>
              <w:t xml:space="preserve">FR</w:t>
            </w:r>
            <w:r>
              <w:t xml:space="preserve"> </w:t>
            </w:r>
            <w:r>
              <w:t xml:space="preserve">Frontier/SIDS (≤ −0.50 or small-island state);</w:t>
            </w:r>
            <w:r>
              <w:t xml:space="preserve"> </w:t>
            </w:r>
            <w:r>
              <w:rPr>
                <w:bCs/>
                <w:b/>
              </w:rPr>
              <w:t xml:space="preserve">MX</w:t>
            </w:r>
            <w:r>
              <w:t xml:space="preserve"> </w:t>
            </w:r>
            <w:r>
              <w:t xml:space="preserve">Multi-country pooled (no modal regime ≥ 60%)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cDAI — country Digital Adoption 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0–1: World Bank Digital Adoption Index (2016; Sahay et al., 2020), or ITU Digital Development Index rescaled; assigned by the study's</w:t>
            </w:r>
            <w:r>
              <w:t xml:space="preserve"> </w:t>
            </w:r>
            <w:r>
              <w:rPr>
                <w:bCs/>
                <w:b/>
              </w:rPr>
              <w:t xml:space="preserve">median data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DPL — Digital Paradox Lifecycle 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Precede</w:t>
            </w:r>
            <w:r>
              <w:t xml:space="preserve"> </w:t>
            </w:r>
            <w:r>
              <w:t xml:space="preserve">(median data year &lt; 2009);</w:t>
            </w:r>
            <w:r>
              <w:t xml:space="preserve"> </w:t>
            </w:r>
            <w:r>
              <w:rPr>
                <w:bCs/>
                <w:b/>
              </w:rPr>
              <w:t xml:space="preserve">Span</w:t>
            </w:r>
            <w:r>
              <w:t xml:space="preserve"> </w:t>
            </w:r>
            <w:r>
              <w:t xml:space="preserve">(2005–2014, or unclassifiable);</w:t>
            </w:r>
            <w:r>
              <w:t xml:space="preserve"> </w:t>
            </w:r>
            <w:r>
              <w:rPr>
                <w:bCs/>
                <w:b/>
              </w:rPr>
              <w:t xml:space="preserve">Follow</w:t>
            </w:r>
            <w:r>
              <w:t xml:space="preserve"> </w:t>
            </w:r>
            <w:r>
              <w:t xml:space="preserve">(median data year ≥ 2015)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Internationalization measure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doi_type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FSTS / geographic-diversification / export-ratio / composite / FDI /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measure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 / market / labour-productivity / mixed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Effect-size estimation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is_estimated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converted from t/F/β; 0 = directly reported r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Inter-coder reliability:</w:t>
      </w:r>
      <w:r>
        <w:t xml:space="preserve"> </w:t>
      </w:r>
      <w:r>
        <w:t xml:space="preserve">a 20% stratified subsample (by ICRV regime, DPL phase, DOI type) is independently double-coded;</w:t>
      </w:r>
      <w:r>
        <w:t xml:space="preserve"> </w:t>
      </w:r>
      <w:r>
        <w:rPr>
          <w:bCs/>
          <w:b/>
        </w:rPr>
        <w:t xml:space="preserve">Cohen's κ ≥ 0.70</w:t>
      </w:r>
      <w:r>
        <w:t xml:space="preserve"> </w:t>
      </w:r>
      <w:r>
        <w:t xml:space="preserve">for categorical moderators and</w:t>
      </w:r>
      <w:r>
        <w:t xml:space="preserve"> </w:t>
      </w:r>
      <w:r>
        <w:rPr>
          <w:bCs/>
          <w:b/>
        </w:rPr>
        <w:t xml:space="preserve">ICC(2,1) ≥ 0.80</w:t>
      </w:r>
      <w:r>
        <w:t xml:space="preserve"> </w:t>
      </w:r>
      <w:r>
        <w:t xml:space="preserve">for continuous cDAI; disagreements resolved by PI adjudication.</w:t>
      </w:r>
    </w:p>
    <w:bookmarkEnd w:id="28"/>
    <w:bookmarkStart w:id="29" w:name="Xdd2a01c285840522210f3f3370e1fee64f1fe76"/>
    <w:p>
      <w:pPr>
        <w:pStyle w:val="Heading2"/>
      </w:pPr>
      <w:r>
        <w:t xml:space="preserve">8. Statistical analysis plan</w:t>
      </w:r>
    </w:p>
    <w:p>
      <w:pPr>
        <w:pStyle w:val="FirstParagraph"/>
      </w:pPr>
      <w:r>
        <w:rPr>
          <w:bCs/>
          <w:b/>
        </w:rPr>
        <w:t xml:space="preserve">Software:</w:t>
      </w:r>
      <w:r>
        <w:t xml:space="preserve"> </w:t>
      </w:r>
      <w:r>
        <w:t xml:space="preserve">R (≥ 4.3),</w:t>
      </w:r>
      <w:r>
        <w:t xml:space="preserve"> </w:t>
      </w:r>
      <w:r>
        <w:rPr>
          <w:rStyle w:val="VerbatimChar"/>
        </w:rPr>
        <w:t xml:space="preserve">metafor</w:t>
      </w:r>
      <w:r>
        <w:t xml:space="preserve"> </w:t>
      </w:r>
      <w:r>
        <w:t xml:space="preserve">(Viechtbauer, 2010). All r are Fisher-z transformed for analysis and back-transformed for reporting.</w:t>
      </w:r>
    </w:p>
    <w:p>
      <w:pPr>
        <w:pStyle w:val="BodyText"/>
      </w:pPr>
      <w:r>
        <w:rPr>
          <w:bCs/>
          <w:b/>
        </w:rPr>
        <w:t xml:space="preserve">Baseline three-level model</w:t>
      </w:r>
      <w:r>
        <w:t xml:space="preserve"> </w:t>
      </w:r>
      <w:r>
        <w:t xml:space="preserve">(effects nested in studies):</w:t>
      </w:r>
    </w:p>
    <w:p>
      <w:pPr>
        <w:pStyle w:val="SourceCode"/>
      </w:pP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escalc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measure=</w:t>
      </w:r>
      <w:r>
        <w:rPr>
          <w:rStyle w:val="StringTok"/>
        </w:rPr>
        <w:t xml:space="preserve">"COR"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ri=</w:t>
      </w:r>
      <w:r>
        <w:rPr>
          <w:rStyle w:val="NormalTok"/>
        </w:rPr>
        <w:t xml:space="preserve">r, </w:t>
      </w:r>
      <w:r>
        <w:rPr>
          <w:rStyle w:val="AttributeTok"/>
        </w:rPr>
        <w:t xml:space="preserve">ni=</w:t>
      </w:r>
      <w:r>
        <w:rPr>
          <w:rStyle w:val="NormalTok"/>
        </w:rPr>
        <w:t xml:space="preserve">n,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db)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rma.mv</w:t>
      </w:r>
      <w:r>
        <w:rPr>
          <w:rStyle w:val="NormalTok"/>
        </w:rPr>
        <w:t xml:space="preserve">(yi, vi, </w:t>
      </w:r>
      <w:r>
        <w:rPr>
          <w:rStyle w:val="AttributeTok"/>
        </w:rPr>
        <w:t xml:space="preserve">random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study_id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effect_id,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dat, 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"REML"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Outputs: pooled r̄ [95% CI]; σ²(2), σ²(3); I² total, I²(2), I²(3); Q_E, Q_M</w:t>
      </w:r>
    </w:p>
    <w:p>
      <w:pPr>
        <w:pStyle w:val="FirstParagraph"/>
      </w:pPr>
      <w:r>
        <w:rPr>
          <w:bCs/>
          <w:b/>
        </w:rPr>
        <w:t xml:space="preserve">Moderator tests</w:t>
      </w:r>
      <w:r>
        <w:t xml:space="preserve"> </w:t>
      </w:r>
      <w:r>
        <w:t xml:space="preserve">(Q_M omnibus; Holm–Bonferroni for pairwise ICRV):</w:t>
      </w:r>
    </w:p>
    <w:p>
      <w:pPr>
        <w:pStyle w:val="SourceCode"/>
      </w:pPr>
      <w:r>
        <w:rPr>
          <w:rStyle w:val="FunctionTok"/>
        </w:rPr>
        <w:t xml:space="preserve">rma.mv</w:t>
      </w:r>
      <w:r>
        <w:rPr>
          <w:rStyle w:val="NormalTok"/>
        </w:rPr>
        <w:t xml:space="preserve">(yi, vi, </w:t>
      </w:r>
      <w:r>
        <w:rPr>
          <w:rStyle w:val="AttributeTok"/>
        </w:rPr>
        <w:t xml:space="preserve">mods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(icrv), </w:t>
      </w:r>
      <w:r>
        <w:rPr>
          <w:rStyle w:val="AttributeTok"/>
        </w:rPr>
        <w:t xml:space="preserve">random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study_id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effect_id,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dat)  </w:t>
      </w:r>
      <w:r>
        <w:rPr>
          <w:rStyle w:val="CommentTok"/>
        </w:rPr>
        <w:t xml:space="preserve"># H1</w:t>
      </w:r>
      <w:r>
        <w:br/>
      </w:r>
      <w:r>
        <w:rPr>
          <w:rStyle w:val="FunctionTok"/>
        </w:rPr>
        <w:t xml:space="preserve">rma.mv</w:t>
      </w:r>
      <w:r>
        <w:rPr>
          <w:rStyle w:val="NormalTok"/>
        </w:rPr>
        <w:t xml:space="preserve">(yi, vi, </w:t>
      </w:r>
      <w:r>
        <w:rPr>
          <w:rStyle w:val="AttributeTok"/>
        </w:rPr>
        <w:t xml:space="preserve">mods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(dpl),  </w:t>
      </w:r>
      <w:r>
        <w:rPr>
          <w:rStyle w:val="AttributeTok"/>
        </w:rPr>
        <w:t xml:space="preserve">random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study_id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effect_id,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dat)  </w:t>
      </w:r>
      <w:r>
        <w:rPr>
          <w:rStyle w:val="CommentTok"/>
        </w:rPr>
        <w:t xml:space="preserve"># H2</w:t>
      </w:r>
      <w:r>
        <w:br/>
      </w:r>
      <w:r>
        <w:rPr>
          <w:rStyle w:val="FunctionTok"/>
        </w:rPr>
        <w:t xml:space="preserve">rma.mv</w:t>
      </w:r>
      <w:r>
        <w:rPr>
          <w:rStyle w:val="NormalTok"/>
        </w:rPr>
        <w:t xml:space="preserve">(yi, vi, </w:t>
      </w:r>
      <w:r>
        <w:rPr>
          <w:rStyle w:val="AttributeTok"/>
        </w:rPr>
        <w:t xml:space="preserve">mods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cdai,         </w:t>
      </w:r>
      <w:r>
        <w:rPr>
          <w:rStyle w:val="AttributeTok"/>
        </w:rPr>
        <w:t xml:space="preserve">random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study_id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effect_id,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dat)  </w:t>
      </w:r>
      <w:r>
        <w:rPr>
          <w:rStyle w:val="CommentTok"/>
        </w:rPr>
        <w:t xml:space="preserve"># H3</w:t>
      </w:r>
    </w:p>
    <w:p>
      <w:pPr>
        <w:pStyle w:val="FirstParagraph"/>
      </w:pPr>
      <w:r>
        <w:rPr>
          <w:bCs/>
          <w:b/>
        </w:rPr>
        <w:t xml:space="preserve">Publication bias (H4):</w:t>
      </w:r>
      <w:r>
        <w:t xml:space="preserve"> </w:t>
      </w:r>
      <w:r>
        <w:t xml:space="preserve">Egger's regression; Begg &amp; Mazumdar rank correlation; Duval &amp; Tweedie trim-and-fill; Orwin fail-safe N; PET-PEESE.</w:t>
      </w:r>
      <w:r>
        <w:t xml:space="preserve"> </w:t>
      </w:r>
      <w:r>
        <w:rPr>
          <w:bCs/>
          <w:b/>
        </w:rPr>
        <w:t xml:space="preserve">Sensitivity / robustness:</w:t>
      </w:r>
      <w:r>
        <w:t xml:space="preserve"> </w:t>
      </w:r>
      <w:r>
        <w:t xml:space="preserve">two-level vs three-level comparison; leave-one-out (Cook's distance &gt; 4/k); FSTS-only restriction; ICRV reclassified on the WGI composite governance index; post-2000 temporal restriction; directly-reported-r-only restriction.</w:t>
      </w:r>
    </w:p>
    <w:bookmarkEnd w:id="29"/>
    <w:bookmarkStart w:id="30" w:name="Xf7dbfe32d34e9c8a4ad4969a4550df918112f99"/>
    <w:p>
      <w:pPr>
        <w:pStyle w:val="Heading2"/>
      </w:pPr>
      <w:r>
        <w:t xml:space="preserve">9. Reporting standards</w:t>
      </w:r>
    </w:p>
    <w:p>
      <w:pPr>
        <w:pStyle w:val="FirstParagraph"/>
      </w:pPr>
      <w:r>
        <w:t xml:space="preserve">PRISMA 2020 (Page et al., 2021) full flow diagram; APA Meta-Analysis Reporting Standards (Cooper, 2010); forest + funnel plots.</w:t>
      </w:r>
    </w:p>
    <w:bookmarkEnd w:id="30"/>
    <w:bookmarkStart w:id="31" w:name="X8f9ec357b53bf8a19f47c2d73ef43f2359bfff7"/>
    <w:p>
      <w:pPr>
        <w:pStyle w:val="Heading2"/>
      </w:pPr>
      <w:r>
        <w:t xml:space="preserve">10. Data availability</w:t>
      </w:r>
    </w:p>
    <w:p>
      <w:pPr>
        <w:numPr>
          <w:ilvl w:val="0"/>
          <w:numId w:val="1004"/>
        </w:numPr>
        <w:pStyle w:val="Compact"/>
      </w:pPr>
      <w:r>
        <w:t xml:space="preserve">Coded study database:</w:t>
      </w:r>
      <w:r>
        <w:t xml:space="preserve"> </w:t>
      </w:r>
      <w:r>
        <w:rPr>
          <w:rStyle w:val="VerbatimChar"/>
        </w:rPr>
        <w:t xml:space="preserve">p6/data/p6_study_database.csv</w:t>
      </w:r>
      <w:r>
        <w:t xml:space="preserve"> </w:t>
      </w:r>
      <w:r>
        <w:t xml:space="preserve">(288 effects, 238 studies).</w:t>
      </w:r>
    </w:p>
    <w:p>
      <w:pPr>
        <w:numPr>
          <w:ilvl w:val="0"/>
          <w:numId w:val="1004"/>
        </w:numPr>
        <w:pStyle w:val="Compact"/>
      </w:pPr>
      <w:r>
        <w:t xml:space="preserve">Analysis scripts:</w:t>
      </w:r>
      <w:r>
        <w:t xml:space="preserve"> </w:t>
      </w:r>
      <w:r>
        <w:rPr>
          <w:rStyle w:val="VerbatimChar"/>
        </w:rPr>
        <w:t xml:space="preserve">p6/tools/meta_r_scripts/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p6/replication/</w:t>
      </w:r>
      <w:r>
        <w:t xml:space="preserve"> </w:t>
      </w:r>
      <w:r>
        <w:t xml:space="preserve">(GitHub).</w:t>
      </w:r>
    </w:p>
    <w:p>
      <w:pPr>
        <w:numPr>
          <w:ilvl w:val="0"/>
          <w:numId w:val="1004"/>
        </w:numPr>
        <w:pStyle w:val="Compact"/>
      </w:pPr>
      <w:r>
        <w:t xml:space="preserve">Extraction tool: M-AIDA (</w:t>
      </w:r>
      <w:r>
        <w:rPr>
          <w:rStyle w:val="VerbatimChar"/>
        </w:rPr>
        <w:t xml:space="preserve">p6/tools/maida/</w:t>
      </w:r>
      <w:r>
        <w:t xml:space="preserve">) — LLM-assisted extraction under 100% PI verification + data lock (disclosed in the manuscript's AI-use statement).</w:t>
      </w:r>
    </w:p>
    <w:p>
      <w:pPr>
        <w:numPr>
          <w:ilvl w:val="0"/>
          <w:numId w:val="1004"/>
        </w:numPr>
        <w:pStyle w:val="Compact"/>
      </w:pPr>
      <w:r>
        <w:t xml:space="preserve">PRISMA checklist:</w:t>
      </w:r>
      <w:r>
        <w:t xml:space="preserve"> </w:t>
      </w:r>
      <w:r>
        <w:rPr>
          <w:rStyle w:val="VerbatimChar"/>
        </w:rPr>
        <w:t xml:space="preserve">p6/p6_prisma_checklist.md</w:t>
      </w:r>
      <w:r>
        <w:t xml:space="preserve">.</w:t>
      </w:r>
    </w:p>
    <w:bookmarkEnd w:id="31"/>
    <w:bookmarkStart w:id="32" w:name="X96ba107966adaeebc9fa539074b61c649e7867c"/>
    <w:p>
      <w:pPr>
        <w:pStyle w:val="Heading2"/>
      </w:pPr>
      <w:r>
        <w:t xml:space="preserve">11. Conflicts of interest / funding</w:t>
      </w:r>
    </w:p>
    <w:p>
      <w:pPr>
        <w:pStyle w:val="FirstParagraph"/>
      </w:pPr>
      <w:r>
        <w:t xml:space="preserve">None declared. No specific grant from any public, commercial, or not-for-profit funding agency.</w:t>
      </w:r>
    </w:p>
    <w:p>
      <w:r>
        <w:pict>
          <v:rect style="width:0;height:1.5pt" o:hralign="center" o:hrstd="t" o:hr="t"/>
        </w:pict>
      </w:r>
    </w:p>
    <w:bookmarkEnd w:id="32"/>
    <w:bookmarkStart w:id="34" w:name="how-to-register-on-osf-1520-min"/>
    <w:p>
      <w:pPr>
        <w:pStyle w:val="Heading2"/>
      </w:pPr>
      <w:r>
        <w:t xml:space="preserve">How to register on OSF (≈15–20 min)</w:t>
      </w:r>
    </w:p>
    <w:p>
      <w:pPr>
        <w:numPr>
          <w:ilvl w:val="0"/>
          <w:numId w:val="1005"/>
        </w:numPr>
        <w:pStyle w:val="Compact"/>
      </w:pPr>
      <w:r>
        <w:t xml:space="preserve">Sign in at</w:t>
      </w:r>
      <w:r>
        <w:t xml:space="preserve"> </w:t>
      </w:r>
      <w:hyperlink r:id="rId33">
        <w:r>
          <w:rPr>
            <w:rStyle w:val="Hyperlink"/>
            <w:bCs/>
            <w:b/>
          </w:rPr>
          <w:t xml:space="preserve">https://osf.io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Create new project</w:t>
      </w:r>
      <w:r>
        <w:t xml:space="preserve">: "P6 I→P Meta-Analysis: ICRV, cDAI, DPL Moderators".</w:t>
      </w:r>
    </w:p>
    <w:p>
      <w:pPr>
        <w:numPr>
          <w:ilvl w:val="0"/>
          <w:numId w:val="1005"/>
        </w:numPr>
        <w:pStyle w:val="Compact"/>
      </w:pPr>
      <w:r>
        <w:t xml:space="preserve">Upload this file + the coded database + the R scripts to the project's</w:t>
      </w:r>
      <w:r>
        <w:t xml:space="preserve"> </w:t>
      </w:r>
      <w:r>
        <w:rPr>
          <w:bCs/>
          <w:b/>
        </w:rPr>
        <w:t xml:space="preserve">Files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Open the</w:t>
      </w:r>
      <w:r>
        <w:t xml:space="preserve"> </w:t>
      </w:r>
      <w:r>
        <w:rPr>
          <w:bCs/>
          <w:b/>
        </w:rPr>
        <w:t xml:space="preserve">Registrations</w:t>
      </w:r>
      <w:r>
        <w:t xml:space="preserve"> </w:t>
      </w:r>
      <w:r>
        <w:t xml:space="preserve">tab →</w:t>
      </w:r>
      <w:r>
        <w:t xml:space="preserve"> </w:t>
      </w:r>
      <w:r>
        <w:rPr>
          <w:bCs/>
          <w:b/>
        </w:rPr>
        <w:t xml:space="preserve">New registration</w:t>
      </w:r>
      <w:r>
        <w:t xml:space="preserve"> </w:t>
      </w:r>
      <w:r>
        <w:t xml:space="preserve">→ choose</w:t>
      </w:r>
      <w:r>
        <w:t xml:space="preserve"> </w:t>
      </w:r>
      <w:r>
        <w:rPr>
          <w:bCs/>
          <w:b/>
        </w:rPr>
        <w:t xml:space="preserve">"Open-Ended Registration"</w:t>
      </w:r>
      <w:r>
        <w:t xml:space="preserve"> </w:t>
      </w:r>
      <w:r>
        <w:t xml:space="preserve">(or "Preregistration") template.</w:t>
      </w:r>
    </w:p>
    <w:p>
      <w:pPr>
        <w:numPr>
          <w:ilvl w:val="0"/>
          <w:numId w:val="1005"/>
        </w:numPr>
        <w:pStyle w:val="Compact"/>
      </w:pPr>
      <w:r>
        <w:t xml:space="preserve">Paste sections 1–11 above into the form.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Submit.</w:t>
      </w:r>
      <w:r>
        <w:t xml:space="preserve"> </w:t>
      </w:r>
      <w:r>
        <w:t xml:space="preserve">OSF time-stamps and locks the registration and issues a URL + DOI (e.g.,</w:t>
      </w:r>
      <w:r>
        <w:t xml:space="preserve"> </w:t>
      </w:r>
      <w:r>
        <w:rPr>
          <w:rStyle w:val="VerbatimChar"/>
        </w:rPr>
        <w:t xml:space="preserve">https://osf.io/XXXXX</w:t>
      </w:r>
      <w:r>
        <w:t xml:space="preserve">,</w:t>
      </w:r>
      <w:r>
        <w:t xml:space="preserve"> </w:t>
      </w:r>
      <w:r>
        <w:rPr>
          <w:rStyle w:val="VerbatimChar"/>
        </w:rPr>
        <w:t xml:space="preserve">10.17605/OSF.IO/XXXXX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Paste that URL + DOI back into:</w:t>
      </w:r>
    </w:p>
    <w:p>
      <w:pPr>
        <w:numPr>
          <w:ilvl w:val="1"/>
          <w:numId w:val="1006"/>
        </w:numPr>
        <w:pStyle w:val="Compact"/>
      </w:pPr>
      <w:r>
        <w:t xml:space="preserve">the header of this file (Status line),</w:t>
      </w:r>
    </w:p>
    <w:p>
      <w:pPr>
        <w:numPr>
          <w:ilvl w:val="1"/>
          <w:numId w:val="1006"/>
        </w:numPr>
        <w:pStyle w:val="Compact"/>
      </w:pPr>
      <w:r>
        <w:t xml:space="preserve">the manuscript Methods §3 (replace "registration identifier will be inserted at acceptance"),</w:t>
      </w:r>
    </w:p>
    <w:p>
      <w:pPr>
        <w:numPr>
          <w:ilvl w:val="1"/>
          <w:numId w:val="1006"/>
        </w:numPr>
        <w:pStyle w:val="Compact"/>
      </w:pPr>
      <w:r>
        <w:t xml:space="preserve">the data-availability statement and PRISMA checklist.</w:t>
      </w:r>
    </w:p>
    <w:p>
      <w:pPr>
        <w:numPr>
          <w:ilvl w:val="0"/>
          <w:numId w:val="1005"/>
        </w:numPr>
        <w:pStyle w:val="Compact"/>
      </w:pPr>
      <w:r>
        <w:t xml:space="preserve">Because the data were already collected, tick/disclose the OSF "data already collected" option so the registration is honest.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osf.io" TargetMode="External" /><Relationship Type="http://schemas.openxmlformats.org/officeDocument/2006/relationships/hyperlink" Id="rId20" Target="mailto:huongp1323001@gstudent.ctu.edu.vn" TargetMode="External" /><Relationship Type="http://schemas.openxmlformats.org/officeDocument/2006/relationships/hyperlink" Id="rId21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osf.io" TargetMode="External" /><Relationship Type="http://schemas.openxmlformats.org/officeDocument/2006/relationships/hyperlink" Id="rId20" Target="mailto:huongp1323001@gstudent.ctu.edu.vn" TargetMode="External" /><Relationship Type="http://schemas.openxmlformats.org/officeDocument/2006/relationships/hyperlink" Id="rId21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2026-06-10T03:59:33Z</dcterms:created>
  <dcterms:modified xsi:type="dcterms:W3CDTF">2026-06-10T03:59:33Z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