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pplementary-material--p6-apjm"/>
    <w:p>
      <w:pPr>
        <w:pStyle w:val="Heading1"/>
      </w:pPr>
      <w:r>
        <w:t xml:space="preserve">Supplementary Material — P6 (APJM)</w:t>
      </w:r>
    </w:p>
    <w:bookmarkStart w:id="20" w:name="X6e5cfb15c9bb56aea620267700f1f842431a0be"/>
    <w:p>
      <w:pPr>
        <w:pStyle w:val="Heading2"/>
      </w:pPr>
      <w:r>
        <w:t xml:space="preserve">Appendix A, PRISMA 2020 Flow (Studies Identified via Other Methods)</w:t>
      </w:r>
    </w:p>
    <w:p>
      <w:pPr>
        <w:pStyle w:val="FirstParagraph"/>
      </w:pPr>
      <w:r>
        <w:t xml:space="preserve">The corpus was assembled through citation-anchored systematic searching</w:t>
      </w:r>
      <w:r>
        <w:t xml:space="preserve"> </w:t>
      </w:r>
      <w:r>
        <w:t xml:space="preserve">rather than a single database census; the flow is therefore reported</w:t>
      </w:r>
      <w:r>
        <w:t xml:space="preserve"> </w:t>
      </w:r>
      <w:r>
        <w:t xml:space="preserve">under the PRISMA 2020 "studies identified via other methods" variant</w:t>
      </w:r>
      <w:r>
        <w:t xml:space="preserve"> </w:t>
      </w:r>
      <w:r>
        <w:t xml:space="preserve">(Page et al., 2021).</w:t>
      </w:r>
    </w:p>
    <w:p>
      <w:pPr>
        <w:pStyle w:val="SourceCode"/>
      </w:pPr>
      <w:r>
        <w:rPr>
          <w:rStyle w:val="VerbatimChar"/>
        </w:rPr>
        <w:t xml:space="preserve">IDENTIFICATION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Studies identified via other methods:</w:t>
      </w:r>
      <w:r>
        <w:br/>
      </w:r>
      <w:r>
        <w:rPr>
          <w:rStyle w:val="VerbatimChar"/>
        </w:rPr>
        <w:t xml:space="preserve">  Backward citation scan (reference lists of 5 anchor meta-analyses)</w:t>
      </w:r>
      <w:r>
        <w:br/>
      </w:r>
      <w:r>
        <w:rPr>
          <w:rStyle w:val="VerbatimChar"/>
        </w:rPr>
        <w:t xml:space="preserve">  Forward citation scan (Google Scholar citing the 5 anchors, post-2022)</w:t>
      </w:r>
      <w:r>
        <w:br/>
      </w:r>
      <w:r>
        <w:rPr>
          <w:rStyle w:val="VerbatimChar"/>
        </w:rPr>
        <w:t xml:space="preserve">  Hand-search (author's corpus, 2020–2026): n = 19</w:t>
      </w:r>
      <w:r>
        <w:br/>
      </w:r>
      <w:r>
        <w:rPr>
          <w:rStyle w:val="VerbatimChar"/>
        </w:rPr>
        <w:t xml:space="preserve">  Supplementary structured queries (WoS, Scopus, specialist</w:t>
      </w:r>
      <w:r>
        <w:br/>
      </w:r>
      <w:r>
        <w:rPr>
          <w:rStyle w:val="VerbatimChar"/>
        </w:rPr>
        <w:t xml:space="preserve">    databases) to check coverage of the citation network</w:t>
      </w:r>
      <w:r>
        <w:br/>
      </w:r>
      <w:r>
        <w:br/>
      </w:r>
      <w:r>
        <w:rPr>
          <w:rStyle w:val="VerbatimChar"/>
        </w:rPr>
        <w:t xml:space="preserve">SCREENING / ELIGIBILITY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Records screened in two stages against the eligibility criteria</w:t>
      </w:r>
      <w:r>
        <w:br/>
      </w:r>
      <w:r>
        <w:rPr>
          <w:rStyle w:val="VerbatimChar"/>
        </w:rPr>
        <w:t xml:space="preserve">(Section 3.2): title/abstract, then full text. Full-text exclusion</w:t>
      </w:r>
      <w:r>
        <w:br/>
      </w:r>
      <w:r>
        <w:rPr>
          <w:rStyle w:val="VerbatimChar"/>
        </w:rPr>
        <w:t xml:space="preserve">reasons: no effect size convertible to r; internationalization not</w:t>
      </w:r>
      <w:r>
        <w:br/>
      </w:r>
      <w:r>
        <w:rPr>
          <w:rStyle w:val="VerbatimChar"/>
        </w:rPr>
        <w:t xml:space="preserve">measured at the firm level; duplicate sample (smaller/older record</w:t>
      </w:r>
      <w:r>
        <w:br/>
      </w:r>
      <w:r>
        <w:rPr>
          <w:rStyle w:val="VerbatimChar"/>
        </w:rPr>
        <w:t xml:space="preserve">removed); meta-analysis or review rather than a primary study;</w:t>
      </w:r>
      <w:r>
        <w:br/>
      </w:r>
      <w:r>
        <w:rPr>
          <w:rStyle w:val="VerbatimChar"/>
        </w:rPr>
        <w:t xml:space="preserve">conference paper, thesis, working paper, or book chapter (grey</w:t>
      </w:r>
      <w:r>
        <w:br/>
      </w:r>
      <w:r>
        <w:rPr>
          <w:rStyle w:val="VerbatimChar"/>
        </w:rPr>
        <w:t xml:space="preserve">literature documented but excluded from the primary model).</w:t>
      </w:r>
      <w:r>
        <w:br/>
      </w:r>
      <w:r>
        <w:br/>
      </w:r>
      <w:r>
        <w:rPr>
          <w:rStyle w:val="VerbatimChar"/>
        </w:rPr>
        <w:t xml:space="preserve">INCLUDED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Studies included in meta-analysis: k = 238</w:t>
      </w:r>
      <w:r>
        <w:br/>
      </w:r>
      <w:r>
        <w:rPr>
          <w:rStyle w:val="VerbatimChar"/>
        </w:rPr>
        <w:t xml:space="preserve">Effect sizes coded:                K = 288</w:t>
      </w:r>
    </w:p>
    <w:p>
      <w:pPr>
        <w:pStyle w:val="FirstParagraph"/>
      </w:pPr>
      <w:r>
        <w:t xml:space="preserve">Because identification proceeded by citation chaining, stage-level</w:t>
      </w:r>
      <w:r>
        <w:t xml:space="preserve"> </w:t>
      </w:r>
      <w:r>
        <w:t xml:space="preserve">database-census counts (total identified, deduplicated, and per-reason</w:t>
      </w:r>
      <w:r>
        <w:t xml:space="preserve"> </w:t>
      </w:r>
      <w:r>
        <w:t xml:space="preserve">exclusion tallies) were not maintained as a single database export and</w:t>
      </w:r>
      <w:r>
        <w:t xml:space="preserve"> </w:t>
      </w:r>
      <w:r>
        <w:t xml:space="preserve">are not reported as such; the synthesized set (k = 238; K = 288) is</w:t>
      </w:r>
      <w:r>
        <w:t xml:space="preserve"> </w:t>
      </w:r>
      <w:r>
        <w:t xml:space="preserve">fixed and data-backed.</w:t>
      </w:r>
    </w:p>
    <w:p>
      <w:pPr>
        <w:pStyle w:val="BodyText"/>
      </w:pPr>
      <w:r>
        <w:rPr>
          <w:iCs/>
          <w:i/>
        </w:rPr>
        <w:t xml:space="preserve">The PRISMA 2020 checklist (Page et al., 2021) is available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corresponding author.</w:t>
      </w:r>
    </w:p>
    <w:bookmarkEnd w:id="20"/>
    <w:bookmarkStart w:id="21" w:name="appendix-b-coding-protocol-7-moderators"/>
    <w:p>
      <w:pPr>
        <w:pStyle w:val="Heading2"/>
      </w:pPr>
      <w:r>
        <w:t xml:space="preserve">Appendix B, Coding Protocol (7 Moderators)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ICRV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(6 codes)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Rule of Law, 2023 vintage: I &gt; +0.80; II: 0–+0.80; III: −0.50–0; SIDS: island state; V: &lt; −0.50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DAI score or ITU DDI score, country-year, standardized. If unavailable: ITU ICT Development Index (substitute)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DPL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Precede: data year &lt; 2009; Span: data spans 2005–2014; Follow: data year &gt; 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of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author's sample country; multi-country = "pooled"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SIC: manufacturing (20–39), services (40–89), mixed/unspecified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FSTS; Entropy; Number-of-markets; Transnationality index (UNCTAD)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(ROA/ROE/ROS); Market (Tobin's Q); Mixed; Other</w:t>
            </w:r>
          </w:p>
        </w:tc>
      </w:tr>
    </w:tbl>
    <w:bookmarkEnd w:id="21"/>
    <w:bookmarkStart w:id="22" w:name="Xd9634948d23722ae653a4402a0c9331cc7088ab"/>
    <w:p>
      <w:pPr>
        <w:pStyle w:val="Heading2"/>
      </w:pPr>
      <w:r>
        <w:t xml:space="preserve">Appendix C, Consistency Check: MetaEssentials vs.</w:t>
      </w:r>
      <w:r>
        <w:t xml:space="preserve"> </w:t>
      </w:r>
      <w:r>
        <w:rPr>
          <w:rStyle w:val="VerbatimChar"/>
        </w:rPr>
        <w:t xml:space="preserve">metafor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MetaEssentials 1.5 (ICBEF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metafor REML (3-level, k=238)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  <w:r>
              <w:t xml:space="preserve"> </w:t>
            </w:r>
            <w:r>
              <w:rPr>
                <w:iCs/>
                <w:i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[0.050, 0.090]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[0.060, 0.088]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t xml:space="preserve">²_total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t xml:space="preserve">²_(2) within-study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t xml:space="preserve">²_(3) between-study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σ²_(2)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σ²_(3)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Suurmond et al.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Viechtbauer (2010)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</w:t>
      </w:r>
      <w:r>
        <w:t xml:space="preserve"> </w:t>
      </w:r>
      <w:r>
        <w:t xml:space="preserve">Lower total I² in the three-level model (62.5% vs. 87.92%)</w:t>
      </w:r>
      <w:r>
        <w:t xml:space="preserve"> </w:t>
      </w:r>
      <w:r>
        <w:t xml:space="preserve">reflects the expanded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238 sample and the three-level structure</w:t>
      </w:r>
      <w:r>
        <w:t xml:space="preserve"> </w:t>
      </w:r>
      <w:r>
        <w:t xml:space="preserve">that partitions variance across levels correctly. The narrower 95% CI</w:t>
      </w:r>
      <w:r>
        <w:t xml:space="preserve"> </w:t>
      </w:r>
      <w:r>
        <w:t xml:space="preserve">reflects the precision gain from 238 vs. 113 studies. The three-level</w:t>
      </w:r>
      <w:r>
        <w:t xml:space="preserve"> </w:t>
      </w:r>
      <w:r>
        <w:t xml:space="preserve">model is theoretically preferred as it accounts for multiple effect</w:t>
      </w:r>
      <w:r>
        <w:t xml:space="preserve"> </w:t>
      </w:r>
      <w:r>
        <w:t xml:space="preserve">sizes nested within studies.</w:t>
      </w:r>
    </w:p>
    <w:p>
      <w:pPr>
        <w:pStyle w:val="BodyText"/>
      </w:pPr>
      <w:r>
        <w:rPr>
          <w:iCs/>
          <w:i/>
        </w:rPr>
        <w:t xml:space="preserve">Word count (excluding tables, references, appendices): ≈ 6, 900 words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2026-06-09T04:16:02Z</dcterms:created>
  <dcterms:modified xsi:type="dcterms:W3CDTF">2026-06-09T04:16:02Z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