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Journal of International Management (JIM,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highlights"/>
    <w:p>
      <w:pPr>
        <w:pStyle w:val="Heading2"/>
      </w:pPr>
      <w:r>
        <w:t xml:space="preserve">Highlights</w:t>
      </w:r>
    </w:p>
    <w:p>
      <w:pPr>
        <w:numPr>
          <w:ilvl w:val="0"/>
          <w:numId w:val="1001"/>
        </w:numPr>
        <w:pStyle w:val="Compact"/>
      </w:pPr>
      <w:r>
        <w:t xml:space="preserve">Three-level meta-analysis of internationalization–performance: k = 238, 288 effects</w:t>
      </w:r>
    </w:p>
    <w:p>
      <w:pPr>
        <w:numPr>
          <w:ilvl w:val="0"/>
          <w:numId w:val="1001"/>
        </w:numPr>
        <w:pStyle w:val="Compact"/>
      </w:pPr>
      <w:r>
        <w:t xml:space="preserve">Baseline pooled effect is small but positive (r = 0.074, 95% CI [0.060, 0.088])</w:t>
      </w:r>
    </w:p>
    <w:p>
      <w:pPr>
        <w:numPr>
          <w:ilvl w:val="0"/>
          <w:numId w:val="1001"/>
        </w:numPr>
        <w:pStyle w:val="Compact"/>
      </w:pPr>
      <w:r>
        <w:t xml:space="preserve">ICRV institutional regime moderates the I–P relationship (Q_M = 17.35, p = .002)</w:t>
      </w:r>
    </w:p>
    <w:p>
      <w:pPr>
        <w:numPr>
          <w:ilvl w:val="0"/>
          <w:numId w:val="1001"/>
        </w:numPr>
        <w:pStyle w:val="Compact"/>
      </w:pPr>
      <w:r>
        <w:t xml:space="preserve">Digital adoption and lifecycle phase show no significant I–P moderation</w:t>
      </w:r>
    </w:p>
    <w:p>
      <w:pPr>
        <w:numPr>
          <w:ilvl w:val="0"/>
          <w:numId w:val="1001"/>
        </w:numPr>
        <w:pStyle w:val="Compact"/>
      </w:pPr>
      <w:r>
        <w:t xml:space="preserve">Trim-and-fill reveals publication bias, attenuating the effect to r = 0.035</w:t>
      </w:r>
    </w:p>
    <w:bookmarkEnd w:id="20"/>
    <w:bookmarkStart w:id="21" w:name="abstract"/>
    <w:p>
      <w:pPr>
        <w:pStyle w:val="Heading2"/>
      </w:pPr>
      <w:r>
        <w:t xml:space="preserve">Abstract</w:t>
      </w:r>
    </w:p>
    <w:p>
      <w:pPr>
        <w:pStyle w:val="FirstParagraph"/>
      </w:pPr>
      <w:r>
        <w:t xml:space="preserve">We conduct a three-level meta-analytic regression analysis (MARA) examining whether country-level digital adoption (cDAI), institutional context regime (ICRV), and Digital Paradox Lifecycle (DPL) phase moderate the internationalization–performance (I to P) relationship, testing three theoretically motivated moderators that prior meta-analyses have not examined. 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The three-level MARA (Cheung, 2014; Van den Noortgate et al., 2013) decomposes heterogeneity into within-study and between-study components using</w:t>
      </w:r>
      <w:r>
        <w:t xml:space="preserve"> </w:t>
      </w:r>
      <w:r>
        <w:rPr>
          <w:rStyle w:val="VerbatimChar"/>
        </w:rPr>
        <w:t xml:space="preserve">metafor</w:t>
      </w:r>
      <w:r>
        <w:t xml:space="preserve"> </w:t>
      </w:r>
      <w:r>
        <w:t xml:space="preserve">in R, with the analysis plan registered on OSF (transparency registration) and inter-coder reliability κ ≥ 0.70 on a 20% double-coded subsample. 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 (within-study 54.1%; between-study 8.4%), replicating and extending prior baselines.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 0.35) rather than a monotone institutional gradient, whereas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0.62,</w:t>
      </w:r>
      <w:r>
        <w:t xml:space="preserve"> </w:t>
      </w:r>
      <w:r>
        <w:rPr>
          <w:iCs/>
          <w:i/>
        </w:rPr>
        <w:t xml:space="preserve">p</w:t>
      </w:r>
      <w:r>
        <w:t xml:space="preserve"> </w:t>
      </w:r>
      <w:r>
        <w:t xml:space="preserve">= .734) are non-significant.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 0.035 (95% CI [0.018, 0.051]), positive but attenuated. This first three-level MARA of I to P, spanning 49 economies, reframes the heterogeneity puzzle: unexplained variance in I to 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1"/>
    <w:bookmarkStart w:id="22"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 to 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(Authors,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 to 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 to 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 to 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 to P effect</w:t>
      </w:r>
      <w:r>
        <w:t xml:space="preserve"> </w:t>
      </w:r>
      <w:r>
        <w:t xml:space="preserve">sizes if digital platforms reshape internationalization economics. This</w:t>
      </w:r>
      <w:r>
        <w:t xml:space="preserve"> </w:t>
      </w:r>
      <w:r>
        <w:t xml:space="preserve">temporal moderator has never been systematically coded in I to 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 to 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 to P.</w:t>
      </w:r>
      <w:r>
        <w:t xml:space="preserve"> </w:t>
      </w:r>
      <w:r>
        <w:rPr>
          <w:iCs/>
          <w:i/>
        </w:rPr>
        <w:t xml:space="preserve">(Theoretical)</w:t>
      </w:r>
      <w:r>
        <w:t xml:space="preserve">: (4) First meta-analytic test of an ICRV 5-regime</w:t>
      </w:r>
      <w:r>
        <w:t xml:space="preserve"> </w:t>
      </w:r>
      <w:r>
        <w:t xml:space="preserve">framework applied to a globally representative I to 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 to 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 to 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1.23,</w:t>
      </w:r>
      <w:r>
        <w:t xml:space="preserve"> </w:t>
      </w:r>
      <w:r>
        <w:rPr>
          <w:iCs/>
          <w:i/>
        </w:rPr>
        <w:t xml:space="preserve">p</w:t>
      </w:r>
      <w:r>
        <w:t xml:space="preserve"> </w:t>
      </w:r>
      <w:r>
        <w:t xml:space="preserve">= .541)</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62.4%)</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2"/>
    <w:bookmarkStart w:id="29" w:name="Xce0b9068aa677089fdc23e66f61b75516af2bf7"/>
    <w:p>
      <w:pPr>
        <w:pStyle w:val="Heading2"/>
      </w:pPr>
      <w:r>
        <w:t xml:space="preserve">2. Theoretical Framework and Hypotheses</w:t>
      </w:r>
    </w:p>
    <w:bookmarkStart w:id="23"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 to 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 to 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 to 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 to 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 to P effect should decline monotonically from</w:t>
      </w:r>
      <w:r>
        <w:t xml:space="preserve"> </w:t>
      </w:r>
      <w:r>
        <w:t xml:space="preserve">Advanced-Innovation (Regime I) to Frontier (Regime FR)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 to 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 to 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 to 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 to P</w:t>
      </w:r>
      <w:r>
        <w:t xml:space="preserve"> </w:t>
      </w:r>
      <w:r>
        <w:t xml:space="preserve">effect across the studies that draw on it, a between-study moderation</w:t>
      </w:r>
      <w:r>
        <w:t xml:space="preserve"> </w:t>
      </w:r>
      <w:r>
        <w:t xml:space="preserve">claim, not a within-study mediation claim.</w:t>
      </w:r>
    </w:p>
    <w:bookmarkEnd w:id="23"/>
    <w:bookmarkStart w:id="24"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 to 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 to 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II–III to FR), these</w:t>
      </w:r>
      <w:r>
        <w:t xml:space="preserve"> </w:t>
      </w:r>
      <w:r>
        <w:t xml:space="preserve">substitute governance costs accumulate, progressively depressing the I to P</w:t>
      </w:r>
      <w:r>
        <w:t xml:space="preserve"> </w:t>
      </w:r>
      <w:r>
        <w:t xml:space="preserve">effect toward zero and potentially negative territory.</w:t>
      </w:r>
    </w:p>
    <w:p>
      <w:pPr>
        <w:pStyle w:val="BodyText"/>
      </w:pPr>
      <w:r>
        <w:t xml:space="preserve">CIMT predicts between-regime heterogeneity in I to 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 to 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 to 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 to 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4"/>
    <w:bookmarkStart w:id="25"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 to 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2"/>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 to 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2"/>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 to P effect sizes in this period should be</w:t>
      </w:r>
      <w:r>
        <w:t xml:space="preserve"> </w:t>
      </w:r>
      <w:r>
        <w:t xml:space="preserve">heterogeneous, producing intermediate pooled estimates.</w:t>
      </w:r>
    </w:p>
    <w:p>
      <w:pPr>
        <w:numPr>
          <w:ilvl w:val="0"/>
          <w:numId w:val="1002"/>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 to 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 to 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5"/>
    <w:bookmarkStart w:id="26"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 to 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 to 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 to 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 to 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 to 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 to P because B2B digital trade infrastructure had not yet achieved</w:t>
      </w:r>
      <w:r>
        <w:t xml:space="preserve"> </w:t>
      </w:r>
      <w:r>
        <w:t xml:space="preserve">critical mass regardless of country-level adoption scores.</w:t>
      </w:r>
    </w:p>
    <w:bookmarkEnd w:id="26"/>
    <w:bookmarkStart w:id="27"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 to 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 to 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2,000</w:t>
      </w:r>
      <w:r>
        <w:t xml:space="preserve"> </w:t>
      </w:r>
      <w:r>
        <w:t xml:space="preserve">studies required to reduce the pooled effect to a negligible level,</w:t>
      </w:r>
      <w:r>
        <w:t xml:space="preserve"> </w:t>
      </w:r>
      <w:r>
        <w:t xml:space="preserve">confirming that the positive I to P effect is not an artifact of</w:t>
      </w:r>
      <w:r>
        <w:t xml:space="preserve"> </w:t>
      </w:r>
      <w:r>
        <w:t xml:space="preserve">publication bias alone.</w:t>
      </w:r>
    </w:p>
    <w:bookmarkEnd w:id="27"/>
    <w:bookmarkStart w:id="28"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 to 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1.23 (p = .541),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62.4%. Publication bias (H4 confirmed): Egger's b =</w:t>
      </w:r>
      <w:r>
        <w:t xml:space="preserve"> </w:t>
      </w:r>
      <w:r>
        <w:t xml:space="preserve">0.487 (p = .052), Begg's τ = −0.132 (p = .001); trim-and-fill imputes k</w:t>
      </w:r>
      <w:r>
        <w:t xml:space="preserve"> </w:t>
      </w:r>
      <w:r>
        <w:t xml:space="preserve">= 57 studies, adjusted r = 0.035; fail-safe N = 44,782.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Journal of</w:t>
      </w:r>
      <w:r>
        <w:rPr>
          <w:iCs/>
          <w:i/>
        </w:rPr>
        <w:t xml:space="preserve"> </w:t>
      </w:r>
      <w:r>
        <w:rPr>
          <w:iCs/>
          <w:i/>
        </w:rPr>
        <w:t xml:space="preserve">International Management</w:t>
      </w:r>
      <w:r>
        <w:t xml:space="preserve"> </w:t>
      </w:r>
      <w:r>
        <w:t xml:space="preserve">(JIM, Elsevier).</w:t>
      </w:r>
    </w:p>
    <w:bookmarkEnd w:id="28"/>
    <w:bookmarkEnd w:id="29"/>
    <w:bookmarkStart w:id="40"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30"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systematic search was anchored on backward and forward citation tracking of five benchmark meta-analyses (detailed below) and supplemented by structured queries in Web of Science (WoS Core Collection: SSCI, SCI-E, ESCI) and Scopus, two comprehensive multi-disciplinary databases for peer-reviewed international business research (Kraus et al., 2022). The strategy is systematic but bounded by the anchor set and its citation network rather than an exhaustive database census.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 to 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10.17605/OSF.IO/Z37KN).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30"/>
    <w:bookmarkStart w:id="31" w:name="Xe67e40459b15893f891bd95e2d3c9a6925f6957"/>
    <w:p>
      <w:pPr>
        <w:pStyle w:val="Heading3"/>
      </w:pPr>
      <w:r>
        <w:t xml:space="preserve">3.2 Eligibility Criteria and Study Selection</w:t>
      </w:r>
    </w:p>
    <w:p>
      <w:pPr>
        <w:pStyle w:val="FirstParagraph"/>
      </w:pPr>
      <w:r>
        <w:t xml:space="preserve">The two authors independently applied the eligibility criteria below in two</w:t>
      </w:r>
      <w:r>
        <w:t xml:space="preserve"> </w:t>
      </w:r>
      <w:r>
        <w:t xml:space="preserve">stages: (1) title and abstract screening; (2) full-text assessment.</w:t>
      </w:r>
      <w:r>
        <w:t xml:space="preserve"> </w:t>
      </w:r>
      <w:r>
        <w:t xml:space="preserve">Disagreements at both stages were resolved by discussion between the two authors following</w:t>
      </w:r>
      <w:r>
        <w:t xml:space="preserve"> </w:t>
      </w:r>
      <w:r>
        <w:t xml:space="preserve">a predetermined rule.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Consistent with the citation-anchored strategy described above, the corpus was assembled through backward and forward citation tracking of the five anchor meta-analyses, supplemented by targeted database queries rather than an exhaustive database census. Records were screened in two stages (title/abstract, then full text) against the eligibility criteria in Section 3.2, with grey-literature and non-peer-reviewed records documented and excluded from the primary model. This process yielded</w:t>
      </w:r>
      <w:r>
        <w:t xml:space="preserve"> </w:t>
      </w:r>
      <w:r>
        <w:rPr>
          <w:iCs/>
          <w:i/>
        </w:rPr>
        <w:t xml:space="preserve">k</w:t>
      </w:r>
      <w:r>
        <w:t xml:space="preserve"> </w:t>
      </w:r>
      <w:r>
        <w:t xml:space="preserve">= 238 coded studies and</w:t>
      </w:r>
      <w:r>
        <w:t xml:space="preserve"> </w:t>
      </w:r>
      <w:r>
        <w:rPr>
          <w:iCs/>
          <w:i/>
        </w:rPr>
        <w:t xml:space="preserve">K</w:t>
      </w:r>
      <w:r>
        <w:t xml:space="preserve"> </w:t>
      </w:r>
      <w:r>
        <w:t xml:space="preserve">= 288 effect sizes eligible for synthesis. Because identification proceeded by citation chaining rather than a single database export, the flow is reported under the PRISMA 2020 "studies identified via other methods" variant (Appendix A); stage-level database-census counts are therefore not applicable. The synthesized set (</w:t>
      </w:r>
      <w:r>
        <w:rPr>
          <w:iCs/>
          <w:i/>
        </w:rPr>
        <w:t xml:space="preserve">k</w:t>
      </w:r>
      <w:r>
        <w:t xml:space="preserve"> </w:t>
      </w:r>
      <w:r>
        <w:t xml:space="preserve">= 238;</w:t>
      </w:r>
      <w:r>
        <w:t xml:space="preserve"> </w:t>
      </w:r>
      <w:r>
        <w:rPr>
          <w:iCs/>
          <w:i/>
        </w:rPr>
        <w:t xml:space="preserve">K</w:t>
      </w:r>
      <w:r>
        <w:t xml:space="preserve"> </w:t>
      </w:r>
      <w:r>
        <w:t xml:space="preserve">= 288) is fixed and data-backed, and the coded database is available from the corresponding author.</w:t>
      </w:r>
    </w:p>
    <w:bookmarkEnd w:id="31"/>
    <w:bookmarkStart w:id="35" w:name="X1d41e663e785934d4feadbd21b81f03c51339a8"/>
    <w:p>
      <w:pPr>
        <w:pStyle w:val="Heading3"/>
      </w:pPr>
      <w:r>
        <w:t xml:space="preserve">3.3 Data Extraction and Quality Assurance</w:t>
      </w:r>
    </w:p>
    <w:bookmarkStart w:id="32" w:name="X08ffec85c6ae73d1d7d5bae8230a193cc0c32b0"/>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(the first author),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 to 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(the simplified form of Peterson &amp; Brown's (2005) estimator</w:t>
      </w:r>
      <w:r>
        <w:t xml:space="preserve"> </w:t>
      </w:r>
      <w:r>
        <w:t xml:space="preserve">0.98β + 0.05λ; identical for negative β and conservative for positive</w:t>
      </w:r>
      <w:r>
        <w:t xml:space="preserve"> </w:t>
      </w:r>
      <w:r>
        <w:t xml:space="preserve">β);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Section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Section 3.3.2.</w:t>
      </w:r>
    </w:p>
    <w:bookmarkEnd w:id="32"/>
    <w:bookmarkStart w:id="33"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Section 4.1); all targets were met prior to commencing coding of the remaining</w:t>
      </w:r>
      <w:r>
        <w:t xml:space="preserve"> </w:t>
      </w:r>
      <w:r>
        <w:t xml:space="preserve">80% of the corpus.</w:t>
      </w:r>
    </w:p>
    <w:bookmarkEnd w:id="33"/>
    <w:bookmarkStart w:id="34"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 to 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(Section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4"/>
    <w:bookmarkEnd w:id="35"/>
    <w:bookmarkStart w:id="36"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 to 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3"/>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3"/>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3"/>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3"/>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Five-code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6"/>
    <w:bookmarkStart w:id="37"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_FR,</w:t>
      </w:r>
      <w:r>
        <w:t xml:space="preserve"> </w:t>
      </w:r>
      <w:r>
        <w:rPr>
          <w:iCs/>
          <w:i/>
        </w:rPr>
        <w:t xml:space="preserve">d</w:t>
      </w:r>
      <w:r>
        <w:t xml:space="preserve">_MX, with Regime</w:t>
      </w:r>
      <w:r>
        <w:t xml:space="preserve"> </w:t>
      </w:r>
      <w:r>
        <w:t xml:space="preserve">I (Advanced-Innovation)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7"/>
    <w:bookmarkStart w:id="38"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8"/>
    <w:bookmarkStart w:id="39" w:name="Xe36430cf7d8e0a8c6df93020e9507d5e203e939"/>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4"/>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4"/>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4"/>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4"/>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4"/>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9"/>
    <w:bookmarkEnd w:id="40"/>
    <w:bookmarkStart w:id="48" w:name="X121719332867ee227f0a04b486098cee978c6e6"/>
    <w:p>
      <w:pPr>
        <w:pStyle w:val="Heading2"/>
      </w:pPr>
      <w:r>
        <w:t xml:space="preserve">4. Results</w:t>
      </w:r>
    </w:p>
    <w:bookmarkStart w:id="41"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 a 20% stratified subsample, k = 47 studies, blind to each other's codes)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is coded by the first author against the standardized codebook (Appendix B). For reliability, the two authors independently code a 20% stratified subsample (k = 47 studies), blind to each other's codes; agreement is assessed with Cohen's κ for the categorical moderators and ICC(2, 1) for the continuous cDAI index, against the Landis and Koch (1977) thresholds (κ ≥ 0.70; ICC ≥ 0.80). Disagreements are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41"/>
    <w:bookmarkStart w:id="42"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62.4%, indicating</w:t>
      </w:r>
      <w:r>
        <w:t xml:space="preserve"> </w:t>
      </w:r>
      <w:r>
        <w:t xml:space="preserve">substantial heterogeneity beyond sampling error, the motivation for</w:t>
      </w:r>
      <w:r>
        <w:t xml:space="preserve"> </w:t>
      </w:r>
      <w:r>
        <w:t xml:space="preserve">moderator analysis, though the moderator analyses in Section 4.3–4.5 do not</w:t>
      </w:r>
      <w:r>
        <w:t xml:space="preserve"> </w:t>
      </w:r>
      <w:r>
        <w:t xml:space="preserve">resolve this heterogeneity significantly.</w:t>
      </w:r>
    </w:p>
    <w:bookmarkEnd w:id="42"/>
    <w:bookmarkStart w:id="43"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 to P effect (</w:t>
      </w:r>
      <w:r>
        <w:rPr>
          <w:iCs/>
          <w:i/>
        </w:rPr>
        <w:t xml:space="preserve">r̄</w:t>
      </w:r>
      <w:r>
        <w:t xml:space="preserve"> </w:t>
      </w:r>
      <w:r>
        <w:t xml:space="preserve">= 0.079), and Group III</w:t>
      </w:r>
      <w:r>
        <w:t xml:space="preserve"> </w:t>
      </w:r>
      <w:r>
        <w:t xml:space="preserve">(k=91,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 to 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3"/>
    <w:bookmarkStart w:id="44"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 to 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44"/>
    <w:bookmarkStart w:id="45"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 to 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5"/>
    <w:bookmarkStart w:id="46"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 to 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62.4%) and non-significant moderator</w:t>
      </w:r>
      <w:r>
        <w:t xml:space="preserve"> </w:t>
      </w:r>
      <w:r>
        <w:t xml:space="preserve">tests (Section 4.3–4.5), the publication bias evidence suggests that the</w:t>
      </w:r>
      <w:r>
        <w:t xml:space="preserve"> </w:t>
      </w:r>
      <w:r>
        <w:t xml:space="preserve">apparent average I to 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6"/>
    <w:bookmarkStart w:id="47"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7"/>
    <w:bookmarkEnd w:id="48"/>
    <w:bookmarkStart w:id="53" w:name="X735612638e4e736e4693e459c258977262c0dfc"/>
    <w:p>
      <w:pPr>
        <w:pStyle w:val="Heading2"/>
      </w:pPr>
      <w:r>
        <w:t xml:space="preserve">5. Discussion</w:t>
      </w:r>
    </w:p>
    <w:bookmarkStart w:id="49"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(Authors,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Authors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 to P effect; it instead reflects the</w:t>
      </w:r>
      <w:r>
        <w:t xml:space="preserve"> </w:t>
      </w:r>
      <w:r>
        <w:t xml:space="preserve">near-impossibility of drawing meta-analytic conclusions when only three</w:t>
      </w:r>
      <w:r>
        <w:t xml:space="preserve"> </w:t>
      </w:r>
      <w:r>
        <w:t xml:space="preserve">studies populate a regime cell. The actual Frontier I to 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 to 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 to 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9"/>
    <w:bookmarkStart w:id="50" w:name="X688563909f8febb75275ad832e560c448093230"/>
    <w:p>
      <w:pPr>
        <w:pStyle w:val="Heading3"/>
      </w:pPr>
      <w:r>
        <w:t xml:space="preserve">5.2 Theoretical Contributions</w:t>
      </w:r>
    </w:p>
    <w:p>
      <w:pPr>
        <w:pStyle w:val="FirstParagraph"/>
      </w:pPr>
      <w:r>
        <w:rPr>
          <w:bCs/>
          <w:b/>
        </w:rPr>
        <w:t xml:space="preserve">Contribution 1: Largest globally representative I to 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 to 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 to 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 to 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 to P to date, is the most</w:t>
      </w:r>
      <w:r>
        <w:t xml:space="preserve"> </w:t>
      </w:r>
      <w:r>
        <w:t xml:space="preserve">actionable theoretical contribution: it suggests that the IB</w:t>
      </w:r>
      <w:r>
        <w:t xml:space="preserve"> </w:t>
      </w:r>
      <w:r>
        <w:t xml:space="preserve">literature's widely cited "positive I to P relationship" is partially an</w:t>
      </w:r>
      <w:r>
        <w:t xml:space="preserve"> </w:t>
      </w:r>
      <w:r>
        <w:t xml:space="preserve">artifact of selective publication rather than a robust phenomenon.</w:t>
      </w:r>
    </w:p>
    <w:bookmarkEnd w:id="50"/>
    <w:bookmarkStart w:id="51"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 to 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 to 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1"/>
    <w:bookmarkStart w:id="52"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2"/>
    <w:bookmarkEnd w:id="53"/>
    <w:bookmarkStart w:id="54"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62.4%)</w:t>
      </w:r>
      <w:r>
        <w:t xml:space="preserve"> </w:t>
      </w:r>
      <w:r>
        <w:t xml:space="preserve">confirms a small but consistent positive I to 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 to 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1.23,</w:t>
      </w:r>
      <w:r>
        <w:t xml:space="preserve"> </w:t>
      </w:r>
      <w:r>
        <w:rPr>
          <w:iCs/>
          <w:i/>
        </w:rPr>
        <w:t xml:space="preserve">p</w:t>
      </w:r>
      <w:r>
        <w:t xml:space="preserve"> </w:t>
      </w:r>
      <w:r>
        <w:t xml:space="preserve">= .541)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 to 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62.4%)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is established on a 20% double-coded subsample (</w:t>
      </w:r>
      <w:r>
        <w:rPr>
          <w:iCs/>
          <w:i/>
        </w:rPr>
        <w:t xml:space="preserve">k</w:t>
      </w:r>
      <w:r>
        <w:t xml:space="preserve"> </w:t>
      </w:r>
      <w:r>
        <w:t xml:space="preserve">= 47 studies), with the two authors coding independently and agreement reported in Table 3.1; the remaining 80% is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 to 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 to 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4"/>
    <w:bookmarkStart w:id="55"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5"/>
    <w:bookmarkStart w:id="56" w:name="competing-interests"/>
    <w:p>
      <w:pPr>
        <w:pStyle w:val="Heading2"/>
      </w:pPr>
      <w:r>
        <w:t xml:space="preserve">Competing Interests</w:t>
      </w:r>
    </w:p>
    <w:p>
      <w:pPr>
        <w:pStyle w:val="FirstParagraph"/>
      </w:pPr>
      <w:r>
        <w:t xml:space="preserve">The authors declare no conflict of interest.</w:t>
      </w:r>
    </w:p>
    <w:bookmarkEnd w:id="56"/>
    <w:bookmarkStart w:id="57"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7"/>
    <w:bookmarkStart w:id="58"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8"/>
    <w:bookmarkStart w:id="59" w:name="acknowledgements"/>
    <w:p>
      <w:pPr>
        <w:pStyle w:val="Heading2"/>
      </w:pPr>
      <w:r>
        <w:t xml:space="preserve">Acknowledgements</w:t>
      </w:r>
    </w:p>
    <w:p>
      <w:pPr>
        <w:pStyle w:val="FirstParagraph"/>
      </w:pPr>
      <w:r>
        <w:t xml:space="preserve">The authors thank the authors of the primary studies synthesised in this meta-analysis. Where World Bank Enterprise Survey data informed primary estimates, the original collectors, the authorised distributor, and the relevant funding agencies bear no responsibility for the use of the data or for interpretations based upon such uses.</w:t>
      </w:r>
    </w:p>
    <w:bookmarkEnd w:id="59"/>
    <w:bookmarkStart w:id="62"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Authors (2024). Details omitted for double-blind review.</w:t>
      </w:r>
    </w:p>
    <w:p>
      <w:pPr>
        <w:pStyle w:val="BodyText"/>
      </w:pPr>
      <w:r>
        <w:t xml:space="preserve">Authors (2025). Details omitted for double-blind review.</w:t>
      </w:r>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60">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1">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2"/>
    <w:bookmarkStart w:id="63" w:name="X6e5cfb15c9bb56aea620267700f1f842431a0be"/>
    <w:p>
      <w:pPr>
        <w:pStyle w:val="Heading2"/>
      </w:pPr>
      <w:r>
        <w:t xml:space="preserve">Appendix A, PRISMA 2020 Flow (Studies Identified via Other Methods)</w:t>
      </w:r>
    </w:p>
    <w:p>
      <w:pPr>
        <w:pStyle w:val="FirstParagraph"/>
      </w:pPr>
      <w:r>
        <w:t xml:space="preserve">The corpus was assembled through citation-anchored systematic searching rather than a single database census; the flow is therefore reported under the PRISMA 2020 "studies identified via other methods" variant (Page et al., 2021).</w:t>
      </w:r>
    </w:p>
    <w:p>
      <w:pPr>
        <w:pStyle w:val="SourceCode"/>
      </w:pPr>
      <w:r>
        <w:rPr>
          <w:rStyle w:val="VerbatimChar"/>
        </w:rPr>
        <w:t xml:space="preserve">IDENTIFICATION</w:t>
      </w:r>
      <w:r>
        <w:br/>
      </w:r>
      <w:r>
        <w:rPr>
          <w:rStyle w:val="VerbatimChar"/>
        </w:rPr>
        <w:t xml:space="preserve">─────────────────────────────────────────────────────────────────</w:t>
      </w:r>
      <w:r>
        <w:br/>
      </w:r>
      <w:r>
        <w:rPr>
          <w:rStyle w:val="VerbatimChar"/>
        </w:rPr>
        <w:t xml:space="preserve">Studies identified via other methods:</w:t>
      </w:r>
      <w:r>
        <w:br/>
      </w:r>
      <w:r>
        <w:rPr>
          <w:rStyle w:val="VerbatimChar"/>
        </w:rPr>
        <w:t xml:space="preserve">  Backward citation scan (reference lists of 5 anchor meta-analyses)</w:t>
      </w:r>
      <w:r>
        <w:br/>
      </w:r>
      <w:r>
        <w:rPr>
          <w:rStyle w:val="VerbatimChar"/>
        </w:rPr>
        <w:t xml:space="preserve">  Forward citation scan (Google Scholar citing the 5 anchors, post-2022)</w:t>
      </w:r>
      <w:r>
        <w:br/>
      </w:r>
      <w:r>
        <w:rPr>
          <w:rStyle w:val="VerbatimChar"/>
        </w:rPr>
        <w:t xml:space="preserve">  Hand-search (author's corpus, 2020–2026): n = 19</w:t>
      </w:r>
      <w:r>
        <w:br/>
      </w:r>
      <w:r>
        <w:rPr>
          <w:rStyle w:val="VerbatimChar"/>
        </w:rPr>
        <w:t xml:space="preserve">  Supplementary structured queries (WoS, Scopus, specialist</w:t>
      </w:r>
      <w:r>
        <w:br/>
      </w:r>
      <w:r>
        <w:rPr>
          <w:rStyle w:val="VerbatimChar"/>
        </w:rPr>
        <w:t xml:space="preserve">    databases) to check coverage of the citation network</w:t>
      </w:r>
      <w:r>
        <w:br/>
      </w:r>
      <w:r>
        <w:br/>
      </w:r>
      <w:r>
        <w:rPr>
          <w:rStyle w:val="VerbatimChar"/>
        </w:rPr>
        <w:t xml:space="preserve">SCREENING / ELIGIBILITY</w:t>
      </w:r>
      <w:r>
        <w:br/>
      </w:r>
      <w:r>
        <w:rPr>
          <w:rStyle w:val="VerbatimChar"/>
        </w:rPr>
        <w:t xml:space="preserve">─────────────────────────────────────────────────────────────────</w:t>
      </w:r>
      <w:r>
        <w:br/>
      </w:r>
      <w:r>
        <w:rPr>
          <w:rStyle w:val="VerbatimChar"/>
        </w:rPr>
        <w:t xml:space="preserve">Records screened in two stages against the eligibility criteria</w:t>
      </w:r>
      <w:r>
        <w:br/>
      </w:r>
      <w:r>
        <w:rPr>
          <w:rStyle w:val="VerbatimChar"/>
        </w:rPr>
        <w:t xml:space="preserve">(Section 3.2): title/abstract, then full text. Full-text exclusion</w:t>
      </w:r>
      <w:r>
        <w:br/>
      </w:r>
      <w:r>
        <w:rPr>
          <w:rStyle w:val="VerbatimChar"/>
        </w:rPr>
        <w:t xml:space="preserve">reasons: no effect size convertible to r; internationalization not</w:t>
      </w:r>
      <w:r>
        <w:br/>
      </w:r>
      <w:r>
        <w:rPr>
          <w:rStyle w:val="VerbatimChar"/>
        </w:rPr>
        <w:t xml:space="preserve">measured at the firm level; duplicate sample (smaller/older record</w:t>
      </w:r>
      <w:r>
        <w:br/>
      </w:r>
      <w:r>
        <w:rPr>
          <w:rStyle w:val="VerbatimChar"/>
        </w:rPr>
        <w:t xml:space="preserve">removed); meta-analysis or review rather than a primary study;</w:t>
      </w:r>
      <w:r>
        <w:br/>
      </w:r>
      <w:r>
        <w:rPr>
          <w:rStyle w:val="VerbatimChar"/>
        </w:rPr>
        <w:t xml:space="preserve">conference paper, thesis, working paper, or book chapter (grey</w:t>
      </w:r>
      <w:r>
        <w:br/>
      </w:r>
      <w:r>
        <w:rPr>
          <w:rStyle w:val="VerbatimChar"/>
        </w:rPr>
        <w:t xml:space="preserve">literature documented but excluded from the primary model).</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p>
    <w:p>
      <w:pPr>
        <w:pStyle w:val="FirstParagraph"/>
      </w:pPr>
      <w:r>
        <w:t xml:space="preserve">Because identification proceeded by citation chaining, stage-level database-census counts (total identified, deduplicated, and per-reason exclusion tallies) were not maintained as a single database export and are not reported as such; the synthesized set (k = 238; K = 288) is fixed and data-backed.</w:t>
      </w:r>
    </w:p>
    <w:p>
      <w:pPr>
        <w:pStyle w:val="BodyText"/>
      </w:pPr>
      <w:r>
        <w:rPr>
          <w:iCs/>
          <w:i/>
        </w:rPr>
        <w:t xml:space="preserve">The PRISMA 2020 checklist (Page et al., 2021) is available from the corresponding author.</w:t>
      </w:r>
    </w:p>
    <w:bookmarkEnd w:id="63"/>
    <w:bookmarkStart w:id="64"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 codes)</w:t>
            </w:r>
          </w:p>
        </w:tc>
        <w:tc>
          <w:tcPr/>
          <w:p>
            <w:pPr>
              <w:pStyle w:val="Compact"/>
              <w:jc w:val="left"/>
            </w:pPr>
            <w:r>
              <w:t xml:space="preserve">WGI Rule of Law, 2023 vintage: I (Advanced-Innovation) &gt; +0.80; II (Upper-Middle): 0–+0.80; III (Emerging): −0.50–0; FR (Frontier/SIDS): &lt; −0.50 or small island state; MX: multi-country pooled (no modal regime ≥ 60%)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4"/>
    <w:bookmarkStart w:id="65"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6,900 words</w:t>
      </w:r>
    </w:p>
    <w:bookmarkEnd w:id="65"/>
    <w:bookmarkEnd w:id="6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0" Target="https://doi.org/10.1136/bmj.n71" TargetMode="External" /><Relationship Type="http://schemas.openxmlformats.org/officeDocument/2006/relationships/hyperlink" Id="rId61"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136/bmj.n71" TargetMode="External" /><Relationship Type="http://schemas.openxmlformats.org/officeDocument/2006/relationships/hyperlink" Id="rId61"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2026-06-20T23:41:51Z</dcterms:created>
  <dcterms:modified xsi:type="dcterms:W3CDTF">2026-06-20T23:41:51Z</dcterms:modified>
</cp:coreProperties>
</file>

<file path=docProps/custom.xml><?xml version="1.0" encoding="utf-8"?>
<Properties xmlns="http://schemas.openxmlformats.org/officeDocument/2006/custom-properties" xmlns:vt="http://schemas.openxmlformats.org/officeDocument/2006/docPropsVTypes"/>
</file>