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Management International Review (Springer Nature), or alternatively International Journal of Emerging Markets (Emerald).</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t xml:space="preserve">This study examines whether the inverted-U relationship between export intensity and firm productivity among Indian private firms is structurally durable across the 2014 to 2025 institutional and digital transformation decade (demonetisation, GST, IBC, UPI saturation, PLI, Atmanirbhar Bharat), and whether technological and digital capabilities moderate the threshold. Three World Bank Enterprise Survey waves for India (2014 PICS3, 2022 BEE, 2025 BREADY; analytic N = 28,717) are estimated by OLS with HC1 robust standard errors, quadratic FSTS terms, and capability interactions; Lind–Mehlum U-tests verify the inverted-U per wave and Paternoster z-tests evaluate 2014-versus-2025 coefficient equality, with the April 2016 UPI rollout providing a quasi-experiment for digital saturation. The inverted-U structurally collapses: the turning point migrates from FSTS = 61.8 per cent (2014) to 40.7 per cent (2022), and by 2025 the curvature term is insignificant (β₂ = −0.16, p = 0.42) and the relationship is monotonically negative. Paternoster z-tests reject coefficient equality for the linear (z = −7.94) and quadratic (z = +4.17) terms (both p &lt; 0.0001), and the UPI Tier-2 e-payment interaction is negative (FSTS × DAI_epay = −4.02, p = 0.004). The study provides the first firm-level evidence that extreme institutional transformation can dissolve, rather than relocate, the inverted-U threshold, identifying a previously untested scope condition for the Lu and Beamish (2004) claim: the threshold is conditional on institutional stability. The authors’ earlier work (Do and Phan, 2025) is acknowledged as prior author work.</w:t>
      </w:r>
    </w:p>
    <w:p>
      <w:pPr>
        <w:pStyle w:val="BodyText"/>
      </w:pPr>
      <w:r>
        <w:rPr>
          <w:bCs/>
          <w:b/>
        </w:rPr>
        <w:t xml:space="preserve">Keywords:</w:t>
      </w:r>
      <w:r>
        <w:t xml:space="preserve"> </w:t>
      </w:r>
      <w:r>
        <w:t xml:space="preserve">internationalisation–performance; export intensity; threshold stability; India; UPI; technological capability; institutional transformation;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Sarkar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moved from 7.2 % (2014) to 8.0 % (2022) before falling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334000" cy="3130882"/>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334000" cy="3130882"/>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334000" cy="3485437"/>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334000" cy="3485437"/>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334000" cy="3738442"/>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334000" cy="3738442"/>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1e-11).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Section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Section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Section 5.6. One further measurement caveat warrants emphasis: the 2025 wave coincides with a sharp contraction in export engagement (mean FSTS falls from 7.2 per cent in 2014 to 2.7 per cent in 2025, and the number of firms above 50 per cent FSTS falls from 536 to 141), so the loss of significant quadratic curvature in 2025 partly reflects reduced identifying variation in the high-export tail. The threshold-dissolution finding should therefore be read as conditional on the post-Atmanirbhar export contraction. Importantly, however, the sign of the low-export slope itself reverses, from a positive ascending limb in 2014 to a monotone negative relationship in 2025, a qualitative change that thinner tail support alone does not generate.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Hutzschenreuter, T. and Voll, J.C. (2008),</w:t>
      </w:r>
      <w:r>
        <w:t xml:space="preserve"> </w:t>
      </w:r>
      <w:r>
        <w:t xml:space="preserve">“</w:t>
      </w:r>
      <w:r>
        <w:t xml:space="preserve">Performance effects of</w:t>
      </w:r>
      <w:r>
        <w:t xml:space="preserve"> </w:t>
      </w:r>
      <w:r>
        <w:t xml:space="preserve">‘</w:t>
      </w:r>
      <w:r>
        <w:t xml:space="preserve">added cultural distance</w:t>
      </w:r>
      <w:r>
        <w:t xml:space="preserve">’</w:t>
      </w:r>
      <w:r>
        <w:t xml:space="preserve"> </w:t>
      </w:r>
      <w:r>
        <w:t xml:space="preserve">in the path of international expansion</w:t>
      </w:r>
      <w:r>
        <w:t xml:space="preserve">”</w:t>
      </w:r>
      <w:r>
        <w:t xml:space="preserve">,</w:t>
      </w:r>
      <w:r>
        <w:t xml:space="preserve"> </w:t>
      </w:r>
      <w:r>
        <w:rPr>
          <w:iCs/>
          <w:i/>
        </w:rPr>
        <w:t xml:space="preserve">Journal of International Business Studies</w:t>
      </w:r>
      <w:r>
        <w:t xml:space="preserve">, Vol. 39 No. 1, pp. 53–70.</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2026-06-24T23:10:17Z</dcterms:created>
  <dcterms:modified xsi:type="dcterms:W3CDTF">2026-06-24T23:10:17Z</dcterms:modified>
</cp:coreProperties>
</file>

<file path=docProps/custom.xml><?xml version="1.0" encoding="utf-8"?>
<Properties xmlns="http://schemas.openxmlformats.org/officeDocument/2006/custom-properties" xmlns:vt="http://schemas.openxmlformats.org/officeDocument/2006/docPropsVTypes"/>
</file>