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lời-cảm-ơn"/>
    <w:p>
      <w:pPr>
        <w:pStyle w:val="Heading2"/>
      </w:pPr>
      <w:r>
        <w:t xml:space="preserve">LỜI CẢM ƠN</w:t>
      </w:r>
    </w:p>
    <w:p>
      <w:pPr>
        <w:pStyle w:val="FirstParagraph"/>
      </w:pPr>
      <w:r>
        <w:rPr>
          <w:iCs/>
          <w:i/>
        </w:rPr>
        <w:t xml:space="preserve">(NCS hoàn thiện: cảm ơn người hướng dẫn khoa học, Trường Kinh tế và Trường Đại học Cần Thơ, Trường Đại học Kỹ thuật – Công nghệ Vĩnh Long, gia đình và đồng nghiệp.)</w:t>
      </w:r>
    </w:p>
    <w:p>
      <w:r>
        <w:pict>
          <v:rect style="width:0;height:1.5pt" o:hralign="center" o:hrstd="t" o:hr="t"/>
        </w:pict>
      </w:r>
    </w:p>
    <w:bookmarkEnd w:id="20"/>
    <w:bookmarkStart w:id="21" w:name="tóm-tắt"/>
    <w:p>
      <w:pPr>
        <w:pStyle w:val="Heading2"/>
      </w:pPr>
      <w:r>
        <w:t xml:space="preserve">TÓM TẮT</w:t>
      </w:r>
    </w:p>
    <w:p>
      <w:pPr>
        <w:pStyle w:val="FirstParagraph"/>
      </w:pPr>
      <w:r>
        <w:t xml:space="preserve">Luận án nghiên cứu mối quan hệ giữa quốc tế hóa và hiệu quả hoạt động của doanh nghiệp (internationalization–firm performance, I–P) tại châu Á, tập trung làm rõ các điều kiện biên giải thích sự dị biệt cao trong mối quan hệ này. Trên cơ sở tích hợp bốn lý thuyết kinh điển, mô hình Uppsala, lý thuyết dựa trên nguồn lực (RBV), lý thuyết thể chế và lý thuyết thượng tầng quản trị, cùng lớp mở rộng về năng lực số, luận án xây dựng khung giải thích đa tầng CDCM (Country–Digital–Capability Moderation) với ba tầng điều tiết: bối cảnh thể chế (vận hành hóa bằng khung phân loại ICRV sáu nhóm), năng lực số (phân tách năng lực công nghệ TCI và chỉ số chấp nhận số DAI), và đặc điểm nhà quản trị cấp cao.</w:t>
      </w:r>
    </w:p>
    <w:p>
      <w:pPr>
        <w:pStyle w:val="BodyText"/>
      </w:pPr>
      <w:r>
        <w:t xml:space="preserve">Luận án sử dụng thiết kế hỗn hợp tổng hợp–thực nghiệm (mixed synthesis-empirical): (i) một phân tích tổng hợp (meta-analysis) ba tầng giai đoạn 1977–2026 với k = 238 nghiên cứu; và (ii) phân tích thực nghiệm dữ liệu doanh nghiệp từ Khảo sát Doanh nghiệp của Ngân hàng Thế giới (WBES) trên 50 nền kinh tế châu Á và Thái Bình Dương (gồm Nhật Bản; mẫu hồi quy chính N = 81.022 doanh nghiệp), bổ sung bằng các phân tích quốc gia chuyên sâu (Việt Nam, Singapore, Trung Quốc, Ấn Độ) và trường hợp biên là bảy nền kinh tế đảo nhỏ đang phát triển (SIDS) Thái Bình Dương.</w:t>
      </w:r>
    </w:p>
    <w:p>
      <w:pPr>
        <w:pStyle w:val="BodyText"/>
      </w:pPr>
      <w:r>
        <w:t xml:space="preserve">Kết quả chính: (1) quan hệ I–P có dạng phi tuyến chữ U ngược với điểm uốn gộp 43,6% (mô hình đầy đủ, 50 nền kinh tế); chữ U ngược định hình rõ nét nhất ở nhóm chuyển đổi thu nhập trung bình–thấp (43,0%), duỗi thẳng gần tuyến tính ở nhóm thể chế mạnh nhất và mất cấu trúc ở các nhóm thể chế yếu nhất; (2) cả TCI và DAI đều</w:t>
      </w:r>
      <w:r>
        <w:t xml:space="preserve"> </w:t>
      </w:r>
      <w:r>
        <w:rPr>
          <w:bCs/>
          <w:b/>
        </w:rPr>
        <w:t xml:space="preserve">nâng mặt bằng hiệu quả một cách phổ quát</w:t>
      </w:r>
      <w:r>
        <w:t xml:space="preserve"> </w:t>
      </w:r>
      <w:r>
        <w:t xml:space="preserve">(TCI là năng lực nền tảng, DAI là nguồn lực tình huống), nhưng vai trò</w:t>
      </w:r>
      <w:r>
        <w:t xml:space="preserve"> </w:t>
      </w:r>
      <w:r>
        <w:rPr>
          <w:bCs/>
          <w:b/>
        </w:rPr>
        <w:t xml:space="preserve">uốn đường cong</w:t>
      </w:r>
      <w:r>
        <w:t xml:space="preserve"> </w:t>
      </w:r>
      <w:r>
        <w:t xml:space="preserve">của chúng không phổ quát: trên toàn mẫu 50 nền các tương tác với đường cong không đạt ý nghĩa thống kê, và chỉ định hình rõ ở bối cảnh đơn quốc gia đặc thù (điển hình là hiệu ứng</w:t>
      </w:r>
      <w:r>
        <w:t xml:space="preserve"> </w:t>
      </w:r>
      <w:r>
        <w:t xml:space="preserve">“</w:t>
      </w:r>
      <w:r>
        <w:t xml:space="preserve">lá chắn số</w:t>
      </w:r>
      <w:r>
        <w:t xml:space="preserve">”</w:t>
      </w:r>
      <w:r>
        <w:t xml:space="preserve"> </w:t>
      </w:r>
      <w:r>
        <w:t xml:space="preserve">của DAI tại Singapore), với xu hướng mạnh hơn ở môi trường thể chế yếu nhưng chỉ ở mức biên ý nghĩa; (3) tại nhóm SIDS, phát hiện vững trên mẫu đầy đủ bảy nền đảo nhỏ Thái Bình Dương (</w:t>
      </w:r>
      <m:oMath>
        <m:r>
          <m:t>N</m:t>
        </m:r>
        <m:r>
          <m:rPr>
            <m:sty m:val="p"/>
          </m:rPr>
          <m:t>=</m:t>
        </m:r>
        <m:r>
          <m:t>1.450</m:t>
        </m:r>
      </m:oMath>
      <w:r>
        <w:t xml:space="preserve">, bảy cụm) là sự</w:t>
      </w:r>
      <w:r>
        <w:t xml:space="preserve"> </w:t>
      </w:r>
      <w:r>
        <w:rPr>
          <w:bCs/>
          <w:b/>
        </w:rPr>
        <w:t xml:space="preserve">không hình thành của dạng chữ U ngược</w:t>
      </w:r>
      <w:r>
        <w:t xml:space="preserve"> </w:t>
      </w:r>
      <w:r>
        <w:t xml:space="preserve">(độ dốc không có ý nghĩa và độ cong chỉ đạt mức biên), với quan hệ nghiêng về một dạng âm đơn điệu như trường hợp giới hạn lý thuyết được luận án đặt tên là</w:t>
      </w:r>
      <w:r>
        <w:t xml:space="preserve"> </w:t>
      </w:r>
      <w:r>
        <w:rPr>
          <w:bCs/>
          <w:b/>
        </w:rPr>
        <w:t xml:space="preserve">gánh nặng quốc tế hóa bắt buộc (Forced Internationalization Penalty, FIP)</w:t>
      </w:r>
      <w:r>
        <w:t xml:space="preserve"> </w:t>
      </w:r>
      <w:r>
        <w:t xml:space="preserve">(hệ số âm mạnh chỉ xuất hiện trên bản dựng dữ liệu hạn chế ba cụm, nhạy cảm với phiên bản dữ liệu, xem Mục 4.7.8). Luận án đóng góp khung tích hợp đa tầng, khung phân loại thể chế ICRV, và cấu trúc lý thuyết mới FIP cho dòng nghiên cứu kinh doanh quốc tế, đồng thời cung cấp hàm ý chính sách và quản trị theo từng bối cảnh thể chế.</w:t>
      </w:r>
    </w:p>
    <w:p>
      <w:pPr>
        <w:pStyle w:val="BodyText"/>
      </w:pPr>
      <w:r>
        <w:rPr>
          <w:bCs/>
          <w:b/>
        </w:rPr>
        <w:t xml:space="preserve">Từ khóa:</w:t>
      </w:r>
      <w:r>
        <w:t xml:space="preserve"> </w:t>
      </w:r>
      <w:r>
        <w:t xml:space="preserve">quốc tế hóa; hiệu quả doanh nghiệp; thể chế; năng lực số; nhà quản trị cấp cao; châu Á; WBES; phi tuyến chữ U ngược.</w:t>
      </w:r>
    </w:p>
    <w:p>
      <w:r>
        <w:pict>
          <v:rect style="width:0;height:1.5pt" o:hralign="center" o:hrstd="t" o:hr="t"/>
        </w:pict>
      </w:r>
    </w:p>
    <w:bookmarkEnd w:id="21"/>
    <w:bookmarkStart w:id="22" w:name="abstract"/>
    <w:p>
      <w:pPr>
        <w:pStyle w:val="Heading2"/>
      </w:pPr>
      <w:r>
        <w:t xml:space="preserve">ABSTRACT</w:t>
      </w:r>
    </w:p>
    <w:p>
      <w:pPr>
        <w:pStyle w:val="FirstParagraph"/>
      </w:pPr>
      <w:r>
        <w:t xml:space="preserve">This dissertation examines the internationalization–firm performance (I–P) relationship across Asia, focusing on the boundary conditions that explain its well-documented heterogeneity. Integrating four foundational theories, the Uppsala model, the resource-based view (RBV), institutional theory, and upper echelons theory, with a digital-capability extension, the dissertation develops a multi-tier moderation framework, CDCM (Country–Digital–Capability Moderation), comprising three moderating tiers: institutional context (operationalized through a six-group ICRV taxonomy), digital capability (separating technological capability, TCI, from digital adoption, DAI), and top-manager characteristics.</w:t>
      </w:r>
    </w:p>
    <w:p>
      <w:pPr>
        <w:pStyle w:val="BodyText"/>
      </w:pPr>
      <w:r>
        <w:t xml:space="preserve">The study adopts a mixed synthesis-empirical design: (i) a three-level meta-analysis spanning 1977–2026 (k = 238 studies); and (ii) firm-level empirical analysis of World Bank Enterprise Survey (WBES) microdata across 50 Asian and Pacific economies (including Japan; main regression sample N = 81,022 firms), complemented by country-specific analyses (Vietnam, Singapore, China, India) and a boundary case of seven Pacific Small Island Developing States (SIDS).</w:t>
      </w:r>
    </w:p>
    <w:p>
      <w:pPr>
        <w:pStyle w:val="BodyText"/>
      </w:pPr>
      <w:r>
        <w:t xml:space="preserve">Key findings: (1) the I–P relationship is inverted-U shaped with a pooled turning point of 43.6% (full model, 50 economies); the inverted-U is sharpest in the lower-middle transition regime (43.0%), flattens to near-linearity in the strongest-institution regime, and dissolves in the weakest regimes; (2) both TCI (a foundational capability) and DAI (a situational resource)</w:t>
      </w:r>
      <w:r>
        <w:t xml:space="preserve"> </w:t>
      </w:r>
      <w:r>
        <w:rPr>
          <w:bCs/>
          <w:b/>
        </w:rPr>
        <w:t xml:space="preserve">universally shift the performance level</w:t>
      </w:r>
      <w:r>
        <w:t xml:space="preserve">, but their curve-</w:t>
      </w:r>
      <w:r>
        <w:rPr>
          <w:bCs/>
          <w:b/>
        </w:rPr>
        <w:t xml:space="preserve">reshaping</w:t>
      </w:r>
      <w:r>
        <w:t xml:space="preserve"> </w:t>
      </w:r>
      <w:r>
        <w:t xml:space="preserve">role is not universal: across the 50-economy pool the curvature interactions are not statistically significant, and curve reshaping appears only in specific single-economy contexts (notably DAI’s</w:t>
      </w:r>
      <w:r>
        <w:t xml:space="preserve"> </w:t>
      </w:r>
      <w:r>
        <w:t xml:space="preserve">“</w:t>
      </w:r>
      <w:r>
        <w:t xml:space="preserve">digital shield</w:t>
      </w:r>
      <w:r>
        <w:t xml:space="preserve">”</w:t>
      </w:r>
      <w:r>
        <w:t xml:space="preserve"> </w:t>
      </w:r>
      <w:r>
        <w:t xml:space="preserve">in Singapore), with a tendency toward stronger moderation in weaker institutions that is only marginally significant; (3) in the SIDS group, exploratory evidence suggests the relationship may turn monotonically negative with no turning point, a theoretical boundary condition the dissertation names the</w:t>
      </w:r>
      <w:r>
        <w:t xml:space="preserve"> </w:t>
      </w:r>
      <w:r>
        <w:rPr>
          <w:bCs/>
          <w:b/>
        </w:rPr>
        <w:t xml:space="preserve">Forced Internationalization Penalty (FIP)</w:t>
      </w:r>
      <w:r>
        <w:t xml:space="preserve"> </w:t>
      </w:r>
      <w:r>
        <w:t xml:space="preserve">(the empirical estimate is data-version-sensitive; see Section 4.7.8). The dissertation contributes an integrated multi-tier framework, the ICRV institutional taxonomy, and the novel FIP construct to international-business research, alongside context-contingent policy and managerial implications.</w:t>
      </w:r>
    </w:p>
    <w:p>
      <w:pPr>
        <w:pStyle w:val="BodyText"/>
      </w:pPr>
      <w:r>
        <w:rPr>
          <w:bCs/>
          <w:b/>
        </w:rPr>
        <w:t xml:space="preserve">Keywords:</w:t>
      </w:r>
      <w:r>
        <w:t xml:space="preserve"> </w:t>
      </w:r>
      <w:r>
        <w:t xml:space="preserve">internationalization; firm performance; institutions; digital capability; top management; Asia; WBES; inverted-U relationship.</w:t>
      </w:r>
    </w:p>
    <w:bookmarkEnd w:id="22"/>
    <w:bookmarkStart w:id="23" w:name="lời-cam-đoan"/>
    <w:p>
      <w:pPr>
        <w:pStyle w:val="Heading2"/>
      </w:pPr>
      <w:r>
        <w:t xml:space="preserve">LỜI CAM ĐOAN</w:t>
      </w:r>
    </w:p>
    <w:p>
      <w:pPr>
        <w:pStyle w:val="FirstParagraph"/>
      </w:pPr>
      <w:r>
        <w:t xml:space="preserve">Tôi xin cam đoan luận án tiến sĩ này là công trình nghiên cứu của riêng tôi dưới sự hướng dẫn khoa học của người hướng dẫn. Các kết quả phân tích, số liệu, bảng biểu và hình vẽ trình bày trong luận án đều trung thực và chưa từng được công bố trong bất kỳ công trình nào khác, ngoại trừ các bài báo khoa học do chính tôi là tác giả/đồng tác giả được liệt kê trong</w:t>
      </w:r>
      <w:r>
        <w:t xml:space="preserve"> </w:t>
      </w:r>
      <w:r>
        <w:rPr>
          <w:iCs/>
          <w:i/>
        </w:rPr>
        <w:t xml:space="preserve">Danh mục công trình đã công bố của nghiên cứu sinh</w:t>
      </w:r>
      <w:r>
        <w:t xml:space="preserve"> </w:t>
      </w:r>
      <w:r>
        <w:t xml:space="preserve">(luận án được thực hiện theo định hướng kết hợp các công trình thành phần). Luận án được phát triển trên cơ sở</w:t>
      </w:r>
      <w:r>
        <w:t xml:space="preserve"> </w:t>
      </w:r>
      <w:r>
        <w:rPr>
          <w:bCs/>
          <w:b/>
        </w:rPr>
        <w:t xml:space="preserve">hai chuyên đề tiến sĩ do chính tôi thực hiện trong khuôn khổ chương trình đào tạo tiến sĩ tại Trường Đại học Cần Thơ</w:t>
      </w:r>
      <w:r>
        <w:t xml:space="preserve"> </w:t>
      </w:r>
      <w:r>
        <w:t xml:space="preserve">(theo Quyết định giao chuyên đề của Nhà trường); do đó, một phần nội dung của luận án kế thừa và có thể trùng lặp với hai chuyên đề này, đây là phần công trình của chính tôi, không phải sao chép từ nguồn của người khác. Dữ liệu sử dụng là dữ liệu thứ cấp công khai từ Khảo sát Doanh nghiệp của Ngân hàng Thế giới (World Bank Enterprise Surveys). Mọi trích dẫn từ các nghiên cứu khác đều được nêu rõ nguồn theo chuẩn APA 7th và được liệt kê đầy đủ trong danh mục tài liệu tham khảo. Tôi xin chịu trách nhiệm hoàn toàn về nội dung khoa học của luận án này.</w:t>
      </w:r>
    </w:p>
    <w:p>
      <w:pPr>
        <w:pStyle w:val="BodyText"/>
      </w:pPr>
      <w:r>
        <w:rPr>
          <w:iCs/>
          <w:i/>
        </w:rPr>
        <w:t xml:space="preserve">Cần Thơ, ngày … tháng … năm 2026</w:t>
      </w:r>
    </w:p>
    <w:p>
      <w:pPr>
        <w:pStyle w:val="BodyText"/>
      </w:pPr>
      <w:r>
        <w:rPr>
          <w:bCs/>
          <w:b/>
        </w:rPr>
        <w:t xml:space="preserve">Nghiên cứu sinh</w:t>
      </w:r>
    </w:p>
    <w:p>
      <w:pPr>
        <w:pStyle w:val="BodyText"/>
      </w:pPr>
      <w:r>
        <w:t xml:space="preserve">Đỗ Thùy Hương</w:t>
      </w:r>
    </w:p>
    <w:p>
      <w:r>
        <w:pict>
          <v:rect style="width:0;height:1.5pt" o:hralign="center" o:hrstd="t" o:hr="t"/>
        </w:pict>
      </w:r>
    </w:p>
    <w:bookmarkEnd w:id="23"/>
    <w:bookmarkStart w:id="24" w:name="danh-mục-bảng"/>
    <w:p>
      <w:pPr>
        <w:pStyle w:val="Heading2"/>
      </w:pPr>
      <w:r>
        <w:t xml:space="preserve">DANH MỤC BẢNG</w:t>
      </w:r>
    </w:p>
    <w:p>
      <w:pPr>
        <w:pStyle w:val="FirstParagraph"/>
      </w:pPr>
      <w:r>
        <w:rPr>
          <w:bCs/>
          <w:b/>
        </w:rPr>
        <w:t xml:space="preserve">Bảng đánh số:</w:t>
      </w:r>
      <w:r>
        <w:t xml:space="preserve"> </w:t>
      </w:r>
      <w:r>
        <w:t xml:space="preserve">- Bảng 2.1. Ánh xạ nghiên cứu thành phần, mục trình bày, giả thuyết (Chương 2, Mục 2.5)</w:t>
      </w:r>
      <w:r>
        <w:t xml:space="preserve"> </w:t>
      </w:r>
      <w:r>
        <w:t xml:space="preserve">- Bảng 2.2. Tổng hợp hệ giả thuyết: phát biểu, dấu kỳ vọng, cơ sở lý thuyết và biến kiểm định (Chương 2, Mục 2.5.8)</w:t>
      </w:r>
      <w:r>
        <w:t xml:space="preserve"> </w:t>
      </w:r>
      <w:r>
        <w:t xml:space="preserve">- Bảng 3.1. Tổng hợp biến nghiên cứu của khung thực nghiệm đa quốc gia (Chương 3, Mục 3.3.6)</w:t>
      </w:r>
      <w:r>
        <w:t xml:space="preserve"> </w:t>
      </w:r>
      <w:r>
        <w:t xml:space="preserve">- Bảng 4.1. Phân tán năng suất lao động và đặc điểm quốc tế hóa theo phân nhóm con ICRV (Chương 4, Mục 4.1)</w:t>
      </w:r>
      <w:r>
        <w:t xml:space="preserve"> </w:t>
      </w:r>
      <w:r>
        <w:t xml:space="preserve">- Bảng 4.2. Đổi mới sáng tạo và chấp nhận số theo phân nhóm con ICRV (%) (Chương 4, Mục 4.1)</w:t>
      </w:r>
      <w:r>
        <w:t xml:space="preserve"> </w:t>
      </w:r>
      <w:r>
        <w:t xml:space="preserve">- Bảng 4.3. Đặc trưng doanh nghiệp Nhật Bản 2025 so với năm nền còn lại của Nhóm I (Chương 4, Mục 4.1.5)</w:t>
      </w:r>
      <w:r>
        <w:t xml:space="preserve"> </w:t>
      </w:r>
      <w:r>
        <w:t xml:space="preserve">- Bảng 4.4. Trung vị tỷ suất lợi nhuận trên doanh thu (ROS) theo nhóm ICRV (Chương 4, Mục 4.1.8)</w:t>
      </w:r>
      <w:r>
        <w:t xml:space="preserve"> </w:t>
      </w:r>
      <w:r>
        <w:t xml:space="preserve">- Bảng 4.5. Tiến triển hệ số theo chuỗi mô hình phân tầng, Singapore 2023 (Chương 4, Mục 4.3.8)</w:t>
      </w:r>
      <w:r>
        <w:t xml:space="preserve"> </w:t>
      </w:r>
      <w:r>
        <w:t xml:space="preserve">- Bảng 4.6. Tiến triển mô hình của P7 trên khung 50 nền: điểm uốn và kiểm định Lind–Mehlum (Chương 4, Mục 4.6.1)</w:t>
      </w:r>
      <w:r>
        <w:t xml:space="preserve"> </w:t>
      </w:r>
      <w:r>
        <w:t xml:space="preserve">- Bảng 4.7. Điểm uốn theo nhóm ICRV, khung 50 nền (Chương 4, Mục 4.6.2)</w:t>
      </w:r>
      <w:r>
        <w:t xml:space="preserve"> </w:t>
      </w:r>
      <w:r>
        <w:t xml:space="preserve">- Bảng 4.8. Điểm uốn theo đợt khảo sát, Ấn Độ (Chương 4, Mục 4.8.1)</w:t>
      </w:r>
      <w:r>
        <w:t xml:space="preserve"> </w:t>
      </w:r>
      <w:r>
        <w:t xml:space="preserve">- Bảng 4.9. Hiệu ứng cường độ xuất khẩu lên năng suất qua chuỗi mô hình, Nhật Bản 2025 (Chương 4, Mục 4.9.1)</w:t>
      </w:r>
      <w:r>
        <w:t xml:space="preserve"> </w:t>
      </w:r>
      <w:r>
        <w:t xml:space="preserve">- Bảng 4.10. Tổng hợp ước lượng các nghiên cứu thành phần thực nghiệm (Chương 4, Mục 4.11)</w:t>
      </w:r>
    </w:p>
    <w:p>
      <w:pPr>
        <w:pStyle w:val="BodyText"/>
      </w:pPr>
      <w:r>
        <w:rPr>
          <w:bCs/>
          <w:b/>
        </w:rPr>
        <w:t xml:space="preserve">Bảng chuyên đề (không đánh số, theo mục):</w:t>
      </w:r>
      <w:r>
        <w:t xml:space="preserve"> </w:t>
      </w:r>
      <w:r>
        <w:t xml:space="preserve">- Bảng định nghĩa biến, Nghiên cứu P3 Việt Nam (Chương 3, Mục 3.4.5.1)</w:t>
      </w:r>
      <w:r>
        <w:t xml:space="preserve"> </w:t>
      </w:r>
      <w:r>
        <w:t xml:space="preserve">- Bảng định nghĩa biến, Nghiên cứu P4 Singapore (Chương 3, Mục 3.4.5.2)</w:t>
      </w:r>
      <w:r>
        <w:t xml:space="preserve"> </w:t>
      </w:r>
      <w:r>
        <w:t xml:space="preserve">- Bảng định nghĩa biến, Nghiên cứu P5 Trung Quốc (Chương 3, Mục 3.4.5.3)</w:t>
      </w:r>
      <w:r>
        <w:t xml:space="preserve"> </w:t>
      </w:r>
      <w:r>
        <w:t xml:space="preserve">- Bảng định nghĩa biến, Nghiên cứu P7 đa quốc gia (Chương 3, Mục 3.4.5.4)</w:t>
      </w:r>
      <w:r>
        <w:t xml:space="preserve"> </w:t>
      </w:r>
      <w:r>
        <w:t xml:space="preserve">- Bảng định nghĩa biến, Nghiên cứu P8 SIDS (Chương 3, Mục 3.4.5.5)</w:t>
      </w:r>
      <w:r>
        <w:t xml:space="preserve"> </w:t>
      </w:r>
      <w:r>
        <w:t xml:space="preserve">- Bảng tóm tắt phương pháp: Kế thừa và đóng góp mới (Chương 3, Mục 3.6)</w:t>
      </w:r>
      <w:r>
        <w:t xml:space="preserve"> </w:t>
      </w:r>
      <w:r>
        <w:t xml:space="preserve">- Bảng tổng hợp kết quả kiểm định hệ giả thuyết H1–H6, H1b, H1c (Chương 4, Mục 4.11)</w:t>
      </w:r>
    </w:p>
    <w:bookmarkEnd w:id="24"/>
    <w:bookmarkStart w:id="25" w:name="danh-mục-hình"/>
    <w:p>
      <w:pPr>
        <w:pStyle w:val="Heading2"/>
      </w:pPr>
      <w:r>
        <w:t xml:space="preserve">DANH MỤC HÌNH</w:t>
      </w:r>
    </w:p>
    <w:p>
      <w:pPr>
        <w:numPr>
          <w:ilvl w:val="0"/>
          <w:numId w:val="1001"/>
        </w:numPr>
        <w:pStyle w:val="Compact"/>
      </w:pPr>
      <w:r>
        <w:t xml:space="preserve">Hình 2.1. Khung khái niệm tích hợp đa tầng CDCM (Chương 2, Mục 2.5)</w:t>
      </w:r>
    </w:p>
    <w:p>
      <w:pPr>
        <w:numPr>
          <w:ilvl w:val="0"/>
          <w:numId w:val="1001"/>
        </w:numPr>
        <w:pStyle w:val="Compact"/>
      </w:pPr>
      <w:r>
        <w:t xml:space="preserve">Hình 3.1. Quy trình nghiên cứu của luận án (Chương 3, Mục 3.1.2)</w:t>
      </w:r>
    </w:p>
    <w:p>
      <w:pPr>
        <w:numPr>
          <w:ilvl w:val="0"/>
          <w:numId w:val="1001"/>
        </w:numPr>
        <w:pStyle w:val="Compact"/>
      </w:pPr>
      <w:r>
        <w:t xml:space="preserve">Hình 4.1. Thành phần mẫu gộp theo nhóm ICRV (Chương 4, Mục 4.1)</w:t>
      </w:r>
    </w:p>
    <w:p>
      <w:pPr>
        <w:numPr>
          <w:ilvl w:val="0"/>
          <w:numId w:val="1001"/>
        </w:numPr>
        <w:pStyle w:val="Compact"/>
      </w:pPr>
      <w:r>
        <w:t xml:space="preserve">Hình 4.2. Quy mô mẫu gộp theo năm khảo sát (Chương 4, Mục 4.1)</w:t>
      </w:r>
    </w:p>
    <w:p>
      <w:pPr>
        <w:numPr>
          <w:ilvl w:val="0"/>
          <w:numId w:val="1001"/>
        </w:numPr>
        <w:pStyle w:val="Compact"/>
      </w:pPr>
      <w:r>
        <w:t xml:space="preserve">Hình 4.3. Quỹ đạo tăng trưởng theo nhóm ICRV (Chương 4, Mục 4.1)</w:t>
      </w:r>
    </w:p>
    <w:p>
      <w:pPr>
        <w:numPr>
          <w:ilvl w:val="0"/>
          <w:numId w:val="1001"/>
        </w:numPr>
        <w:pStyle w:val="Compact"/>
      </w:pPr>
      <w:r>
        <w:t xml:space="preserve">Hình 4.4. Phân bố quy mô doanh nghiệp theo nhóm ICRV (Chương 4, Mục 4.1)</w:t>
      </w:r>
    </w:p>
    <w:p>
      <w:pPr>
        <w:numPr>
          <w:ilvl w:val="0"/>
          <w:numId w:val="1001"/>
        </w:numPr>
        <w:pStyle w:val="Compact"/>
      </w:pPr>
      <w:r>
        <w:t xml:space="preserve">Hình 4.5. Gradient năng lực công nghệ theo sáu nhóm ICRV (Chương 4, Mục 4.1)</w:t>
      </w:r>
    </w:p>
    <w:p>
      <w:pPr>
        <w:numPr>
          <w:ilvl w:val="0"/>
          <w:numId w:val="1001"/>
        </w:numPr>
        <w:pStyle w:val="Compact"/>
      </w:pPr>
      <w:r>
        <w:t xml:space="preserve">Hình 4.6. Phân bố mật độ năng suất lao động theo nhóm ICRV (Chương 4, Mục 4.1)</w:t>
      </w:r>
    </w:p>
    <w:p>
      <w:pPr>
        <w:numPr>
          <w:ilvl w:val="0"/>
          <w:numId w:val="1001"/>
        </w:numPr>
        <w:pStyle w:val="Compact"/>
      </w:pPr>
      <w:r>
        <w:t xml:space="preserve">Hình 4.7. Biểu đồ radar năng lực và quốc tế hóa theo nhóm ICRV (Chương 4, Mục 4.1)</w:t>
      </w:r>
    </w:p>
    <w:p>
      <w:pPr>
        <w:numPr>
          <w:ilvl w:val="0"/>
          <w:numId w:val="1001"/>
        </w:numPr>
        <w:pStyle w:val="Compact"/>
      </w:pPr>
      <w:r>
        <w:t xml:space="preserve">Hình 4.8. Họ đường cong quốc tế hóa và hiệu quả phụ thuộc chế độ thể chế ICRV (Chương 4, Mục 4.6.2)</w:t>
      </w:r>
    </w:p>
    <w:p>
      <w:r>
        <w:pict>
          <v:rect style="width:0;height:1.5pt" o:hralign="center" o:hrstd="t" o:hr="t"/>
        </w:pict>
      </w:r>
    </w:p>
    <w:bookmarkEnd w:id="25"/>
    <w:bookmarkStart w:id="26" w:name="danh-mục-từ-viết-tắt"/>
    <w:p>
      <w:pPr>
        <w:pStyle w:val="Heading2"/>
      </w:pPr>
      <w:r>
        <w:t xml:space="preserve">DANH MỤC TỪ VIẾT TẮT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Viết tắt</w:t>
            </w:r>
          </w:p>
        </w:tc>
        <w:tc>
          <w:tcPr/>
          <w:p>
            <w:pPr>
              <w:pStyle w:val="Compact"/>
              <w:jc w:val="left"/>
            </w:pPr>
            <w:r>
              <w:t xml:space="preserve">Tiếng Anh</w:t>
            </w:r>
          </w:p>
        </w:tc>
        <w:tc>
          <w:tcPr/>
          <w:p>
            <w:pPr>
              <w:pStyle w:val="Compact"/>
              <w:jc w:val="left"/>
            </w:pPr>
            <w:r>
              <w:t xml:space="preserve">Tiếng Việt</w:t>
            </w:r>
          </w:p>
        </w:tc>
      </w:tr>
      <w:tr>
        <w:tc>
          <w:tcPr/>
          <w:p>
            <w:pPr>
              <w:pStyle w:val="Compact"/>
              <w:jc w:val="left"/>
            </w:pPr>
            <w:r>
              <w:t xml:space="preserve">APA</w:t>
            </w:r>
          </w:p>
        </w:tc>
        <w:tc>
          <w:tcPr/>
          <w:p>
            <w:pPr>
              <w:pStyle w:val="Compact"/>
              <w:jc w:val="left"/>
            </w:pPr>
            <w:r>
              <w:t xml:space="preserve">American Psychological Association</w:t>
            </w:r>
          </w:p>
        </w:tc>
        <w:tc>
          <w:tcPr/>
          <w:p>
            <w:pPr>
              <w:pStyle w:val="Compact"/>
              <w:jc w:val="left"/>
            </w:pPr>
            <w:r>
              <w:t xml:space="preserve">Chuẩn trích dẫn APA</w:t>
            </w:r>
          </w:p>
        </w:tc>
      </w:tr>
      <w:tr>
        <w:tc>
          <w:tcPr/>
          <w:p>
            <w:pPr>
              <w:pStyle w:val="Compact"/>
              <w:jc w:val="left"/>
            </w:pPr>
            <w:r>
              <w:t xml:space="preserve">CDCM</w:t>
            </w:r>
          </w:p>
        </w:tc>
        <w:tc>
          <w:tcPr/>
          <w:p>
            <w:pPr>
              <w:pStyle w:val="Compact"/>
              <w:jc w:val="left"/>
            </w:pPr>
            <w:r>
              <w:t xml:space="preserve">Country–Digital–Capability Moderation</w:t>
            </w:r>
          </w:p>
        </w:tc>
        <w:tc>
          <w:tcPr/>
          <w:p>
            <w:pPr>
              <w:pStyle w:val="Compact"/>
              <w:jc w:val="left"/>
            </w:pPr>
            <w:r>
              <w:t xml:space="preserve">Khung điều tiết thể chế–số–năng lực (khung tích hợp của luận án)</w:t>
            </w:r>
          </w:p>
        </w:tc>
      </w:tr>
      <w:tr>
        <w:tc>
          <w:tcPr/>
          <w:p>
            <w:pPr>
              <w:pStyle w:val="Compact"/>
              <w:jc w:val="left"/>
            </w:pPr>
            <w:r>
              <w:t xml:space="preserve">DAI</w:t>
            </w:r>
          </w:p>
        </w:tc>
        <w:tc>
          <w:tcPr/>
          <w:p>
            <w:pPr>
              <w:pStyle w:val="Compact"/>
              <w:jc w:val="left"/>
            </w:pPr>
            <w:r>
              <w:t xml:space="preserve">Digital Adoption Index</w:t>
            </w:r>
          </w:p>
        </w:tc>
        <w:tc>
          <w:tcPr/>
          <w:p>
            <w:pPr>
              <w:pStyle w:val="Compact"/>
              <w:jc w:val="left"/>
            </w:pPr>
            <w:r>
              <w:t xml:space="preserve">Chỉ số chấp nhận số</w:t>
            </w:r>
          </w:p>
        </w:tc>
      </w:tr>
      <w:tr>
        <w:tc>
          <w:tcPr/>
          <w:p>
            <w:pPr>
              <w:pStyle w:val="Compact"/>
              <w:jc w:val="left"/>
            </w:pPr>
            <w:r>
              <w:t xml:space="preserve">EMNE</w:t>
            </w:r>
          </w:p>
        </w:tc>
        <w:tc>
          <w:tcPr/>
          <w:p>
            <w:pPr>
              <w:pStyle w:val="Compact"/>
              <w:jc w:val="left"/>
            </w:pPr>
            <w:r>
              <w:t xml:space="preserve">Emerging Market Multinational Enterprise</w:t>
            </w:r>
          </w:p>
        </w:tc>
        <w:tc>
          <w:tcPr/>
          <w:p>
            <w:pPr>
              <w:pStyle w:val="Compact"/>
              <w:jc w:val="left"/>
            </w:pPr>
            <w:r>
              <w:t xml:space="preserve">Doanh nghiệp đa quốc gia thị trường mới nổi</w:t>
            </w:r>
          </w:p>
        </w:tc>
      </w:tr>
      <w:tr>
        <w:tc>
          <w:tcPr/>
          <w:p>
            <w:pPr>
              <w:pStyle w:val="Compact"/>
              <w:jc w:val="left"/>
            </w:pPr>
            <w:r>
              <w:t xml:space="preserve">FDI</w:t>
            </w:r>
          </w:p>
        </w:tc>
        <w:tc>
          <w:tcPr/>
          <w:p>
            <w:pPr>
              <w:pStyle w:val="Compact"/>
              <w:jc w:val="left"/>
            </w:pPr>
            <w:r>
              <w:t xml:space="preserve">Foreign Direct Investment</w:t>
            </w:r>
          </w:p>
        </w:tc>
        <w:tc>
          <w:tcPr/>
          <w:p>
            <w:pPr>
              <w:pStyle w:val="Compact"/>
              <w:jc w:val="left"/>
            </w:pPr>
            <w:r>
              <w:t xml:space="preserve">Đầu tư trực tiếp nước ngoài</w:t>
            </w:r>
          </w:p>
        </w:tc>
      </w:tr>
      <w:tr>
        <w:tc>
          <w:tcPr/>
          <w:p>
            <w:pPr>
              <w:pStyle w:val="Compact"/>
              <w:jc w:val="left"/>
            </w:pPr>
            <w:r>
              <w:t xml:space="preserve">FGLS</w:t>
            </w:r>
          </w:p>
        </w:tc>
        <w:tc>
          <w:tcPr/>
          <w:p>
            <w:pPr>
              <w:pStyle w:val="Compact"/>
              <w:jc w:val="left"/>
            </w:pPr>
            <w:r>
              <w:t xml:space="preserve">Feasible Generalized Least Squares</w:t>
            </w:r>
          </w:p>
        </w:tc>
        <w:tc>
          <w:tcPr/>
          <w:p>
            <w:pPr>
              <w:pStyle w:val="Compact"/>
              <w:jc w:val="left"/>
            </w:pPr>
            <w:r>
              <w:t xml:space="preserve">Bình phương nhỏ nhất tổng quát khả thi</w:t>
            </w:r>
          </w:p>
        </w:tc>
      </w:tr>
      <w:tr>
        <w:tc>
          <w:tcPr/>
          <w:p>
            <w:pPr>
              <w:pStyle w:val="Compact"/>
              <w:jc w:val="left"/>
            </w:pPr>
            <w:r>
              <w:t xml:space="preserve">FIP</w:t>
            </w:r>
          </w:p>
        </w:tc>
        <w:tc>
          <w:tcPr/>
          <w:p>
            <w:pPr>
              <w:pStyle w:val="Compact"/>
              <w:jc w:val="left"/>
            </w:pPr>
            <w:r>
              <w:t xml:space="preserve">Forced Internationalization Penalty</w:t>
            </w:r>
          </w:p>
        </w:tc>
        <w:tc>
          <w:tcPr/>
          <w:p>
            <w:pPr>
              <w:pStyle w:val="Compact"/>
              <w:jc w:val="left"/>
            </w:pPr>
            <w:r>
              <w:t xml:space="preserve">Gánh nặng quốc tế hóa bắt buộc (cấu trúc lý thuyết mới của luận án)</w:t>
            </w:r>
          </w:p>
        </w:tc>
      </w:tr>
      <w:tr>
        <w:tc>
          <w:tcPr/>
          <w:p>
            <w:pPr>
              <w:pStyle w:val="Compact"/>
              <w:jc w:val="left"/>
            </w:pPr>
            <w:r>
              <w:t xml:space="preserve">FSTS</w:t>
            </w:r>
          </w:p>
        </w:tc>
        <w:tc>
          <w:tcPr/>
          <w:p>
            <w:pPr>
              <w:pStyle w:val="Compact"/>
              <w:jc w:val="left"/>
            </w:pPr>
            <w:r>
              <w:t xml:space="preserve">Foreign Sales to Total Sales</w:t>
            </w:r>
          </w:p>
        </w:tc>
        <w:tc>
          <w:tcPr/>
          <w:p>
            <w:pPr>
              <w:pStyle w:val="Compact"/>
              <w:jc w:val="left"/>
            </w:pPr>
            <w:r>
              <w:t xml:space="preserve">Tỷ lệ doanh thu nước ngoài trên tổng doanh thu (cường độ xuất khẩu)</w:t>
            </w:r>
          </w:p>
        </w:tc>
      </w:tr>
      <w:tr>
        <w:tc>
          <w:tcPr/>
          <w:p>
            <w:pPr>
              <w:pStyle w:val="Compact"/>
              <w:jc w:val="left"/>
            </w:pPr>
            <w:r>
              <w:t xml:space="preserve">FATA</w:t>
            </w:r>
          </w:p>
        </w:tc>
        <w:tc>
          <w:tcPr/>
          <w:p>
            <w:pPr>
              <w:pStyle w:val="Compact"/>
              <w:jc w:val="left"/>
            </w:pPr>
            <w:r>
              <w:t xml:space="preserve">Foreign Assets to Total Assets</w:t>
            </w:r>
          </w:p>
        </w:tc>
        <w:tc>
          <w:tcPr/>
          <w:p>
            <w:pPr>
              <w:pStyle w:val="Compact"/>
              <w:jc w:val="left"/>
            </w:pPr>
            <w:r>
              <w:t xml:space="preserve">Tỷ lệ tài sản nước ngoài trên tổng tài sản</w:t>
            </w:r>
          </w:p>
        </w:tc>
      </w:tr>
      <w:tr>
        <w:tc>
          <w:tcPr/>
          <w:p>
            <w:pPr>
              <w:pStyle w:val="Compact"/>
              <w:jc w:val="left"/>
            </w:pPr>
            <w:r>
              <w:t xml:space="preserve">HC1/HC3</w:t>
            </w:r>
          </w:p>
        </w:tc>
        <w:tc>
          <w:tcPr/>
          <w:p>
            <w:pPr>
              <w:pStyle w:val="Compact"/>
              <w:jc w:val="left"/>
            </w:pPr>
            <w:r>
              <w:t xml:space="preserve">Heteroskedasticity-Consistent SE</w:t>
            </w:r>
          </w:p>
        </w:tc>
        <w:tc>
          <w:tcPr/>
          <w:p>
            <w:pPr>
              <w:pStyle w:val="Compact"/>
              <w:jc w:val="left"/>
            </w:pPr>
            <w:r>
              <w:t xml:space="preserve">Sai số chuẩn vững với phương sai sai số thay đổi</w:t>
            </w:r>
          </w:p>
        </w:tc>
      </w:tr>
      <w:tr>
        <w:tc>
          <w:tcPr/>
          <w:p>
            <w:pPr>
              <w:pStyle w:val="Compact"/>
              <w:jc w:val="left"/>
            </w:pPr>
            <w:r>
              <w:t xml:space="preserve">ICRV</w:t>
            </w:r>
          </w:p>
        </w:tc>
        <w:tc>
          <w:tcPr/>
          <w:p>
            <w:pPr>
              <w:pStyle w:val="Compact"/>
              <w:jc w:val="left"/>
            </w:pPr>
            <w:r>
              <w:t xml:space="preserve">Institutional Context Regime Variation</w:t>
            </w:r>
          </w:p>
        </w:tc>
        <w:tc>
          <w:tcPr/>
          <w:p>
            <w:pPr>
              <w:pStyle w:val="Compact"/>
              <w:jc w:val="left"/>
            </w:pPr>
            <w:r>
              <w:t xml:space="preserve">Biến thiên chế độ bối cảnh thể chế (khung phân loại sáu nhóm của luận án)</w:t>
            </w:r>
          </w:p>
        </w:tc>
      </w:tr>
      <w:tr>
        <w:tc>
          <w:tcPr/>
          <w:p>
            <w:pPr>
              <w:pStyle w:val="Compact"/>
              <w:jc w:val="left"/>
            </w:pPr>
            <w:r>
              <w:t xml:space="preserve">I–P</w:t>
            </w:r>
          </w:p>
        </w:tc>
        <w:tc>
          <w:tcPr/>
          <w:p>
            <w:pPr>
              <w:pStyle w:val="Compact"/>
              <w:jc w:val="left"/>
            </w:pPr>
            <w:r>
              <w:t xml:space="preserve">Internationalization–Performance</w:t>
            </w:r>
          </w:p>
        </w:tc>
        <w:tc>
          <w:tcPr/>
          <w:p>
            <w:pPr>
              <w:pStyle w:val="Compact"/>
              <w:jc w:val="left"/>
            </w:pPr>
            <w:r>
              <w:t xml:space="preserve">Quan hệ quốc tế hóa–hiệu quả</w:t>
            </w:r>
          </w:p>
        </w:tc>
      </w:tr>
      <w:tr>
        <w:tc>
          <w:tcPr/>
          <w:p>
            <w:pPr>
              <w:pStyle w:val="Compact"/>
              <w:jc w:val="left"/>
            </w:pPr>
            <w:r>
              <w:t xml:space="preserve">ISIC</w:t>
            </w:r>
          </w:p>
        </w:tc>
        <w:tc>
          <w:tcPr/>
          <w:p>
            <w:pPr>
              <w:pStyle w:val="Compact"/>
              <w:jc w:val="left"/>
            </w:pPr>
            <w:r>
              <w:t xml:space="preserve">International Standard Industrial Classification</w:t>
            </w:r>
          </w:p>
        </w:tc>
        <w:tc>
          <w:tcPr/>
          <w:p>
            <w:pPr>
              <w:pStyle w:val="Compact"/>
              <w:jc w:val="left"/>
            </w:pPr>
            <w:r>
              <w:t xml:space="preserve">Phân loại ngành chuẩn quốc tế</w:t>
            </w:r>
          </w:p>
        </w:tc>
      </w:tr>
      <w:tr>
        <w:tc>
          <w:tcPr/>
          <w:p>
            <w:pPr>
              <w:pStyle w:val="Compact"/>
              <w:jc w:val="left"/>
            </w:pPr>
            <w:r>
              <w:t xml:space="preserve">LM</w:t>
            </w:r>
          </w:p>
        </w:tc>
        <w:tc>
          <w:tcPr/>
          <w:p>
            <w:pPr>
              <w:pStyle w:val="Compact"/>
              <w:jc w:val="left"/>
            </w:pPr>
            <w:r>
              <w:t xml:space="preserve">Lind–Mehlum (U-test)</w:t>
            </w:r>
          </w:p>
        </w:tc>
        <w:tc>
          <w:tcPr/>
          <w:p>
            <w:pPr>
              <w:pStyle w:val="Compact"/>
              <w:jc w:val="left"/>
            </w:pPr>
            <w:r>
              <w:t xml:space="preserve">Kiểm định U của Lind–Mehlum</w:t>
            </w:r>
          </w:p>
        </w:tc>
      </w:tr>
      <w:tr>
        <w:tc>
          <w:tcPr/>
          <w:p>
            <w:pPr>
              <w:pStyle w:val="Compact"/>
              <w:jc w:val="left"/>
            </w:pPr>
            <w:r>
              <w:t xml:space="preserve">LP</w:t>
            </w:r>
          </w:p>
        </w:tc>
        <w:tc>
          <w:tcPr/>
          <w:p>
            <w:pPr>
              <w:pStyle w:val="Compact"/>
              <w:jc w:val="left"/>
            </w:pPr>
            <w:r>
              <w:t xml:space="preserve">Labor Productivity</w:t>
            </w:r>
          </w:p>
        </w:tc>
        <w:tc>
          <w:tcPr/>
          <w:p>
            <w:pPr>
              <w:pStyle w:val="Compact"/>
              <w:jc w:val="left"/>
            </w:pPr>
            <w:r>
              <w:t xml:space="preserve">Năng suất lao động</w:t>
            </w:r>
          </w:p>
        </w:tc>
      </w:tr>
      <w:tr>
        <w:tc>
          <w:tcPr/>
          <w:p>
            <w:pPr>
              <w:pStyle w:val="Compact"/>
              <w:jc w:val="left"/>
            </w:pPr>
            <w:r>
              <w:t xml:space="preserve">MARA</w:t>
            </w:r>
          </w:p>
        </w:tc>
        <w:tc>
          <w:tcPr/>
          <w:p>
            <w:pPr>
              <w:pStyle w:val="Compact"/>
              <w:jc w:val="left"/>
            </w:pPr>
            <w:r>
              <w:t xml:space="preserve">Multilevel/Multivariate Random-effects (meta-analysis)</w:t>
            </w:r>
          </w:p>
        </w:tc>
        <w:tc>
          <w:tcPr/>
          <w:p>
            <w:pPr>
              <w:pStyle w:val="Compact"/>
              <w:jc w:val="left"/>
            </w:pPr>
            <w:r>
              <w:t xml:space="preserve">Phân tích tổng hợp đa tầng hiệu ứng ngẫu nhiên</w:t>
            </w:r>
          </w:p>
        </w:tc>
      </w:tr>
      <w:tr>
        <w:tc>
          <w:tcPr/>
          <w:p>
            <w:pPr>
              <w:pStyle w:val="Compact"/>
              <w:jc w:val="left"/>
            </w:pPr>
            <w:r>
              <w:t xml:space="preserve">MNC/MNE</w:t>
            </w:r>
          </w:p>
        </w:tc>
        <w:tc>
          <w:tcPr/>
          <w:p>
            <w:pPr>
              <w:pStyle w:val="Compact"/>
              <w:jc w:val="left"/>
            </w:pPr>
            <w:r>
              <w:t xml:space="preserve">Multinational Corporation/Enterprise</w:t>
            </w:r>
          </w:p>
        </w:tc>
        <w:tc>
          <w:tcPr/>
          <w:p>
            <w:pPr>
              <w:pStyle w:val="Compact"/>
              <w:jc w:val="left"/>
            </w:pPr>
            <w:r>
              <w:t xml:space="preserve">Công ty/doanh nghiệp đa quốc gia</w:t>
            </w:r>
          </w:p>
        </w:tc>
      </w:tr>
      <w:tr>
        <w:tc>
          <w:tcPr/>
          <w:p>
            <w:pPr>
              <w:pStyle w:val="Compact"/>
              <w:jc w:val="left"/>
            </w:pPr>
            <w:r>
              <w:t xml:space="preserve">OLS</w:t>
            </w:r>
          </w:p>
        </w:tc>
        <w:tc>
          <w:tcPr/>
          <w:p>
            <w:pPr>
              <w:pStyle w:val="Compact"/>
              <w:jc w:val="left"/>
            </w:pPr>
            <w:r>
              <w:t xml:space="preserve">Ordinary Least Squares</w:t>
            </w:r>
          </w:p>
        </w:tc>
        <w:tc>
          <w:tcPr/>
          <w:p>
            <w:pPr>
              <w:pStyle w:val="Compact"/>
              <w:jc w:val="left"/>
            </w:pPr>
            <w:r>
              <w:t xml:space="preserve">Bình phương nhỏ nhất thông thường</w:t>
            </w:r>
          </w:p>
        </w:tc>
      </w:tr>
      <w:tr>
        <w:tc>
          <w:tcPr/>
          <w:p>
            <w:pPr>
              <w:pStyle w:val="Compact"/>
              <w:jc w:val="left"/>
            </w:pPr>
            <w:r>
              <w:t xml:space="preserve">PPP</w:t>
            </w:r>
          </w:p>
        </w:tc>
        <w:tc>
          <w:tcPr/>
          <w:p>
            <w:pPr>
              <w:pStyle w:val="Compact"/>
              <w:jc w:val="left"/>
            </w:pPr>
            <w:r>
              <w:t xml:space="preserve">Purchasing Power Parity</w:t>
            </w:r>
          </w:p>
        </w:tc>
        <w:tc>
          <w:tcPr/>
          <w:p>
            <w:pPr>
              <w:pStyle w:val="Compact"/>
              <w:jc w:val="left"/>
            </w:pPr>
            <w:r>
              <w:t xml:space="preserve">Ngang giá sức mua</w:t>
            </w:r>
          </w:p>
        </w:tc>
      </w:tr>
      <w:tr>
        <w:tc>
          <w:tcPr/>
          <w:p>
            <w:pPr>
              <w:pStyle w:val="Compact"/>
              <w:jc w:val="left"/>
            </w:pPr>
            <w:r>
              <w:t xml:space="preserve">PRISMA</w:t>
            </w:r>
          </w:p>
        </w:tc>
        <w:tc>
          <w:tcPr/>
          <w:p>
            <w:pPr>
              <w:pStyle w:val="Compact"/>
              <w:jc w:val="left"/>
            </w:pPr>
            <w:r>
              <w:t xml:space="preserve">Preferred Reporting Items for Systematic Reviews and Meta-Analyses</w:t>
            </w:r>
          </w:p>
        </w:tc>
        <w:tc>
          <w:tcPr/>
          <w:p>
            <w:pPr>
              <w:pStyle w:val="Compact"/>
              <w:jc w:val="left"/>
            </w:pPr>
            <w:r>
              <w:t xml:space="preserve">Chuẩn báo cáo tổng quan hệ thống và phân tích tổng hợp</w:t>
            </w:r>
          </w:p>
        </w:tc>
      </w:tr>
      <w:tr>
        <w:tc>
          <w:tcPr/>
          <w:p>
            <w:pPr>
              <w:pStyle w:val="Compact"/>
              <w:jc w:val="left"/>
            </w:pPr>
            <w:r>
              <w:t xml:space="preserve">R&amp;D</w:t>
            </w:r>
          </w:p>
        </w:tc>
        <w:tc>
          <w:tcPr/>
          <w:p>
            <w:pPr>
              <w:pStyle w:val="Compact"/>
              <w:jc w:val="left"/>
            </w:pPr>
            <w:r>
              <w:t xml:space="preserve">Research and Development</w:t>
            </w:r>
          </w:p>
        </w:tc>
        <w:tc>
          <w:tcPr/>
          <w:p>
            <w:pPr>
              <w:pStyle w:val="Compact"/>
              <w:jc w:val="left"/>
            </w:pPr>
            <w:r>
              <w:t xml:space="preserve">Nghiên cứu và phát triển</w:t>
            </w:r>
          </w:p>
        </w:tc>
      </w:tr>
      <w:tr>
        <w:tc>
          <w:tcPr/>
          <w:p>
            <w:pPr>
              <w:pStyle w:val="Compact"/>
              <w:jc w:val="left"/>
            </w:pPr>
            <w:r>
              <w:t xml:space="preserve">RBV</w:t>
            </w:r>
          </w:p>
        </w:tc>
        <w:tc>
          <w:tcPr/>
          <w:p>
            <w:pPr>
              <w:pStyle w:val="Compact"/>
              <w:jc w:val="left"/>
            </w:pPr>
            <w:r>
              <w:t xml:space="preserve">Resource-Based View</w:t>
            </w:r>
          </w:p>
        </w:tc>
        <w:tc>
          <w:tcPr/>
          <w:p>
            <w:pPr>
              <w:pStyle w:val="Compact"/>
              <w:jc w:val="left"/>
            </w:pPr>
            <w:r>
              <w:t xml:space="preserve">Lý thuyết dựa trên nguồn lực</w:t>
            </w:r>
          </w:p>
        </w:tc>
      </w:tr>
      <w:tr>
        <w:tc>
          <w:tcPr/>
          <w:p>
            <w:pPr>
              <w:pStyle w:val="Compact"/>
              <w:jc w:val="left"/>
            </w:pPr>
            <w:r>
              <w:t xml:space="preserve">ROA/ROE/ROS</w:t>
            </w:r>
          </w:p>
        </w:tc>
        <w:tc>
          <w:tcPr/>
          <w:p>
            <w:pPr>
              <w:pStyle w:val="Compact"/>
              <w:jc w:val="left"/>
            </w:pPr>
            <w:r>
              <w:t xml:space="preserve">Return on Assets/Equity/Sales</w:t>
            </w:r>
          </w:p>
        </w:tc>
        <w:tc>
          <w:tcPr/>
          <w:p>
            <w:pPr>
              <w:pStyle w:val="Compact"/>
              <w:jc w:val="left"/>
            </w:pPr>
            <w:r>
              <w:t xml:space="preserve">Tỷ suất sinh lời trên tài sản/vốn chủ sở hữu/doanh thu</w:t>
            </w:r>
          </w:p>
        </w:tc>
      </w:tr>
      <w:tr>
        <w:tc>
          <w:tcPr/>
          <w:p>
            <w:pPr>
              <w:pStyle w:val="Compact"/>
              <w:jc w:val="left"/>
            </w:pPr>
            <w:r>
              <w:t xml:space="preserve">SIDS</w:t>
            </w:r>
          </w:p>
        </w:tc>
        <w:tc>
          <w:tcPr/>
          <w:p>
            <w:pPr>
              <w:pStyle w:val="Compact"/>
              <w:jc w:val="left"/>
            </w:pPr>
            <w:r>
              <w:t xml:space="preserve">Small Island Developing States</w:t>
            </w:r>
          </w:p>
        </w:tc>
        <w:tc>
          <w:tcPr/>
          <w:p>
            <w:pPr>
              <w:pStyle w:val="Compact"/>
              <w:jc w:val="left"/>
            </w:pPr>
            <w:r>
              <w:t xml:space="preserve">Các quốc gia đảo nhỏ đang phát triển</w:t>
            </w:r>
          </w:p>
        </w:tc>
      </w:tr>
      <w:tr>
        <w:tc>
          <w:tcPr/>
          <w:p>
            <w:pPr>
              <w:pStyle w:val="Compact"/>
              <w:jc w:val="left"/>
            </w:pPr>
            <w:r>
              <w:t xml:space="preserve">SME</w:t>
            </w:r>
          </w:p>
        </w:tc>
        <w:tc>
          <w:tcPr/>
          <w:p>
            <w:pPr>
              <w:pStyle w:val="Compact"/>
              <w:jc w:val="left"/>
            </w:pPr>
            <w:r>
              <w:t xml:space="preserve">Small and Medium-sized Enterprise</w:t>
            </w:r>
          </w:p>
        </w:tc>
        <w:tc>
          <w:tcPr/>
          <w:p>
            <w:pPr>
              <w:pStyle w:val="Compact"/>
              <w:jc w:val="left"/>
            </w:pPr>
            <w:r>
              <w:t xml:space="preserve">Doanh nghiệp nhỏ và vừa</w:t>
            </w:r>
          </w:p>
        </w:tc>
      </w:tr>
      <w:tr>
        <w:tc>
          <w:tcPr/>
          <w:p>
            <w:pPr>
              <w:pStyle w:val="Compact"/>
              <w:jc w:val="left"/>
            </w:pPr>
            <w:r>
              <w:t xml:space="preserve">TCI</w:t>
            </w:r>
          </w:p>
        </w:tc>
        <w:tc>
          <w:tcPr/>
          <w:p>
            <w:pPr>
              <w:pStyle w:val="Compact"/>
              <w:jc w:val="left"/>
            </w:pPr>
            <w:r>
              <w:t xml:space="preserve">Technological Capability Index</w:t>
            </w:r>
          </w:p>
        </w:tc>
        <w:tc>
          <w:tcPr/>
          <w:p>
            <w:pPr>
              <w:pStyle w:val="Compact"/>
              <w:jc w:val="left"/>
            </w:pPr>
            <w:r>
              <w:t xml:space="preserve">Chỉ số năng lực công nghệ</w:t>
            </w:r>
          </w:p>
        </w:tc>
      </w:tr>
      <w:tr>
        <w:tc>
          <w:tcPr/>
          <w:p>
            <w:pPr>
              <w:pStyle w:val="Compact"/>
              <w:jc w:val="left"/>
            </w:pPr>
            <w:r>
              <w:t xml:space="preserve">TP</w:t>
            </w:r>
          </w:p>
        </w:tc>
        <w:tc>
          <w:tcPr/>
          <w:p>
            <w:pPr>
              <w:pStyle w:val="Compact"/>
              <w:jc w:val="left"/>
            </w:pPr>
            <w:r>
              <w:t xml:space="preserve">Turning Point</w:t>
            </w:r>
          </w:p>
        </w:tc>
        <w:tc>
          <w:tcPr/>
          <w:p>
            <w:pPr>
              <w:pStyle w:val="Compact"/>
              <w:jc w:val="left"/>
            </w:pPr>
            <w:r>
              <w:t xml:space="preserve">Điểm uốn (của quan hệ phi tuyến)</w:t>
            </w:r>
          </w:p>
        </w:tc>
      </w:tr>
      <w:tr>
        <w:tc>
          <w:tcPr/>
          <w:p>
            <w:pPr>
              <w:pStyle w:val="Compact"/>
              <w:jc w:val="left"/>
            </w:pPr>
            <w:r>
              <w:t xml:space="preserve">UPI</w:t>
            </w:r>
          </w:p>
        </w:tc>
        <w:tc>
          <w:tcPr/>
          <w:p>
            <w:pPr>
              <w:pStyle w:val="Compact"/>
              <w:jc w:val="left"/>
            </w:pPr>
            <w:r>
              <w:t xml:space="preserve">Unified Payments Interface</w:t>
            </w:r>
          </w:p>
        </w:tc>
        <w:tc>
          <w:tcPr/>
          <w:p>
            <w:pPr>
              <w:pStyle w:val="Compact"/>
              <w:jc w:val="left"/>
            </w:pPr>
            <w:r>
              <w:t xml:space="preserve">Hạ tầng thanh toán hợp nhất (Ấn Độ)</w:t>
            </w:r>
          </w:p>
        </w:tc>
      </w:tr>
      <w:tr>
        <w:tc>
          <w:tcPr/>
          <w:p>
            <w:pPr>
              <w:pStyle w:val="Compact"/>
              <w:jc w:val="left"/>
            </w:pPr>
            <w:r>
              <w:t xml:space="preserve">VIF</w:t>
            </w:r>
          </w:p>
        </w:tc>
        <w:tc>
          <w:tcPr/>
          <w:p>
            <w:pPr>
              <w:pStyle w:val="Compact"/>
              <w:jc w:val="left"/>
            </w:pPr>
            <w:r>
              <w:t xml:space="preserve">Variance Inflation Factor</w:t>
            </w:r>
          </w:p>
        </w:tc>
        <w:tc>
          <w:tcPr/>
          <w:p>
            <w:pPr>
              <w:pStyle w:val="Compact"/>
              <w:jc w:val="left"/>
            </w:pPr>
            <w:r>
              <w:t xml:space="preserve">Hệ số phóng đại phương sai</w:t>
            </w:r>
          </w:p>
        </w:tc>
      </w:tr>
      <w:tr>
        <w:tc>
          <w:tcPr/>
          <w:p>
            <w:pPr>
              <w:pStyle w:val="Compact"/>
              <w:jc w:val="left"/>
            </w:pPr>
            <w:r>
              <w:t xml:space="preserve">VRIN</w:t>
            </w:r>
          </w:p>
        </w:tc>
        <w:tc>
          <w:tcPr/>
          <w:p>
            <w:pPr>
              <w:pStyle w:val="Compact"/>
              <w:jc w:val="left"/>
            </w:pPr>
            <w:r>
              <w:t xml:space="preserve">Valuable, Rare, Inimitable, Non-substitutable</w:t>
            </w:r>
          </w:p>
        </w:tc>
        <w:tc>
          <w:tcPr/>
          <w:p>
            <w:pPr>
              <w:pStyle w:val="Compact"/>
              <w:jc w:val="left"/>
            </w:pPr>
            <w:r>
              <w:t xml:space="preserve">Có giá trị, hiếm, khó sao chép, khó thay thế</w:t>
            </w:r>
          </w:p>
        </w:tc>
      </w:tr>
      <w:tr>
        <w:tc>
          <w:tcPr/>
          <w:p>
            <w:pPr>
              <w:pStyle w:val="Compact"/>
              <w:jc w:val="left"/>
            </w:pPr>
            <w:r>
              <w:t xml:space="preserve">WBES</w:t>
            </w:r>
          </w:p>
        </w:tc>
        <w:tc>
          <w:tcPr/>
          <w:p>
            <w:pPr>
              <w:pStyle w:val="Compact"/>
              <w:jc w:val="left"/>
            </w:pPr>
            <w:r>
              <w:t xml:space="preserve">World Bank Enterprise Surveys</w:t>
            </w:r>
          </w:p>
        </w:tc>
        <w:tc>
          <w:tcPr/>
          <w:p>
            <w:pPr>
              <w:pStyle w:val="Compact"/>
              <w:jc w:val="left"/>
            </w:pPr>
            <w:r>
              <w:t xml:space="preserve">Khảo sát Doanh nghiệp của Ngân hàng Thế giới</w:t>
            </w:r>
          </w:p>
        </w:tc>
      </w:tr>
      <w:tr>
        <w:tc>
          <w:tcPr/>
          <w:p>
            <w:pPr>
              <w:pStyle w:val="Compact"/>
              <w:jc w:val="left"/>
            </w:pPr>
            <w:r>
              <w:t xml:space="preserve">WGI</w:t>
            </w:r>
          </w:p>
        </w:tc>
        <w:tc>
          <w:tcPr/>
          <w:p>
            <w:pPr>
              <w:pStyle w:val="Compact"/>
              <w:jc w:val="left"/>
            </w:pPr>
            <w:r>
              <w:t xml:space="preserve">Worldwide Governance Indicators</w:t>
            </w:r>
          </w:p>
        </w:tc>
        <w:tc>
          <w:tcPr/>
          <w:p>
            <w:pPr>
              <w:pStyle w:val="Compact"/>
              <w:jc w:val="left"/>
            </w:pPr>
            <w:r>
              <w:t xml:space="preserve">Bộ chỉ số quản trị toàn cầu</w:t>
            </w:r>
          </w:p>
        </w:tc>
      </w:tr>
    </w:tbl>
    <w:p>
      <w:r>
        <w:pict>
          <v:rect style="width:0;height:1.5pt" o:hralign="center" o:hrstd="t" o:hr="t"/>
        </w:pict>
      </w:r>
    </w:p>
    <w:bookmarkEnd w:id="26"/>
    <w:bookmarkStart w:id="27" w:name="X3131bb7fa4eac4deea1bc52d0a917d3422a5919"/>
    <w:p>
      <w:pPr>
        <w:pStyle w:val="Heading2"/>
      </w:pPr>
      <w:r>
        <w:t xml:space="preserve">DANH MỤC CÔNG TRÌNH CỦA NGHIÊN CỨU SINH LIÊN QUAN ĐẾN LUẬN ÁN</w:t>
      </w:r>
    </w:p>
    <w:p>
      <w:pPr>
        <w:pStyle w:val="FirstParagraph"/>
      </w:pPr>
      <w:r>
        <w:t xml:space="preserve">Luận án được phát triển gắn với chuỗi nghiên cứu thành phần (ký hiệu nội bộ P1–P11) và một chương sách của nghiên cứu sinh. Các công trình được phân tách rõ theo trạng thái công bố.</w:t>
      </w:r>
    </w:p>
    <w:p>
      <w:pPr>
        <w:pStyle w:val="BodyText"/>
      </w:pPr>
      <w:r>
        <w:rPr>
          <w:bCs/>
          <w:b/>
        </w:rPr>
        <w:t xml:space="preserve">A. Đã công bố (đã bình duyệt)</w:t>
      </w:r>
    </w:p>
    <w:p>
      <w:pPr>
        <w:numPr>
          <w:ilvl w:val="0"/>
          <w:numId w:val="1002"/>
        </w:numPr>
        <w:pStyle w:val="Compact"/>
      </w:pPr>
      <w:r>
        <w:t xml:space="preserve">Do, T. H., &amp; Phan, A. T. (2025). Internationalization and firm performance: A meta-analysis review. In</w:t>
      </w:r>
      <w:r>
        <w:t xml:space="preserve"> </w:t>
      </w:r>
      <w:r>
        <w:rPr>
          <w:iCs/>
          <w:i/>
        </w:rPr>
        <w:t xml:space="preserve">Proceedings of the Sixth International Conference on Sustainable Development in Economics, Business, and Finance (ICBEF 2024)</w:t>
      </w:r>
      <w:r>
        <w:t xml:space="preserve">. Can Tho University, Vietnam.</w:t>
      </w:r>
      <w:r>
        <w:t xml:space="preserve"> </w:t>
      </w:r>
      <w:r>
        <w:rPr>
          <w:iCs/>
          <w:i/>
        </w:rPr>
        <w:t xml:space="preserve">(Phân tích tổng hợp cơ sở, k = 113; nền tảng cho P1/P2/P6.)</w:t>
      </w:r>
    </w:p>
    <w:p>
      <w:pPr>
        <w:numPr>
          <w:ilvl w:val="0"/>
          <w:numId w:val="1002"/>
        </w:numPr>
        <w:pStyle w:val="Compact"/>
      </w:pPr>
      <w:r>
        <w:t xml:space="preserve">Do, T. H., &amp; Phan, A. T. (2025). Internationalization and firm performance of firms in India: The role of top management. In M. Bartekova (Ed.),</w:t>
      </w:r>
      <w:r>
        <w:t xml:space="preserve"> </w:t>
      </w:r>
      <w:r>
        <w:rPr>
          <w:iCs/>
          <w:i/>
        </w:rPr>
        <w:t xml:space="preserve">International business research: Traditional and creative approaches</w:t>
      </w:r>
      <w:r>
        <w:t xml:space="preserve">. IntechOpen. https://doi.org/10.5772/intechopen.1011012</w:t>
      </w:r>
      <w:r>
        <w:t xml:space="preserve"> </w:t>
      </w:r>
      <w:r>
        <w:rPr>
          <w:iCs/>
          <w:i/>
        </w:rPr>
        <w:t xml:space="preserve">(Công trình tiền đề đã công bố về Ấn Độ, 380 doanh nghiệp WBES, ước lượng FGLS, lăng kính thượng tầng quản trị; được nghiên cứu thành phần P9 trích dẫn như công trình tiền đề của tác giả.)</w:t>
      </w:r>
    </w:p>
    <w:p>
      <w:pPr>
        <w:numPr>
          <w:ilvl w:val="0"/>
          <w:numId w:val="1002"/>
        </w:numPr>
        <w:pStyle w:val="Compact"/>
      </w:pPr>
      <w:r>
        <w:t xml:space="preserve">Do, T. H., &amp; Phan, A. T. (2026). Firm performance heterogeneity in emerging Asia: Evidence from World Bank Enterprise Surveys.</w:t>
      </w:r>
      <w:r>
        <w:t xml:space="preserve"> </w:t>
      </w:r>
      <w:r>
        <w:rPr>
          <w:iCs/>
          <w:i/>
        </w:rPr>
        <w:t xml:space="preserve">Vietnam Economic &amp; Financial Review, 2</w:t>
      </w:r>
      <w:r>
        <w:t xml:space="preserve">(1), 111–115.</w:t>
      </w:r>
      <w:r>
        <w:t xml:space="preserve"> </w:t>
      </w:r>
      <w:r>
        <w:rPr>
          <w:iCs/>
          <w:i/>
        </w:rPr>
        <w:t xml:space="preserve">(P1.)</w:t>
      </w:r>
    </w:p>
    <w:p>
      <w:pPr>
        <w:numPr>
          <w:ilvl w:val="0"/>
          <w:numId w:val="1002"/>
        </w:numPr>
        <w:pStyle w:val="Compact"/>
      </w:pPr>
      <w:r>
        <w:t xml:space="preserve">Do, T. H., &amp; Phan, A. T. (2026). Unveiling the impact of Chinese manufacturing SMEs’ internationalization on performance.</w:t>
      </w:r>
      <w:r>
        <w:t xml:space="preserve"> </w:t>
      </w:r>
      <w:r>
        <w:rPr>
          <w:iCs/>
          <w:i/>
        </w:rPr>
        <w:t xml:space="preserve">Journal of Finance &amp; Accounting Research, 39</w:t>
      </w:r>
      <w:r>
        <w:t xml:space="preserve">(2), 287–291.</w:t>
      </w:r>
      <w:r>
        <w:t xml:space="preserve"> </w:t>
      </w:r>
      <w:r>
        <w:rPr>
          <w:iCs/>
          <w:i/>
        </w:rPr>
        <w:t xml:space="preserve">(P2.)</w:t>
      </w:r>
    </w:p>
    <w:p>
      <w:pPr>
        <w:pStyle w:val="FirstParagraph"/>
      </w:pPr>
      <w:r>
        <w:rPr>
          <w:bCs/>
          <w:b/>
        </w:rPr>
        <w:t xml:space="preserve">B. Bản thảo đang trong quá trình bình duyệt (CHƯA công bố)</w:t>
      </w:r>
    </w:p>
    <w:p>
      <w:pPr>
        <w:numPr>
          <w:ilvl w:val="0"/>
          <w:numId w:val="1003"/>
        </w:numPr>
        <w:pStyle w:val="Compact"/>
      </w:pPr>
      <w:r>
        <w:t xml:space="preserve">Nghiên cứu thành phần P3, Việt Nam (bối cảnh chuyển đổi thu nhập trung bình thấp).</w:t>
      </w:r>
      <w:r>
        <w:t xml:space="preserve"> </w:t>
      </w:r>
      <w:r>
        <w:rPr>
          <w:iCs/>
          <w:i/>
        </w:rPr>
        <w:t xml:space="preserve">[Bản thảo đang bình duyệt.]</w:t>
      </w:r>
    </w:p>
    <w:p>
      <w:pPr>
        <w:numPr>
          <w:ilvl w:val="0"/>
          <w:numId w:val="1003"/>
        </w:numPr>
        <w:pStyle w:val="Compact"/>
      </w:pPr>
      <w:r>
        <w:t xml:space="preserve">Nghiên cứu thành phần P4, Singapore (bối cảnh thể chế tiên tiến–đổi mới).</w:t>
      </w:r>
      <w:r>
        <w:t xml:space="preserve"> </w:t>
      </w:r>
      <w:r>
        <w:rPr>
          <w:iCs/>
          <w:i/>
        </w:rPr>
        <w:t xml:space="preserve">[Bản thảo đang bình duyệt.]</w:t>
      </w:r>
    </w:p>
    <w:p>
      <w:pPr>
        <w:numPr>
          <w:ilvl w:val="0"/>
          <w:numId w:val="1003"/>
        </w:numPr>
        <w:pStyle w:val="Compact"/>
      </w:pPr>
      <w:r>
        <w:t xml:space="preserve">Nghiên cứu thành phần P5, Trung Quốc 2012–2024 (bối cảnh trung bình cao).</w:t>
      </w:r>
      <w:r>
        <w:t xml:space="preserve"> </w:t>
      </w:r>
      <w:r>
        <w:rPr>
          <w:iCs/>
          <w:i/>
        </w:rPr>
        <w:t xml:space="preserve">[Bản thảo đang bình duyệt.]</w:t>
      </w:r>
    </w:p>
    <w:p>
      <w:pPr>
        <w:numPr>
          <w:ilvl w:val="0"/>
          <w:numId w:val="1003"/>
        </w:numPr>
        <w:pStyle w:val="Compact"/>
      </w:pPr>
      <w:r>
        <w:t xml:space="preserve">Nghiên cứu thành phần P6, phân tích tổng hợp ba tầng mở rộng 1977–2026.</w:t>
      </w:r>
      <w:r>
        <w:t xml:space="preserve"> </w:t>
      </w:r>
      <w:r>
        <w:rPr>
          <w:iCs/>
          <w:i/>
        </w:rPr>
        <w:t xml:space="preserve">[Bản thảo đang bình duyệt.]</w:t>
      </w:r>
    </w:p>
    <w:p>
      <w:pPr>
        <w:numPr>
          <w:ilvl w:val="0"/>
          <w:numId w:val="1003"/>
        </w:numPr>
        <w:pStyle w:val="Compact"/>
      </w:pPr>
      <w:r>
        <w:t xml:space="preserve">Nghiên cứu thành phần P7, Kiểm định toàn mẫu 50 nền kinh tế châu Á và Thái Bình Dương (nghiên cứu tổng hợp đỉnh).</w:t>
      </w:r>
      <w:r>
        <w:t xml:space="preserve"> </w:t>
      </w:r>
      <w:r>
        <w:rPr>
          <w:iCs/>
          <w:i/>
        </w:rPr>
        <w:t xml:space="preserve">[Bản thảo đang chỉnh sửa theo phản biện.]</w:t>
      </w:r>
    </w:p>
    <w:p>
      <w:pPr>
        <w:numPr>
          <w:ilvl w:val="0"/>
          <w:numId w:val="1003"/>
        </w:numPr>
        <w:pStyle w:val="Compact"/>
      </w:pPr>
      <w:r>
        <w:t xml:space="preserve">Nghiên cứu thành phần P8, Trường hợp biên SIDS, gánh nặng quốc tế hóa bắt buộc (FIP).</w:t>
      </w:r>
      <w:r>
        <w:t xml:space="preserve"> </w:t>
      </w:r>
      <w:r>
        <w:rPr>
          <w:iCs/>
          <w:i/>
        </w:rPr>
        <w:t xml:space="preserve">[Bản thảo đang chỉnh sửa theo phản biện.]</w:t>
      </w:r>
    </w:p>
    <w:p>
      <w:pPr>
        <w:numPr>
          <w:ilvl w:val="0"/>
          <w:numId w:val="1003"/>
        </w:numPr>
        <w:pStyle w:val="Compact"/>
      </w:pPr>
      <w:r>
        <w:t xml:space="preserve">Nghiên cứu thành phần P9, Ấn Độ: độ bền ngưỡng I–P qua thập kỷ chuyển đổi thể chế 2014–2025 (ba đợt WBES, ~29.000 doanh nghiệp; phát hiện sự</w:t>
      </w:r>
      <w:r>
        <w:t xml:space="preserve"> </w:t>
      </w:r>
      <w:r>
        <w:rPr>
          <w:iCs/>
          <w:i/>
        </w:rPr>
        <w:t xml:space="preserve">tan biến</w:t>
      </w:r>
      <w:r>
        <w:t xml:space="preserve"> </w:t>
      </w:r>
      <w:r>
        <w:t xml:space="preserve">điểm uốn chữ U ngược dưới áp lực cải cách thể chế và bão hòa hạ tầng số UPI). Đích: Management International Review (Springer)/IJOEM.</w:t>
      </w:r>
      <w:r>
        <w:t xml:space="preserve"> </w:t>
      </w:r>
      <w:r>
        <w:rPr>
          <w:iCs/>
          <w:i/>
        </w:rPr>
        <w:t xml:space="preserve">[Bản thảo đang bình duyệt.]</w:t>
      </w:r>
    </w:p>
    <w:p>
      <w:pPr>
        <w:numPr>
          <w:ilvl w:val="0"/>
          <w:numId w:val="1003"/>
        </w:numPr>
        <w:pStyle w:val="Compact"/>
      </w:pPr>
      <w:r>
        <w:t xml:space="preserve">Nghiên cứu thành phần P10, Nhật Bản: kiểm định biên trên của phổ thể chế trên đợt khảo sát WBES khai mở 2025.</w:t>
      </w:r>
      <w:r>
        <w:t xml:space="preserve"> </w:t>
      </w:r>
      <w:r>
        <w:rPr>
          <w:iCs/>
          <w:i/>
        </w:rPr>
        <w:t xml:space="preserve">[Bản thảo chuẩn bị gửi Asian Business &amp; Management.]</w:t>
      </w:r>
    </w:p>
    <w:p>
      <w:pPr>
        <w:numPr>
          <w:ilvl w:val="0"/>
          <w:numId w:val="1003"/>
        </w:numPr>
        <w:pStyle w:val="Compact"/>
      </w:pPr>
      <w:r>
        <w:t xml:space="preserve">Nghiên cứu thành phần P11 (sản phẩm phái sinh theo định hướng phát triển), Khoảng cách số tiền-AI và năng suất doanh nghiệp qua các chế độ thể chế châu Á (50 nền WBES): khai thác bằng chứng DAI×ICRV của luận án cho chủ đề AI–phát triển. Đích:</w:t>
      </w:r>
      <w:r>
        <w:t xml:space="preserve"> </w:t>
      </w:r>
      <w:r>
        <w:rPr>
          <w:iCs/>
          <w:i/>
        </w:rPr>
        <w:t xml:space="preserve">Journal of Economics and Development</w:t>
      </w:r>
      <w:r>
        <w:t xml:space="preserve">, số đặc biệt</w:t>
      </w:r>
      <w:r>
        <w:t xml:space="preserve"> </w:t>
      </w:r>
      <w:r>
        <w:t xml:space="preserve">“</w:t>
      </w:r>
      <w:r>
        <w:t xml:space="preserve">Sustainable Growth and Welfare in the Age of AI</w:t>
      </w:r>
      <w:r>
        <w:t xml:space="preserve">”</w:t>
      </w:r>
      <w:r>
        <w:t xml:space="preserve"> </w:t>
      </w:r>
      <w:r>
        <w:t xml:space="preserve">(Emerald; Scopus/ESCI/ABDC; diamond OA, không phí; hạn 31/10/2026).</w:t>
      </w:r>
      <w:r>
        <w:t xml:space="preserve"> </w:t>
      </w:r>
      <w:r>
        <w:rPr>
          <w:iCs/>
          <w:i/>
        </w:rPr>
        <w:t xml:space="preserve">[Bản thảo chuẩn bị gửi.]</w:t>
      </w:r>
    </w:p>
    <w:p>
      <w:pPr>
        <w:pStyle w:val="FirstParagraph"/>
      </w:pPr>
      <w:r>
        <w:rPr>
          <w:iCs/>
          <w:i/>
        </w:rPr>
        <w:t xml:space="preserve">Ghi chú về liêm chính học thuật: Theo định hướng luận án kết hợp công trình thành phần, các nghiên cứu P1–P11 là một phần nội dung nghiên cứu của chính luận án (P11 là sản phẩm phái sinh theo định hướng phát triển, khai thác lại bằng chứng của luận án); do đó trong các chương, chúng được dẫn chiếu bằng nhãn nội bộ (P1–P10) thay vì trích dẫn tác giả–năm. Các bản thảo ở mục B CHƯA được công bố/bình duyệt chính thức, không được diễn giải như bằng chứng đã qua bình duyệt độc lập; tên tạp chí mục tiêu được nêu để minh bạch định hướng công bố; trạng thái bình duyệt sẽ được cập nhật tại thời điểm bảo vệ. NCS cập nhật trạng thái tại thời điểm bảo vệ.</w:t>
      </w:r>
    </w:p>
    <w:p>
      <w:r>
        <w:pict>
          <v:rect style="width:0;height:1.5pt" o:hralign="center" o:hrstd="t" o:hr="t"/>
        </w:pict>
      </w:r>
    </w:p>
    <w:bookmarkEnd w:id="27"/>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2026-06-20T06:19:04Z</dcterms:created>
  <dcterms:modified xsi:type="dcterms:W3CDTF">2026-06-20T06:19:04Z</dcterms:modified>
</cp:coreProperties>
</file>

<file path=docProps/custom.xml><?xml version="1.0" encoding="utf-8"?>
<Properties xmlns="http://schemas.openxmlformats.org/officeDocument/2006/custom-properties" xmlns:vt="http://schemas.openxmlformats.org/officeDocument/2006/docPropsVTypes"/>
</file>