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49.png" ContentType="image/png"/>
  <Override PartName="/word/media/rId146.png" ContentType="image/png"/>
  <Override PartName="/word/media/rId163.png" ContentType="image/png"/>
  <Override PartName="/word/media/rId153.png" ContentType="image/png"/>
  <Override PartName="/word/media/rId157.png" ContentType="image/png"/>
  <Override PartName="/word/media/rId223.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không hình thành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mục trình bày, giả thuyết (Chương 2, Mục 2.5)</w:t>
      </w:r>
      <w:r>
        <w:t xml:space="preserve"> </w:t>
      </w:r>
      <w:r>
        <w:t xml:space="preserve">- Bảng 2.2. Tổng hợp hệ giả thuyết: phát biểu, dấu kỳ vọng, cơ sở lý thuyết và biến kiểm định (Chương 2, Mục 2.5.8)</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Gradient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rõ theo trạng thái công bố.</w:t>
      </w:r>
    </w:p>
    <w:p>
      <w:pPr>
        <w:pStyle w:val="BodyText"/>
      </w:pPr>
      <w:r>
        <w:rPr>
          <w:bCs/>
          <w:b/>
        </w:rPr>
        <w:t xml:space="preserve">A. Đã công bố (đã bình duyệt)</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công trình tiền đề của tác giả.)</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trung bình cao).</w:t>
      </w:r>
      <w:r>
        <w:t xml:space="preserve"> </w:t>
      </w:r>
      <w:r>
        <w:rPr>
          <w:iCs/>
          <w:i/>
        </w:rPr>
        <w:t xml:space="preserve">[Bản thảo đang bình duyệt.]</w:t>
      </w:r>
    </w:p>
    <w:p>
      <w:pPr>
        <w:numPr>
          <w:ilvl w:val="0"/>
          <w:numId w:val="1003"/>
        </w:numPr>
        <w:pStyle w:val="Compact"/>
      </w:pPr>
      <w:r>
        <w:t xml:space="preserve">Nghiên cứu thành phần P6, phân tích tổng hợp ba tầng mở rộng 1977–2026.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Phổ thể chế (institutional phổ thể chế)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không hình thành</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phổ thể chế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Gradient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Tầng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Tổng hợp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đặc tả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Đáng chú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Tổng hợp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các phân tích tổng hợp về quan hệ quốc tế hóa và hiệu quả, cho phép tổng hợp và định lượng hóa kết quả từ hàng trăm nghiên cứu thực nghiệm riêng lẻ. Tổng hợp từ các các phân tích tổng hợp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mẫu gộp lên 154 mẫu và tìm thấy tác động tổng hợp tương tự, đồng thời xác nhận vai trò của bối cảnh quốc gia và ngành. Marano et al. (2016), nghiên cứu phân tích tổng hợp toàn diện nhất trong tài liệu với 170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châu Á và Thái Bình Dương,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Tổng hợp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đặc tả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bức tranh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bức tranh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institutional-khoảng trống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991039"/>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991039"/>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Lall (2004)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w:t>
      </w:r>
      <w:r>
        <w:t xml:space="preserve"> </w:t>
      </w:r>
      <w:r>
        <w:rPr>
          <w:bCs/>
          <w:b/>
        </w:rPr>
        <w:t xml:space="preserve">dịch chuyển</w:t>
      </w:r>
      <w:r>
        <w:t xml:space="preserve"> </w:t>
      </w:r>
      <w:r>
        <w:t xml:space="preserve">một cách có trật tự theo quá trình trưởng thành năng lực và thể chế, một khả năng đối lập về mặt lý thuyết là ngưỡng</w:t>
      </w:r>
      <w:r>
        <w:t xml:space="preserve"> </w:t>
      </w:r>
      <w:r>
        <w:rPr>
          <w:bCs/>
          <w:b/>
        </w:rPr>
        <w:t xml:space="preserve">tan biến</w:t>
      </w:r>
      <w:r>
        <w:t xml:space="preserve"> </w:t>
      </w:r>
      <w:r>
        <w:t xml:space="preserve">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w:t>
      </w:r>
      <w:r>
        <w:t xml:space="preserve"> </w:t>
      </w:r>
      <w:r>
        <w:rPr>
          <w:bCs/>
          <w:b/>
        </w:rPr>
        <w:t xml:space="preserve">tan biến theo thời gian</w:t>
      </w:r>
      <w:r>
        <w:t xml:space="preserve"> </w:t>
      </w:r>
      <w:r>
        <w:t xml:space="preserve">(điểm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không hình thành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đặc tả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không hình thành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không hình thành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2.2,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2.2.</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Lall (2004)</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2.1 ánh xạ các nghiên cứu thành phần với mục trình bày kết quả và các giả thuyết tương ứng.</w:t>
      </w:r>
    </w:p>
    <w:p>
      <w:pPr>
        <w:pStyle w:val="BodyText"/>
      </w:pPr>
      <w:r>
        <w:rPr>
          <w:bCs/>
          <w:b/>
        </w:rPr>
        <w:t xml:space="preserve">Bảng 2.1.</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châu Á</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2.1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5"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4"/>
        </w:numPr>
        <w:pStyle w:val="Compact"/>
      </w:pPr>
      <w:r>
        <w:rPr>
          <w:bCs/>
          <w:b/>
        </w:rPr>
        <w:t xml:space="preserve">Mở rộng biến điều tiết coverage</w:t>
      </w:r>
      <w:r>
        <w:t xml:space="preserve">: thêm cụm biến điều tiết về năng lực số và 6 chế độ con ICRV, chưa được xem xét đầy đủ trong các các phân tích tổng hợp trước.</w:t>
      </w:r>
    </w:p>
    <w:p>
      <w:pPr>
        <w:numPr>
          <w:ilvl w:val="0"/>
          <w:numId w:val="1004"/>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End w:id="95"/>
    <w:bookmarkStart w:id="112" w:name="X2f2dc61cf51b22160123af8668c978f8ce43175"/>
    <w:p>
      <w:pPr>
        <w:pStyle w:val="Heading2"/>
      </w:pPr>
      <w:r>
        <w:t xml:space="preserve">3.3 Giai đoạn 2: Phân tích thực nghiệm đa quốc gia</w:t>
      </w:r>
    </w:p>
    <w:bookmarkStart w:id="96"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6"/>
    <w:bookmarkStart w:id="97"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module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đặc tả để bảo đảm kết quả không bị chi phối bởi cơ chế khuyết. Toàn bộ thao tác chi tiết của quy trình sáu bước, cùng dòng dữ liệu kiểu PRISMA và mã tái lập, được trình bày đầy đủ ở Phụ lục A.</w:t>
      </w:r>
    </w:p>
    <w:bookmarkEnd w:id="97"/>
    <w:bookmarkStart w:id="98"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năng suất lao động được sử dụng rộng rãi trong nghiên cứu WBES và trong tài liệu về firm productivity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financial statement đầy đủ, nên năng suất lao động phù hợp hơn ROA/ROE/ROS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hiệu quả doanh nghiệp là khái niệm đa chiều và việc lựa chọn thước đo phải phù hợp với bối cảnh dữ liệu (xem Chương 2).</w:t>
      </w:r>
    </w:p>
    <w:bookmarkEnd w:id="98"/>
    <w:bookmarkStart w:id="99"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99"/>
    <w:bookmarkStart w:id="10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cường độ xuất khẩu (FSTS, tỷ lệ doanh thu xuất khẩu trên tổng doanh thu). Mô hình đưa vào đồng thời</w:t>
      </w:r>
      <w:r>
        <w:t xml:space="preserve"> </w:t>
      </w:r>
      <m:oMath>
        <m:r>
          <m:t>F</m:t>
        </m:r>
        <m:r>
          <m:t>S</m:t>
        </m:r>
        <m:r>
          <m:t>T</m:t>
        </m:r>
        <m:r>
          <m:t>S</m:t>
        </m:r>
      </m:oMath>
      <w:r>
        <w:t xml:space="preserve"> </w:t>
      </w:r>
      <w:r>
        <w:t xml:space="preserve">và</w:t>
      </w:r>
      <w:r>
        <w:t xml:space="preserve"> </w:t>
      </w:r>
      <m:oMath>
        <m:r>
          <m:t>F</m:t>
        </m:r>
        <m:r>
          <m:t>S</m:t>
        </m:r>
        <m:r>
          <m:t>T</m:t>
        </m:r>
        <m:sSup>
          <m:e>
            <m: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 FSTS là thước đo quốc tế hóa phổ biến nhất trong tài liệu về quan hệ quốc tế hóa và hiệu quả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 FSTS, làm cơ sở cho việc kiểm định mở rộng trong luận án.</w:t>
      </w:r>
    </w:p>
    <w:bookmarkEnd w:id="100"/>
    <w:bookmarkStart w:id="101"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1"/>
    <w:bookmarkStart w:id="102"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t>F</m:t>
        </m:r>
        <m:r>
          <m:t>S</m:t>
        </m:r>
        <m:r>
          <m:t>T</m:t>
        </m:r>
        <m: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t>T</m:t>
        </m:r>
        <m: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t>F</m:t>
            </m:r>
            <m:r>
              <m:t>S</m:t>
            </m:r>
            <m:r>
              <m:t>T</m:t>
            </m:r>
            <m:r>
              <m:t>S</m:t>
            </m:r>
          </m:e>
        </m:bar>
      </m:oMath>
      <w:r>
        <w:t xml:space="preserve">.</w:t>
      </w:r>
    </w:p>
    <w:bookmarkEnd w:id="102"/>
    <w:bookmarkStart w:id="106" w:name="đo-lường-biến-điều-tiết"/>
    <w:p>
      <w:pPr>
        <w:pStyle w:val="Heading3"/>
      </w:pPr>
      <w:r>
        <w:t xml:space="preserve">3.3.4 Đo lường biến điều tiết</w:t>
      </w:r>
    </w:p>
    <w:bookmarkStart w:id="103" w:name="digital-constructs-tci-và-dai"/>
    <w:p>
      <w:pPr>
        <w:pStyle w:val="Heading4"/>
      </w:pPr>
      <w:r>
        <w:t xml:space="preserve">Digital constructs (TCI và DAI)</w:t>
      </w:r>
    </w:p>
    <w:p>
      <w:pPr>
        <w:pStyle w:val="FirstParagraph"/>
      </w:pPr>
      <w:r>
        <w:t xml:space="preserve">Luận án phân biệt rõ hai cấu trúc:</w:t>
      </w:r>
    </w:p>
    <w:p>
      <w:pPr>
        <w:numPr>
          <w:ilvl w:val="0"/>
          <w:numId w:val="1005"/>
        </w:numPr>
        <w:pStyle w:val="Compact"/>
      </w:pPr>
      <w:r>
        <w:rPr>
          <w:bCs/>
          <w:b/>
        </w:rPr>
        <w:t xml:space="preserve">Technological Capability Index (TCI)</w:t>
      </w:r>
      <w:r>
        <w:t xml:space="preserve">: chiều sâu năng lực công nghệ, tổng hợp từ cấp phép công nghệ nước ngoài, chi tiêu nghiên cứu và phát triển, đổi mới sản phẩm, và chứng nhận chất lượng.</w:t>
      </w:r>
    </w:p>
    <w:p>
      <w:pPr>
        <w:numPr>
          <w:ilvl w:val="0"/>
          <w:numId w:val="1005"/>
        </w:numPr>
        <w:pStyle w:val="Compact"/>
      </w:pPr>
      <w:r>
        <w:rPr>
          <w:bCs/>
          <w:b/>
        </w:rPr>
        <w:t xml:space="preserve">Digital Adoption Index (DAI)</w:t>
      </w:r>
      <w:r>
        <w:t xml:space="preserve">: mức độ chấp nhận số bề mặt, tổng hợp từ website, thư điện tử, bán hàng trực tuyến (DAI_thin) hoặc bổ sung thanh toán điện tử và nhà cung cấp điện tử (DAI_rich).</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6"/>
        </w:numPr>
        <w:pStyle w:val="Compact"/>
      </w:pPr>
      <w:r>
        <w:rPr>
          <w:bCs/>
          <w:b/>
        </w:rPr>
        <w:t xml:space="preserve">TCI_thin</w:t>
      </w:r>
      <w:r>
        <w:t xml:space="preserve"> </w:t>
      </w:r>
      <w:r>
        <w:t xml:space="preserve">= chuẩn hóa z của trung bình hai mục cốt lõi: chứng chỉ chất lượng quốc tế (b8) và cấp phép công nghệ nước ngoài (e6). Dùng trong các nghiên cứu Việt Nam (P3), Singapore (P4), đa quốc gia (P7) và đảo nhỏ Thái Bình Dương (P8).</w:t>
      </w:r>
    </w:p>
    <w:p>
      <w:pPr>
        <w:numPr>
          <w:ilvl w:val="0"/>
          <w:numId w:val="1006"/>
        </w:numPr>
        <w:pStyle w:val="Compact"/>
      </w:pPr>
      <w:r>
        <w:rPr>
          <w:bCs/>
          <w:b/>
        </w:rPr>
        <w:t xml:space="preserve">TCI_full</w:t>
      </w:r>
      <w:r>
        <w:t xml:space="preserve"> </w:t>
      </w:r>
      <w:r>
        <w:t xml:space="preserve">= chuẩn hóa z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3"/>
    <w:bookmarkStart w:id="10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chế độ con ICRV (classification từ Khanna &amp; Palepu, 2010 mở rộng).</w:t>
      </w:r>
    </w:p>
    <w:p>
      <w:pPr>
        <w:pStyle w:val="BodyText"/>
      </w:pPr>
      <w:r>
        <w:rPr>
          <w:bCs/>
          <w:b/>
        </w:rPr>
        <w:t xml:space="preserve">Cơ sở kế thừa</w:t>
      </w:r>
      <w:r>
        <w:t xml:space="preserve">: Khanna và Palepu (2010) với khoảng trống thể chế; North (1990) với institutional analysis; Marano et al. (2016) với phân tích tổng hợp evidence về institutional các biến điều tiết.</w:t>
      </w:r>
    </w:p>
    <w:bookmarkEnd w:id="104"/>
    <w:bookmarkStart w:id="10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105"/>
    <w:bookmarkEnd w:id="106"/>
    <w:bookmarkStart w:id="107"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Tầng 1 ghi nhận hiện diện số bề mặt qua chỉ báo website (trường c22b), một mục nhị phân khả dụng ở hầu hết các đợt khảo sát. Tầng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Tầng 1 (đơn biến nhị phân) dùng ở Việt Nam và đảo nhỏ Thái Bình Dương, biến thể Tầng 1 cộng Tầng 2 dùng ở Singapore và khung đa quốc gia khi trường k33 có mặt, và biến thể thu gọn về Tầng 1 khi trường Tầng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7"/>
    <w:bookmarkStart w:id="108"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module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Tầng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Tầng 2 thanh toán điện tử và Tầng 3 đám mây/hệ hoạch định nguồn lực doanh nghiệp. Khung đa quốc gia dùng biến thể Tầng 1 cộng Tầng 2 khi trường thanh toán điện tử có mặt và thu gọn về Tầng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8"/>
    <w:bookmarkStart w:id="109"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đặc tả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09"/>
    <w:bookmarkStart w:id="110"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không hình thành;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0"/>
    <w:bookmarkStart w:id="111"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(FSTS²)</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Tầng 1: website (nhị phân); Tầng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1"/>
    <w:bookmarkEnd w:id="112"/>
    <w:bookmarkStart w:id="130" w:name="mô-hình-phân-tích"/>
    <w:p>
      <w:pPr>
        <w:pStyle w:val="Heading2"/>
      </w:pPr>
      <w:r>
        <w:t xml:space="preserve">3.4 Mô hình phân tích</w:t>
      </w:r>
    </w:p>
    <w:bookmarkStart w:id="113"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3"/>
    <w:bookmarkStart w:id="114"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14"/>
    <w:bookmarkStart w:id="115"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5"/>
    <w:bookmarkStart w:id="116"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6"/>
    <w:bookmarkStart w:id="119" w:name="mô-hình-điều-tiết-h2h6"/>
    <w:p>
      <w:pPr>
        <w:pStyle w:val="Heading3"/>
      </w:pPr>
      <w:r>
        <w:t xml:space="preserve">3.4.4 Mô hình điều tiết (H2–H6)</w:t>
      </w:r>
    </w:p>
    <w:bookmarkStart w:id="117"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7"/>
    <w:bookmarkStart w:id="118" w:name="tương-tác-ba-chiều-synthesis"/>
    <w:p>
      <w:pPr>
        <w:pStyle w:val="Heading4"/>
      </w:pPr>
      <w:r>
        <w:t xml:space="preserve">Tương tác ba chiều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three-way điều tiết digital × institutional × manager trong bối cảnh châu Á và Pacific với 50 nước chưa được kiểm định trước đây.</w:t>
      </w:r>
    </w:p>
    <w:bookmarkEnd w:id="118"/>
    <w:bookmarkEnd w:id="119"/>
    <w:bookmarkStart w:id="120"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0"/>
    <w:bookmarkStart w:id="121"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1"/>
    <w:bookmarkStart w:id="122"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Tầng 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CSS/DAI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e>
            </m:mr>
            <m:mr>
              <m:e/>
              <m:e>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e>
            </m:mr>
            <m:mr>
              <m:e/>
              <m:e>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Tầng 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22"/>
    <w:bookmarkStart w:id="123"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chuẩn hóa z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Tầng 1 và 2</w:t>
      </w:r>
      <w:r>
        <w:t xml:space="preserve">, chuẩn hóa z của trung bình(c22b₀₁, k33₀₁, k38₀₁); khác P3 ở chỗ bao gồm thanh toán điện tử hai chiều (Tầng 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ngành hiệu ứng cố định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quốc tế hóa và hiệu quả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Tầng 1 và 2</w:t>
            </w:r>
          </w:p>
        </w:tc>
        <w:tc>
          <w:tcPr/>
          <w:p>
            <w:pPr>
              <w:pStyle w:val="Compact"/>
              <w:jc w:val="left"/>
            </w:pPr>
            <w:r>
              <w:t xml:space="preserve">Số hoá Tầng 1 và 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3"/>
    <w:bookmarkStart w:id="124"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chuẩn hóa z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(Tầng 1 mỏng, một chỉ báo nhị phân)</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Tầng 1 đơn biến</w:t>
            </w:r>
            <w:r>
              <w:t xml:space="preserve"> </w:t>
            </w:r>
            <w:r>
              <w:t xml:space="preserve">(binary)</w:t>
            </w:r>
          </w:p>
        </w:tc>
        <w:tc>
          <w:tcPr/>
          <w:p>
            <w:pPr>
              <w:pStyle w:val="Compact"/>
              <w:jc w:val="left"/>
            </w:pPr>
            <w:r>
              <w:t xml:space="preserve">Số hoá Tầng 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Tầng 1 đơn biến, không đủ để kiểm định CDCM; hàm ý chính sách và lý thuyết khác với P4 Singapore (Tầng 1 và 2).</w:t>
      </w:r>
    </w:p>
    <w:p>
      <w:r>
        <w:pict>
          <v:rect style="width:0;height:1.5pt" o:hralign="center" o:hrstd="t" o:hr="t"/>
        </w:pict>
      </w:r>
    </w:p>
    <w:bookmarkEnd w:id="124"/>
    <w:bookmarkStart w:id="127"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chuẩn hóa z(b8, e6)</w:t>
      </w:r>
    </w:p>
    <w:p>
      <w:pPr>
        <w:numPr>
          <w:ilvl w:val="0"/>
          <w:numId w:val="1010"/>
        </w:numPr>
        <w:pStyle w:val="Compact"/>
      </w:pPr>
      <w:r>
        <w:rPr>
          <w:bCs/>
          <w:b/>
        </w:rPr>
        <w:t xml:space="preserve">CSS_z_it</w:t>
      </w:r>
      <w:r>
        <w:t xml:space="preserve">: chỉ số số hoá z-standardised, DAI_z = chuẩn hóa z(website + e-pay, Tầng 1 và 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không hình thành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chuẩn hóa z(website + thanh toán điện tử): Tầng 1 và 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Tầng 1 và 2 khi k33 có mặt, Tầng 1 only khi thiếu, khác với P3 Vietnam (chỉ Tầng 1) và đồng nhất với P4 Singapore (Tầng 1 và 2). ICRV là biến điều tiết liên tục (integer), không phải dummies, nhằm giữ N đủ lớn trong M10–M11.</w:t>
      </w:r>
    </w:p>
    <w:p>
      <w:r>
        <w:pict>
          <v:rect style="width:0;height:1.5pt" o:hralign="center" o:hrstd="t" o:hr="t"/>
        </w:pict>
      </w:r>
    </w:p>
    <w:bookmarkStart w:id="125" w:name="X7ae0fbe3e53b09e3ffb61b533c4c804e40982e2"/>
    <w:p>
      <w:pPr>
        <w:pStyle w:val="Heading4"/>
      </w:pPr>
      <w:r>
        <w:t xml:space="preserve">3.4.5.5 Mô hình cụ thể: Nghiên cứu 8: đảo nhỏ Thái Bình Dương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CSS_z</w:t>
            </w:r>
          </w:p>
        </w:tc>
        <w:tc>
          <w:tcPr/>
          <w:p>
            <w:pPr>
              <w:pStyle w:val="Compact"/>
              <w:jc w:val="left"/>
            </w:pPr>
            <w:r>
              <w:t xml:space="preserve">Chỉ số số hoá (Tầng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Tầng 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CSS_z (DAI) là biến đại diện tĩnh Tầng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t>l</m:t>
                </m:r>
                <m:r>
                  <m:t>n</m:t>
                </m:r>
                <m:r>
                  <m:t>N</m:t>
                </m:r>
                <m:r>
                  <m:t>S</m:t>
                </m:r>
                <m:r>
                  <m:t>L</m:t>
                </m:r>
                <m:sSub>
                  <m:e>
                    <m:r>
                      <m:t>D</m:t>
                    </m:r>
                  </m:e>
                  <m:sub>
                    <m:r>
                      <m:t>i</m:t>
                    </m:r>
                    <m:r>
                      <m:t>t</m:t>
                    </m:r>
                  </m:sub>
                </m:sSub>
                <m:r>
                  <m:rPr>
                    <m:sty m:val="p"/>
                  </m:rPr>
                  <m:t>=</m:t>
                </m:r>
                <m:r>
                  <m:t>​</m:t>
                </m:r>
              </m:e>
              <m:e>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e>
            </m:mr>
            <m:mr>
              <m:e/>
              <m:e>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Đặc tả</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chỉ doanh nghiệp xuất khẩu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chuẩn hóa z(website binary): Tầng 1 only</w:t>
            </w:r>
          </w:p>
        </w:tc>
        <w:tc>
          <w:tcPr/>
          <w:p>
            <w:pPr>
              <w:pStyle w:val="Compact"/>
              <w:jc w:val="left"/>
            </w:pPr>
            <w:r>
              <w:t xml:space="preserve">Số hoá, biến đại diện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Tầng 1 only, WBES không thu thập thang đo đầy đủ cho số hoá động tại SIDS.</w:t>
      </w:r>
    </w:p>
    <w:p>
      <w:r>
        <w:pict>
          <v:rect style="width:0;height:1.5pt" o:hralign="center" o:hrstd="t" o:hr="t"/>
        </w:pict>
      </w:r>
    </w:p>
    <w:bookmarkEnd w:id="125"/>
    <w:bookmarkStart w:id="126"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Tầng 2 (</w:t>
      </w:r>
      <w:r>
        <w:rPr>
          <w:rStyle w:val="VerbatimChar"/>
        </w:rPr>
        <w:t xml:space="preserve">k33</w:t>
      </w:r>
      <w:r>
        <w:t xml:space="preserve">, tỷ trọng doanh thu qua thanh toán điện tử) cho phép kiểm định điều tiết DAI Tầng 2, được xử lý như phân tích thăm dò vì chỉ có ở một đợt.</w:t>
      </w:r>
    </w:p>
    <w:bookmarkEnd w:id="126"/>
    <w:bookmarkEnd w:id="127"/>
    <w:bookmarkStart w:id="128"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28"/>
    <w:bookmarkStart w:id="129"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đặc tả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29"/>
    <w:bookmarkEnd w:id="130"/>
    <w:bookmarkStart w:id="141" w:name="kiểm-định-độ-vững"/>
    <w:p>
      <w:pPr>
        <w:pStyle w:val="Heading2"/>
      </w:pPr>
      <w:r>
        <w:t xml:space="preserve">3.5 Kiểm định độ vững</w:t>
      </w:r>
    </w:p>
    <w:bookmarkStart w:id="131"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Tầng 1 và biến thể gồm cả Tầng 2 trên mẫu con từ năm 2024 trở đi, nơi các chỉ báo số phong phú hơn đã sẵn có.</w:t>
      </w:r>
    </w:p>
    <w:bookmarkEnd w:id="131"/>
    <w:bookmarkStart w:id="132"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2"/>
    <w:bookmarkStart w:id="133"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3"/>
    <w:bookmarkStart w:id="134"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đặc tả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4"/>
    <w:bookmarkStart w:id="135"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5"/>
    <w:bookmarkStart w:id="136"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đặc tả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Tầng 1 và biến thể Tầng 1 cộng Tầng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36"/>
    <w:bookmarkStart w:id="137"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37"/>
    <w:bookmarkStart w:id="138"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Tầng 1 không khác biệt thống kê với không, một kết quả độ vững củng cố cách diễn giải tính lỗi thời của biến đại diện Tầng 1 trong môi trường số đã lan tỏa gần phổ quát.</w:t>
      </w:r>
    </w:p>
    <w:bookmarkEnd w:id="138"/>
    <w:bookmarkStart w:id="139"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39"/>
    <w:bookmarkStart w:id="140" w:name="X9d6404b3058a9ea6c8e6196550350ab05ad4e76"/>
    <w:p>
      <w:pPr>
        <w:pStyle w:val="Heading3"/>
      </w:pPr>
      <w:r>
        <w:t xml:space="preserve">3.5.6.3 Tính nhất quán về dấu qua nhiều đặc tả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đặc tả,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đặc tả: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0"/>
    <w:bookmarkEnd w:id="141"/>
    <w:bookmarkStart w:id="142"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doanh nghiệp đa chiều trong bối cảnh WBES</w:t>
            </w:r>
          </w:p>
        </w:tc>
      </w:tr>
      <w:tr>
        <w:tc>
          <w:tcPr/>
          <w:p>
            <w:pPr>
              <w:pStyle w:val="Compact"/>
              <w:jc w:val="left"/>
            </w:pPr>
            <w:r>
              <w:t xml:space="preserve">FSTS + FSTS²</w:t>
            </w:r>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điều tiết</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2"/>
    <w:bookmarkStart w:id="143"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3"/>
    <w:bookmarkStart w:id="144" w:name="chương-4-kết-quả-nghiên-cứu"/>
    <w:p>
      <w:pPr>
        <w:pStyle w:val="Heading1"/>
      </w:pPr>
      <w:r>
        <w:t xml:space="preserve">CHƯƠNG 4: KẾT QUẢ NGHIÊN CỨU</w:t>
      </w:r>
    </w:p>
    <w:bookmarkEnd w:id="144"/>
    <w:p>
      <w:r>
        <w:pict>
          <v:rect style="width:0;height:1.5pt" o:hralign="center" o:hrstd="t" o:hr="t"/>
        </w:pict>
      </w:r>
    </w:p>
    <w:bookmarkStart w:id="145"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45"/>
    <w:bookmarkStart w:id="172" w:name="Xed285cd0261846a13dee28de69c0403b250498d"/>
    <w:p>
      <w:pPr>
        <w:pStyle w:val="Heading2"/>
      </w:pPr>
      <w:r>
        <w:t xml:space="preserve">4.1 Thực trạng quốc tế hóa và hiệu quả hoạt động kinh doanh tại châu Á</w:t>
      </w:r>
    </w:p>
    <w:bookmarkStart w:id="152"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(mẫu gộp WBES 2006–2026;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trung bình cao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đang nổi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được phân loại vào sáu nhóm ICRV trong mẫu gộp WBES (tổng 96.415; ngoài ra còn ~10.350 doanh nghiệp chưa gán nhóm ICRV do thiếu chỉ số thể chế). Mẫu hồi quy chính của P7 là N = 81.022 (mô hình M2, khung 50 nền gồm Nhật Bản) và giảm còn 79.080 ở M5 khi bổ sung biến kiểm soát (xem Mục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Mục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47" name="Picture"/>
            <a:graphic>
              <a:graphicData uri="http://schemas.openxmlformats.org/drawingml/2006/picture">
                <pic:pic>
                  <pic:nvPicPr>
                    <pic:cNvPr descr="figures/fig_4_1_pool_composition.png" id="148" name="Picture"/>
                    <pic:cNvPicPr>
                      <a:picLocks noChangeArrowheads="1" noChangeAspect="1"/>
                    </pic:cNvPicPr>
                  </pic:nvPicPr>
                  <pic:blipFill>
                    <a:blip r:embed="rId146"/>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0" name="Picture"/>
            <a:graphic>
              <a:graphicData uri="http://schemas.openxmlformats.org/drawingml/2006/picture">
                <pic:pic>
                  <pic:nvPicPr>
                    <pic:cNvPr descr="figures/fig_4_0_pool_by_year.png" id="151" name="Picture"/>
                    <pic:cNvPicPr>
                      <a:picLocks noChangeArrowheads="1" noChangeAspect="1"/>
                    </pic:cNvPicPr>
                  </pic:nvPicPr>
                  <pic:blipFill>
                    <a:blip r:embed="rId149"/>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2"/>
    <w:bookmarkStart w:id="15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(trung bình cao), với mức trung bình khu vực khoảng 8,8%.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4" name="Picture"/>
            <a:graphic>
              <a:graphicData uri="http://schemas.openxmlformats.org/drawingml/2006/picture">
                <pic:pic>
                  <pic:nvPicPr>
                    <pic:cNvPr descr="figures/fig_4_4_growth_pathway.png" id="155" name="Picture"/>
                    <pic:cNvPicPr>
                      <a:picLocks noChangeArrowheads="1" noChangeAspect="1"/>
                    </pic:cNvPicPr>
                  </pic:nvPicPr>
                  <pic:blipFill>
                    <a:blip r:embed="rId153"/>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56"/>
    <w:bookmarkStart w:id="160"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Tầng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không hình thành (FIP là trường hợp giới hạn lý thuyết).</w:t>
      </w:r>
    </w:p>
    <w:p>
      <w:pPr>
        <w:pStyle w:val="BodyText"/>
      </w:pPr>
      <w:r>
        <w:t xml:space="preserve">Một biểu hiện khác của bão hòa Tầng 1 nằm ở tương quan giữa website và năng suất: phần bù tương quan của DAI Tầng 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Tầng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58" name="Picture"/>
            <a:graphic>
              <a:graphicData uri="http://schemas.openxmlformats.org/drawingml/2006/picture">
                <pic:pic>
                  <pic:nvPicPr>
                    <pic:cNvPr descr="figures/fig_4_6_firm_size.png" id="159" name="Picture"/>
                    <pic:cNvPicPr>
                      <a:picLocks noChangeArrowheads="1" noChangeAspect="1"/>
                    </pic:cNvPicPr>
                  </pic:nvPicPr>
                  <pic:blipFill>
                    <a:blip r:embed="rId157"/>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0"/>
    <w:bookmarkStart w:id="161"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1"/>
    <w:bookmarkStart w:id="162"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Tầng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2"/>
    <w:bookmarkStart w:id="169"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bức tranh có cấu trúc nổi lên trong đó cường độ và đôi khi cả dấu của các tương quan thô biến thiên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139</m:t>
        </m:r>
      </m:oMath>
      <w:r>
        <w:t xml:space="preserve"> </w:t>
      </w:r>
      <w:r>
        <w:t xml:space="preserve">ở Nhóm I, qua</w:t>
      </w:r>
      <w:r>
        <w:t xml:space="preserve"> </w:t>
      </w:r>
      <m:oMath>
        <m:r>
          <m:rPr>
            <m:sty m:val="p"/>
          </m:rPr>
          <m:t>+</m:t>
        </m:r>
        <m:r>
          <m:t>0</m:t>
        </m:r>
        <m:r>
          <m:rPr>
            <m:sty m:val="p"/>
          </m:rPr>
          <m:t>,</m:t>
        </m:r>
        <m:r>
          <m:t>131</m:t>
        </m:r>
      </m:oMath>
      <w:r>
        <w:t xml:space="preserve"> </w:t>
      </w:r>
      <w:r>
        <w:t xml:space="preserve">ở Nhóm II,</w:t>
      </w:r>
      <w:r>
        <w:t xml:space="preserve"> </w:t>
      </w:r>
      <m:oMath>
        <m:r>
          <m:rPr>
            <m:sty m:val="p"/>
          </m:rPr>
          <m:t>+</m:t>
        </m:r>
        <m:r>
          <m:t>0</m:t>
        </m:r>
        <m:r>
          <m:rPr>
            <m:sty m:val="p"/>
          </m:rPr>
          <m:t>,</m:t>
        </m:r>
        <m:r>
          <m:t>094</m:t>
        </m:r>
      </m:oMath>
      <w:r>
        <w:t xml:space="preserve"> </w:t>
      </w:r>
      <w:r>
        <w:t xml:space="preserve">ở Nhóm III,</w:t>
      </w:r>
      <w:r>
        <w:t xml:space="preserve"> </w:t>
      </w:r>
      <m:oMath>
        <m:r>
          <m:rPr>
            <m:sty m:val="p"/>
          </m:rPr>
          <m:t>+</m:t>
        </m:r>
        <m:r>
          <m:t>0</m:t>
        </m:r>
        <m:r>
          <m:rPr>
            <m:sty m:val="p"/>
          </m:rPr>
          <m:t>,</m:t>
        </m:r>
        <m:r>
          <m:t>047</m:t>
        </m:r>
      </m:oMath>
      <w:r>
        <w:t xml:space="preserve"> </w:t>
      </w:r>
      <w:r>
        <w:t xml:space="preserve">ở Nhóm IV,</w:t>
      </w:r>
      <w:r>
        <w:t xml:space="preserve"> </w:t>
      </w:r>
      <m:oMath>
        <m:r>
          <m:rPr>
            <m:sty m:val="p"/>
          </m:rPr>
          <m:t>+</m:t>
        </m:r>
        <m:r>
          <m:t>0</m:t>
        </m:r>
        <m:r>
          <m:rPr>
            <m:sty m:val="p"/>
          </m:rPr>
          <m:t>,</m:t>
        </m:r>
        <m:r>
          <m:t>018</m:t>
        </m:r>
      </m:oMath>
      <w:r>
        <w:t xml:space="preserve"> </w:t>
      </w:r>
      <w:r>
        <w:t xml:space="preserve">ở Nhóm V, rồi mất ý nghĩa thống kê và đổi dấu ở SIDS (</w:t>
      </w:r>
      <m:oMath>
        <m:r>
          <m:rPr>
            <m:sty m:val="p"/>
          </m:rPr>
          <m:t>−</m:t>
        </m:r>
        <m:r>
          <m:t>0</m:t>
        </m:r>
        <m:r>
          <m:rPr>
            <m:sty m:val="p"/>
          </m:rPr>
          <m:t>,</m:t>
        </m:r>
        <m:r>
          <m:t>009</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ngoại lệ duy nhất về dấu, nhất quán với giả thuyết chi phí buộc phải quốc tế hóa, theo đó doanh nghiệp đảo nhỏ xuất khẩu vì bắt buộc chứ không phải vì được chọn lọc theo năng suất.</w:t>
      </w:r>
    </w:p>
    <w:tbl>
      <w:tblPr>
        <w:tblStyle w:val="FigureTable"/>
        <w:tblW w:type="auto" w:w="0"/>
        <w:tblLook w:firstRow="0" w:lastRow="0" w:firstColumn="0" w:lastColumn="0"/>
        <w:jc w:val="center"/>
      </w:tblPr>
      <w:tblGrid>
        <w:gridCol w:w="7920"/>
      </w:tblGrid>
      <w:tr>
        <w:tc>
          <w:tcPr/>
          <w:p>
            <w:pPr>
              <w:pStyle w:val="Compact"/>
              <w:jc w:val="center"/>
            </w:pPr>
            <w:r>
              <w:t xml:space="preserve">Hình 4.5. Gradient năng lực công nghệ theo sáu nhóm ICRV</w:t>
            </w:r>
          </w:p>
        </w:tc>
      </w:tr>
    </w:tbl>
    <w:p>
      <w:pPr>
        <w:pStyle w:val="ImageCaption"/>
      </w:pPr>
      <w:r>
        <w:t xml:space="preserve">Hình 4.5. Gradient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117</m:t>
        </m:r>
      </m:oMath>
      <w:r>
        <w:t xml:space="preserve"> </w:t>
      </w:r>
      <w:r>
        <w:t xml:space="preserve">ở SIDS đến</w:t>
      </w:r>
      <w:r>
        <w:t xml:space="preserve"> </w:t>
      </w:r>
      <m:oMath>
        <m:r>
          <m:rPr>
            <m:sty m:val="p"/>
          </m:rPr>
          <m:t>+</m:t>
        </m:r>
        <m:r>
          <m:t>0</m:t>
        </m:r>
        <m:r>
          <m:rPr>
            <m:sty m:val="p"/>
          </m:rPr>
          <m:t>,</m:t>
        </m:r>
        <m:r>
          <m:t>240</m:t>
        </m:r>
      </m:oMath>
      <w:r>
        <w:t xml:space="preserve"> </w:t>
      </w:r>
      <w:r>
        <w:t xml:space="preserve">ở Nhóm III,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104</m:t>
        </m:r>
      </m:oMath>
      <w:r>
        <w:t xml:space="preserve"> </w:t>
      </w:r>
      <w:r>
        <w:t xml:space="preserve">và SIDS</w:t>
      </w:r>
      <w:r>
        <w:t xml:space="preserve"> </w:t>
      </w:r>
      <m:oMath>
        <m:r>
          <m:rPr>
            <m:sty m:val="p"/>
          </m:rPr>
          <m:t>+</m:t>
        </m:r>
        <m:r>
          <m:t>0</m:t>
        </m:r>
        <m:r>
          <m:rPr>
            <m:sty m:val="p"/>
          </m:rPr>
          <m:t>,</m:t>
        </m:r>
        <m:r>
          <m:t>122</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64" name="Picture"/>
            <a:graphic>
              <a:graphicData uri="http://schemas.openxmlformats.org/drawingml/2006/picture">
                <pic:pic>
                  <pic:nvPicPr>
                    <pic:cNvPr descr="figures/fig_4_2_productivity_density.png" id="165" name="Picture"/>
                    <pic:cNvPicPr>
                      <a:picLocks noChangeArrowheads="1" noChangeAspect="1"/>
                    </pic:cNvPicPr>
                  </pic:nvPicPr>
                  <pic:blipFill>
                    <a:blip r:embed="rId163"/>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4</m:t>
        </m:r>
      </m:oMath>
      <w:r>
        <w:t xml:space="preserve"> </w:t>
      </w:r>
      <w:r>
        <w:t xml:space="preserve">lần ở Nhóm I lên</w:t>
      </w:r>
      <w:r>
        <w:t xml:space="preserve"> </w:t>
      </w:r>
      <m:oMath>
        <m:r>
          <m:t>5</m:t>
        </m:r>
        <m:r>
          <m:rPr>
            <m:sty m:val="p"/>
          </m:rPr>
          <m:t>,</m:t>
        </m:r>
        <m:r>
          <m:t>8</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67" name="Picture"/>
            <a:graphic>
              <a:graphicData uri="http://schemas.openxmlformats.org/drawingml/2006/picture">
                <pic:pic>
                  <pic:nvPicPr>
                    <pic:cNvPr descr="figures/fig_4_7_spider_chart.png" id="168" name="Picture"/>
                    <pic:cNvPicPr>
                      <a:picLocks noChangeArrowheads="1" noChangeAspect="1"/>
                    </pic:cNvPicPr>
                  </pic:nvPicPr>
                  <pic:blipFill>
                    <a:blip r:embed="rId166"/>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Tầng 1) lại thấp nhất ở Nhóm I (</w:t>
      </w:r>
      <m:oMath>
        <m:r>
          <m:rPr>
            <m:sty m:val="p"/>
          </m:rPr>
          <m:t>+</m:t>
        </m:r>
        <m:r>
          <m:t>0</m:t>
        </m:r>
        <m:r>
          <m:rPr>
            <m:sty m:val="p"/>
          </m:rPr>
          <m:t>,</m:t>
        </m:r>
        <m:r>
          <m:t>090</m:t>
        </m:r>
      </m:oMath>
      <w:r>
        <w:t xml:space="preserve">), trong khi cao nhất ở Nhóm II (</w:t>
      </w:r>
      <m:oMath>
        <m:r>
          <m:rPr>
            <m:sty m:val="p"/>
          </m:rPr>
          <m:t>+</m:t>
        </m:r>
        <m:r>
          <m:t>0</m:t>
        </m:r>
        <m:r>
          <m:rPr>
            <m:sty m:val="p"/>
          </m:rPr>
          <m:t>,</m:t>
        </m:r>
        <m:r>
          <m:t>201</m:t>
        </m:r>
      </m:oMath>
      <w:r>
        <w:t xml:space="preserve">) và Nhóm IV (</w:t>
      </w:r>
      <m:oMath>
        <m:r>
          <m:rPr>
            <m:sty m:val="p"/>
          </m:rPr>
          <m:t>+</m:t>
        </m:r>
        <m:r>
          <m:t>0</m:t>
        </m:r>
        <m:r>
          <m:rPr>
            <m:sty m:val="p"/>
          </m:rPr>
          <m:t>,</m:t>
        </m:r>
        <m:r>
          <m:t>180</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Tầng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69"/>
    <w:bookmarkStart w:id="170"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0"/>
    <w:bookmarkStart w:id="171" w:name="X290a7f495c2e39016b28fc732b8af6994f1e991"/>
    <w:p>
      <w:pPr>
        <w:pStyle w:val="Heading3"/>
      </w:pPr>
      <w:r>
        <w:t xml:space="preserve">4.1.8 Gradient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Đáng chú ý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1"/>
    <w:bookmarkEnd w:id="172"/>
    <w:bookmarkStart w:id="181" w:name="X793daa8b2eddd060588462e198e78f93f4f770d"/>
    <w:p>
      <w:pPr>
        <w:pStyle w:val="Heading2"/>
      </w:pPr>
      <w:r>
        <w:t xml:space="preserve">4.2 Kết quả tổng hợp định lượng: phân tích tổng hợp ba tầng (P6)</w:t>
      </w:r>
    </w:p>
    <w:bookmarkStart w:id="173" w:name="chỉ-số-hiệu-ứng-tổng-hợp"/>
    <w:p>
      <w:pPr>
        <w:pStyle w:val="Heading3"/>
      </w:pPr>
      <w:r>
        <w:t xml:space="preserve">4.2.1 Chỉ số hiệu ứng tổng hợp</w:t>
      </w:r>
    </w:p>
    <w:p>
      <w:pPr>
        <w:pStyle w:val="FirstParagraph"/>
      </w:pPr>
      <w:r>
        <w:t xml:space="preserve">Phân tích phân tích tổng hợp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các phân tích tổng hợp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73"/>
    <w:bookmarkStart w:id="174"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74"/>
    <w:bookmarkStart w:id="175"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75"/>
    <w:bookmarkStart w:id="176"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76"/>
    <w:bookmarkStart w:id="177"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Tổng hợp lại, bằng chứng lệch lạc công bố được xác nhận qua kiểm định Begg–Mazumdar có ý nghĩa (</w:t>
      </w:r>
      <m:oMath>
        <m:r>
          <m:t>p</m:t>
        </m:r>
        <m:r>
          <m:rPr>
            <m:sty m:val="p"/>
          </m:rPr>
          <m:t>=</m:t>
        </m:r>
        <m:r>
          <m:rPr>
            <m:sty m:val="p"/>
          </m:rPr>
          <m:t>,</m:t>
        </m:r>
        <m:r>
          <m:t>0007</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77"/>
    <w:bookmarkStart w:id="178"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đặc tả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78"/>
    <w:bookmarkStart w:id="179" w:name="X8198b4c56ba06d68298cd0153da499a39f189c6"/>
    <w:p>
      <w:pPr>
        <w:pStyle w:val="Heading3"/>
      </w:pPr>
      <w:r>
        <w:t xml:space="preserve">4.2.6 Gradient hiệu ứng theo nhóm thể chế và giới hạn của bằng chứng định hướng</w:t>
      </w:r>
    </w:p>
    <w:p>
      <w:pPr>
        <w:pStyle w:val="FirstParagraph"/>
      </w:pPr>
      <w:r>
        <w:t xml:space="preserve">Bảng hệ số gộp theo từng nhóm ICRV cho thấy một bức tranh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79"/>
    <w:bookmarkStart w:id="180"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475</m:t>
        </m:r>
      </m:oMath>
      <w:r>
        <w:t xml:space="preserve">,</w:t>
      </w:r>
      <w:r>
        <w:t xml:space="preserve"> </w:t>
      </w:r>
      <m:oMath>
        <m:r>
          <m:t>p</m:t>
        </m:r>
        <m:r>
          <m:rPr>
            <m:sty m:val="p"/>
          </m:rPr>
          <m:t>=</m:t>
        </m:r>
        <m:r>
          <m:rPr>
            <m:sty m:val="p"/>
          </m:rPr>
          <m:t>,</m:t>
        </m:r>
        <m:r>
          <m:t>057</m:t>
        </m:r>
      </m:oMath>
      <w:r>
        <w:t xml:space="preserve">) trong khi kiểm định thứ hạng Begg–Mazumdar lại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nên bằng chứng bất đối xứng dựa trên Egger đơn lẻ không được khẳng định. Quy trình cắt-và-điền (trim-and-fill) gán thêm 58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019</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45.848</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Tổng hợp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0"/>
    <w:bookmarkEnd w:id="181"/>
    <w:bookmarkStart w:id="191" w:name="Xae571c1410747d630a72c4d12985bac375822ae"/>
    <w:p>
      <w:pPr>
        <w:pStyle w:val="Heading2"/>
      </w:pPr>
      <w:r>
        <w:t xml:space="preserve">4.3 Kết quả bối cảnh thể chế tiên tiến: Đổi mới: Singapore (P4)</w:t>
      </w:r>
    </w:p>
    <w:bookmarkStart w:id="18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82"/>
    <w:bookmarkStart w:id="183"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Tầng 1 và Tầng 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83"/>
    <w:bookmarkStart w:id="18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84"/>
    <w:bookmarkStart w:id="185"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đặc tả cuối.</w:t>
      </w:r>
    </w:p>
    <w:bookmarkEnd w:id="185"/>
    <w:bookmarkStart w:id="186"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đặc tả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86"/>
    <w:bookmarkStart w:id="187" w:name="X5b29f6d7a1e568457f8600cd8694765de8754b2"/>
    <w:p>
      <w:pPr>
        <w:pStyle w:val="Heading3"/>
      </w:pPr>
      <w:r>
        <w:t xml:space="preserve">4.3.6 Cơ chế lá chắn số: tương tác Tầng 1–Tầng 2 và hiệu ứng biên theo cường độ xuất khẩu</w:t>
      </w:r>
    </w:p>
    <w:p>
      <w:pPr>
        <w:pStyle w:val="FirstParagraph"/>
      </w:pPr>
      <w:r>
        <w:t xml:space="preserve">Bằng chứng mạnh nhất về vai trò của DAI xuất hiện ở các đặc tả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đặc tả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đặc tả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87"/>
    <w:bookmarkStart w:id="188"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88"/>
    <w:bookmarkStart w:id="189"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đặc tả chính trên mẫu Singapore. Hạng cường độ xuất khẩu tuyến tính dương và có ý nghĩa cao ở mọi đặc tả,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đặc tả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đặc tả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w:r>
              <w:t xml:space="preserve">FSTS²</w:t>
            </w:r>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w:r>
              <w:t xml:space="preserve">FSTS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w:r>
              <w:t xml:space="preserve">FSTS² × DAI</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đặc tả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đặc tả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89"/>
    <w:bookmarkStart w:id="190"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đặc tả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đặc tả OLS được giữ làm đặc tả chính. Tổng hợp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Tầng 2 sẵn có về mặt thể chế làm cơ chế mở rộng quy mô có điều kiện trở nên nhận diện được về thực nghiệm.</w:t>
      </w:r>
    </w:p>
    <w:p>
      <w:r>
        <w:pict>
          <v:rect style="width:0;height:1.5pt" o:hralign="center" o:hrstd="t" o:hr="t"/>
        </w:pict>
      </w:r>
    </w:p>
    <w:bookmarkEnd w:id="190"/>
    <w:bookmarkEnd w:id="191"/>
    <w:bookmarkStart w:id="200" w:name="Xabe361c2d5961cf19ce7ab2bd5d9bc6d758140a"/>
    <w:p>
      <w:pPr>
        <w:pStyle w:val="Heading2"/>
      </w:pPr>
      <w:r>
        <w:t xml:space="preserve">4.4 Kết quả bối cảnh thể chế trung bình cao: Trung Quốc, 2012–2024 (P5)</w:t>
      </w:r>
    </w:p>
    <w:bookmarkStart w:id="192"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doanh nghiệp. Điểm điểm uốn được ước lượng tại:</w:t>
      </w:r>
    </w:p>
    <w:p>
      <w:pPr>
        <w:numPr>
          <w:ilvl w:val="0"/>
          <w:numId w:val="1012"/>
        </w:numPr>
        <w:pStyle w:val="Compact"/>
      </w:pPr>
      <w:r>
        <w:rPr>
          <w:bCs/>
          <w:b/>
        </w:rPr>
        <w:t xml:space="preserve">Năm 2012</w:t>
      </w:r>
      <w:r>
        <w:t xml:space="preserve">: TP = 49,37% FSTS</w:t>
      </w:r>
    </w:p>
    <w:p>
      <w:pPr>
        <w:numPr>
          <w:ilvl w:val="0"/>
          <w:numId w:val="1012"/>
        </w:numPr>
        <w:pStyle w:val="Compact"/>
      </w:pPr>
      <w:r>
        <w:rPr>
          <w:bCs/>
          <w:b/>
        </w:rPr>
        <w:t xml:space="preserve">Năm 2024</w:t>
      </w:r>
      <w:r>
        <w:t xml:space="preserve">: TP = 47,19% FSTS</w:t>
      </w:r>
    </w:p>
    <w:p>
      <w:pPr>
        <w:numPr>
          <w:ilvl w:val="0"/>
          <w:numId w:val="1012"/>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92"/>
    <w:bookmarkStart w:id="193"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93"/>
    <w:bookmarkStart w:id="194"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194"/>
    <w:bookmarkStart w:id="195" w:name="Xff6260f0292f1de2c718a7cc22e284da4d4195e"/>
    <w:p>
      <w:pPr>
        <w:pStyle w:val="Heading3"/>
      </w:pPr>
      <w:r>
        <w:t xml:space="preserve">4.4.4 Bộ hệ số mô hình ngưỡng chính (M2) và độ lớn kinh tế</w:t>
      </w:r>
    </w:p>
    <w:p>
      <w:pPr>
        <w:pStyle w:val="FirstParagraph"/>
      </w:pPr>
      <w:r>
        <w:t xml:space="preserve">Mô hình ngưỡng chính M2 (đặc tả</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195"/>
    <w:bookmarkStart w:id="196"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đặc tả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196"/>
    <w:bookmarkStart w:id="197"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đặc tả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Đáng chú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197"/>
    <w:bookmarkStart w:id="198"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198"/>
    <w:bookmarkStart w:id="199"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đặc tả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199"/>
    <w:bookmarkEnd w:id="200"/>
    <w:bookmarkStart w:id="212" w:name="Xdbd5cc67084304ba85b73781c0cb0c00b74055b"/>
    <w:p>
      <w:pPr>
        <w:pStyle w:val="Heading2"/>
      </w:pPr>
      <w:r>
        <w:t xml:space="preserve">4.5 Kết quả bối cảnh chuyển đổi bậc thấp–trung: Việt Nam (P3)</w:t>
      </w:r>
    </w:p>
    <w:bookmarkStart w:id="201"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1"/>
    <w:bookmarkStart w:id="202"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02"/>
    <w:bookmarkStart w:id="203"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03"/>
    <w:bookmarkStart w:id="204"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t>F</m:t>
        </m:r>
        <m:r>
          <m:t>S</m:t>
        </m:r>
        <m:r>
          <m:t>T</m:t>
        </m:r>
        <m:r>
          <m:t>S</m:t>
        </m:r>
        <m:r>
          <m:rPr>
            <m:sty m:val="p"/>
          </m:rPr>
          <m:t>×</m:t>
        </m:r>
        <m:r>
          <m:t>D</m:t>
        </m:r>
        <m:r>
          <m:t>A</m:t>
        </m:r>
        <m:r>
          <m:t>I</m:t>
        </m:r>
      </m:oMath>
      <w:r>
        <w:t xml:space="preserve"> </w:t>
      </w:r>
      <w:r>
        <w:t xml:space="preserve">(chỉ bao gồm Tầng 1 DAI do giới hạn đo lường WBES trong các làn sóng này) cho kết quả yếu dương nhưng không có ý nghĩa thống kê. Kết quả này có thể phản ánh hạn chế về đo lường: Tầng 1 DAI chỉ nắm bắt mức độ chấp nhận số bề mặt (website, email, online sales) chứ không đo lường được chiều sâu năng lực số. Với dữ liệu WBES Việt Nam chỉ cung cấp Tầng 1, không đủ phân biệt để phát hiện hiệu ứng điều tiết tinh tế hơn.</w:t>
      </w:r>
    </w:p>
    <w:bookmarkEnd w:id="204"/>
    <w:bookmarkStart w:id="205"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05"/>
    <w:bookmarkStart w:id="206"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06"/>
    <w:bookmarkStart w:id="207"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(H1a), chứ không phải độ cong cường độ trong nhóm doanh nghiệp xuất khẩu (H1b).</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Tầng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07"/>
    <w:bookmarkStart w:id="208"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08"/>
    <w:bookmarkStart w:id="209"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đặc tả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09"/>
    <w:bookmarkStart w:id="210" w:name="X0255ade886bbb95bf7cfa8465e46ac63bac43a6"/>
    <w:p>
      <w:pPr>
        <w:pStyle w:val="Heading3"/>
      </w:pPr>
      <w:r>
        <w:t xml:space="preserve">4.5.10 Pin chặt độ vững: tách ngành, đặc tả bậc ba và batterie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đặc tả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đặc tả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đặc tả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0"/>
    <w:bookmarkStart w:id="211"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1"/>
    <w:bookmarkEnd w:id="212"/>
    <w:bookmarkStart w:id="221" w:name="X561afa853383c674354c1acb167a55cae3a018f"/>
    <w:p>
      <w:pPr>
        <w:pStyle w:val="Heading2"/>
      </w:pPr>
      <w:r>
        <w:t xml:space="preserve">4.6 Kết quả kiểm định toàn mẫu đa bối cảnh châu Á (P7)</w:t>
      </w:r>
    </w:p>
    <w:bookmarkStart w:id="213"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13"/>
    <w:bookmarkStart w:id="214"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không hình thành</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tbl>
      <w:tblPr>
        <w:tblStyle w:val="FigureTable"/>
        <w:tblW w:type="auto" w:w="0"/>
        <w:tblLook w:firstRow="0" w:lastRow="0" w:firstColumn="0" w:lastColumn="0"/>
        <w:jc w:val="center"/>
      </w:tblPr>
      <w:tblGrid>
        <w:gridCol w:w="7920"/>
      </w:tblGrid>
      <w:tr>
        <w:tc>
          <w:tcPr/>
          <w:p>
            <w:pPr>
              <w:pStyle w:val="Compact"/>
              <w:jc w:val="center"/>
            </w:pPr>
            <w:r>
              <w:t xml:space="preserve">Hình 4.8. Họ đường cong quốc tế hóa và hiệu quả phụ thuộc chế độ thể chế ICRV</w:t>
            </w:r>
          </w:p>
        </w:tc>
      </w:tr>
    </w:tbl>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214"/>
    <w:bookmarkStart w:id="215" w:name="điều-tiết-bởi-tci-và-dai-trong-toàn-mẫu"/>
    <w:p>
      <w:pPr>
        <w:pStyle w:val="Heading3"/>
      </w:pPr>
      <w:r>
        <w:t xml:space="preserve">4.6.3 Điều tiết bởi TCI và DAI trong toàn mẫu</w:t>
      </w:r>
    </w:p>
    <w:p>
      <w:pPr>
        <w:numPr>
          <w:ilvl w:val="0"/>
          <w:numId w:val="1013"/>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3"/>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Tầng 1 (hiện diện web), nơi công cụ số chưa đủ chiều sâu để uốn đường cong, trong khi hiệu ứng uốn mạnh ở Singapore gắn với năng lực số Tầng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15"/>
    <w:bookmarkStart w:id="216"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Đặc tả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(đặc tả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đặc tả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16"/>
    <w:bookmarkStart w:id="217"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Nói cách khác, điều tiết thể chế là điều tiết về sự tồn tại của dạng hàm, không phải điều tiết về vị trí của một điểm uốn phổ quát.</w:t>
      </w:r>
    </w:p>
    <w:bookmarkEnd w:id="217"/>
    <w:bookmarkStart w:id="218"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lại,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không hình thành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18"/>
    <w:bookmarkStart w:id="219"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chặt chẽ ở từng vùng dù được ước lượng trên các mẫu, công cụ khảo sát và đặc tả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mạnh rằng điểm uốn vùng giữa là một quy luật cấu trúc chứ không phải tạo tác của một mẫu đơn lẻ.</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19"/>
    <w:bookmarkStart w:id="220"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(FSTS×TCI, FSTS²×TCI, FSTS×DAI, FSTS²×DAI):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Tầng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20"/>
    <w:bookmarkEnd w:id="221"/>
    <w:bookmarkStart w:id="233" w:name="X42f69945b56833cca239d45dc5864a7be6f74d7"/>
    <w:p>
      <w:pPr>
        <w:pStyle w:val="Heading2"/>
      </w:pPr>
      <w:r>
        <w:t xml:space="preserve">4.7 Kết quả trường hợp biên SIDS: Các nền kinh tế đảo nhỏ đang phát triển (P8)</w:t>
      </w:r>
    </w:p>
    <w:bookmarkStart w:id="222"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22"/>
    <w:bookmarkStart w:id="226"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không hình thành</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đặc tả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không hình thành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24" name="Picture"/>
            <a:graphic>
              <a:graphicData uri="http://schemas.openxmlformats.org/drawingml/2006/picture">
                <pic:pic>
                  <pic:nvPicPr>
                    <pic:cNvPr descr="figures/fig_4_7_1_sids_inversion.png" id="225" name="Picture"/>
                    <pic:cNvPicPr>
                      <a:picLocks noChangeArrowheads="1" noChangeAspect="1"/>
                    </pic:cNvPicPr>
                  </pic:nvPicPr>
                  <pic:blipFill>
                    <a:blip r:embed="rId223"/>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không hình thành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chữ ký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không hình thành</w:t>
      </w:r>
      <w:r>
        <w:t xml:space="preserve">; độ cong dương có điều kiện chỉ là một dấu hiệu gợi ý ở mức biên ý nghĩa.</w:t>
      </w:r>
    </w:p>
    <w:bookmarkEnd w:id="226"/>
    <w:bookmarkStart w:id="227"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27"/>
    <w:bookmarkStart w:id="228"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28"/>
    <w:bookmarkStart w:id="229"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29"/>
    <w:bookmarkStart w:id="230"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chữ ký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30"/>
    <w:bookmarkStart w:id="231" w:name="X1c195754a95259c712ac576e38ee1c5da4f052c"/>
    <w:p>
      <w:pPr>
        <w:pStyle w:val="Heading3"/>
      </w:pPr>
      <w:r>
        <w:t xml:space="preserve">4.7.7 Mô thức dấu của hệ số FIP qua các đặc tả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đặc tả,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đặc tả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31"/>
    <w:bookmarkStart w:id="232"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đặc tả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32"/>
    <w:bookmarkEnd w:id="233"/>
    <w:bookmarkStart w:id="242"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không hình thành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Tầng 1 (trang web) chung cho cả ba đợt, WBES BREADY cung cấp thêm chỉ báo Tầng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Tầng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Tầng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34"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Tầng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Tầng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34"/>
    <w:bookmarkStart w:id="235" w:name="X69aa24b46cd6147ff623b8d98152029170b54c6"/>
    <w:p>
      <w:pPr>
        <w:pStyle w:val="Heading3"/>
      </w:pPr>
      <w:r>
        <w:t xml:space="preserve">4.8.2 Đặc tả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wave</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wave</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wave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wave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Đặc tả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35"/>
    <w:bookmarkStart w:id="236"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đặc tả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Tầng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Tầng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36"/>
    <w:bookmarkStart w:id="237"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đặc tả là tuyến tính thay vì bậc hai.</w:t>
      </w:r>
    </w:p>
    <w:p>
      <w:pPr>
        <w:pStyle w:val="BodyText"/>
      </w:pPr>
      <w:r>
        <w:t xml:space="preserve">Kết quả xác nhận ba mệnh đề. Thứ nhất, mức độ quốc tế hóa tác động âm lên hiệu quả ở đặc tả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37"/>
    <w:bookmarkStart w:id="238"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38"/>
    <w:bookmarkStart w:id="239"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không hình thành vào 2025; đặc tả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sty m:val="p"/>
          </m:rPr>
          <m:t>w</m:t>
        </m:r>
        <m:r>
          <m:rPr>
            <m:sty m:val="p"/>
          </m:rPr>
          <m:t>a</m:t>
        </m:r>
        <m:r>
          <m:rPr>
            <m:sty m:val="p"/>
          </m:rPr>
          <m:t>v</m:t>
        </m:r>
        <m:r>
          <m:rPr>
            <m:sty m:val="p"/>
          </m:rPr>
          <m:t>e</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39"/>
    <w:bookmarkStart w:id="240"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không hình thành.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đặc tả (R1, R2, R3b, R4) xác nhận mô thức định tính chữ U ngược hiện diện 2014–2022 rồi biến mất 2025; đặc tả thứ năm (R3a) xác nhận hiện diện 2022 và biến mất 2025.</w:t>
      </w:r>
    </w:p>
    <w:bookmarkEnd w:id="240"/>
    <w:bookmarkStart w:id="241"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đặc tả chính. Đối với tương tác UPI Tầng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(Tầng 2 lấn át Tầng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41"/>
    <w:bookmarkEnd w:id="242"/>
    <w:bookmarkStart w:id="246"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43"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đặc tả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đặc tả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đặc tả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đặc tả số hạng bậc hai vô nghĩa. Riêng đặc tả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bức tranh ba vùng của phổ thể chế: chữ U ngược ở các chế độ chuyển đổi, gần tuyến tính ở biên trên, không hình thành ở biên dưới.</w:t>
      </w:r>
    </w:p>
    <w:bookmarkEnd w:id="243"/>
    <w:bookmarkStart w:id="244"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Tầng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44"/>
    <w:bookmarkStart w:id="245"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45"/>
    <w:bookmarkEnd w:id="246"/>
    <w:bookmarkStart w:id="247"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Tầng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47"/>
    <w:bookmarkStart w:id="248"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biến công cụ)</w:t>
            </w:r>
          </w:p>
        </w:tc>
        <w:tc>
          <w:tcPr/>
          <w:p>
            <w:pPr>
              <w:pStyle w:val="Compact"/>
              <w:jc w:val="left"/>
            </w:pPr>
            <w:r>
              <w:t xml:space="preserve">không có ý nghĩa (Tầng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(châu Á)</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không hình thành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Tầng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đặc tả).</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không hình thành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không có ý nghĩa tại Việt Nam (Tầng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không hình thành tại SIDS; FIP là trường hợp giới hạn</w:t>
            </w:r>
          </w:p>
        </w:tc>
        <w:tc>
          <w:tcPr/>
          <w:p>
            <w:pPr>
              <w:pStyle w:val="Compact"/>
              <w:jc w:val="left"/>
            </w:pPr>
            <w:r>
              <w:t xml:space="preserve">Ủng hộ theo hướng không hình thành: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Tầng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48"/>
    <w:bookmarkStart w:id="249"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thị trường mới nổi: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49"/>
    <w:bookmarkStart w:id="250" w:name="chương-5-kết-luận-và-đề-xuất"/>
    <w:p>
      <w:pPr>
        <w:pStyle w:val="Heading1"/>
      </w:pPr>
      <w:r>
        <w:t xml:space="preserve">CHƯƠNG 5: KẾT LUẬN VÀ ĐỀ XUẤT</w:t>
      </w:r>
    </w:p>
    <w:bookmarkEnd w:id="250"/>
    <w:p>
      <w:r>
        <w:pict>
          <v:rect style="width:0;height:1.5pt" o:hralign="center" o:hrstd="t" o:hr="t"/>
        </w:pict>
      </w:r>
    </w:p>
    <w:bookmarkStart w:id="251"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51"/>
    <w:bookmarkStart w:id="259" w:name="Xff8cef3ed320f9cf6f3fba4ff558bfed3af19c6"/>
    <w:p>
      <w:pPr>
        <w:pStyle w:val="Heading2"/>
      </w:pPr>
      <w:r>
        <w:t xml:space="preserve">5.1 Bàn luận kết quả theo khung lý thuyết CDCM</w:t>
      </w:r>
    </w:p>
    <w:bookmarkStart w:id="25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chế độ con ICRV, xác định điều kiện biên cho quan hệ quốc tế hóa và hiệu quả.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52"/>
    <w:bookmarkStart w:id="25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53"/>
    <w:bookmarkStart w:id="25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54"/>
    <w:bookmarkStart w:id="25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5"/>
    <w:bookmarkStart w:id="25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không hình thành</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không hình thành này, tức chiều hướng mà quan hệ nghiêng về khi quốc tế hóa cưỡng bức chi phối hoàn toàn, chứ không phải một quan hệ âm đơn điệu đã được ước lượng vững. Dù theo hướng giới hạn hay theo bằng chứng không hình thành,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56"/>
    <w:bookmarkStart w:id="25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57"/>
    <w:bookmarkStart w:id="258" w:name="X98570a5e943ef7fb5eddfa30e198bcfbf226aa1"/>
    <w:p>
      <w:pPr>
        <w:pStyle w:val="Heading3"/>
      </w:pPr>
      <w:r>
        <w:t xml:space="preserve">5.1.7 Tích hợp ba vùng của phổ thể chế: từ chữ U ngược đến không hình thành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không hình thành (P7). Tại Nhóm VI là các nền kinh tế đảo nhỏ, phát hiện vững là dạng chữ U ngược</w:t>
      </w:r>
      <w:r>
        <w:t xml:space="preserve"> </w:t>
      </w:r>
      <w:r>
        <w:rPr>
          <w:bCs/>
          <w:b/>
        </w:rPr>
        <w:t xml:space="preserve">không hình thành</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(H1a), chứ không qua độ cong cường độ trong nhóm doanh nghiệp đã xuất khẩu (H1b);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58"/>
    <w:bookmarkEnd w:id="259"/>
    <w:bookmarkStart w:id="267" w:name="so-sánh-với-nghiên-cứu-trước-đây"/>
    <w:p>
      <w:pPr>
        <w:pStyle w:val="Heading2"/>
      </w:pPr>
      <w:r>
        <w:t xml:space="preserve">5.2 So sánh với nghiên cứu trước đây</w:t>
      </w:r>
    </w:p>
    <w:bookmarkStart w:id="26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60"/>
    <w:bookmarkStart w:id="26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không hình thành</w:t>
      </w:r>
      <w:r>
        <w:t xml:space="preserve"> </w:t>
      </w:r>
      <w:r>
        <w:t xml:space="preserve">(không còn độ cong hay độ dốc có ý nghĩa) thay vì tuân theo đường cong chữ S hay chữ U ngược; FIP được nêu như trường hợp giới hạn lý thuyết của sự không hình thành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61"/>
    <w:bookmarkStart w:id="26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62"/>
    <w:bookmarkStart w:id="26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không hình thành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263"/>
    <w:bookmarkStart w:id="26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chế độ thể chế ICRV là biến điều tiết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64"/>
    <w:bookmarkStart w:id="26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65"/>
    <w:bookmarkStart w:id="26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66"/>
    <w:bookmarkEnd w:id="267"/>
    <w:bookmarkStart w:id="276" w:name="đóng-góp-lý-thuyết-1"/>
    <w:p>
      <w:pPr>
        <w:pStyle w:val="Heading2"/>
      </w:pPr>
      <w:r>
        <w:t xml:space="preserve">5.3 Đóng góp lý thuyết</w:t>
      </w:r>
    </w:p>
    <w:bookmarkStart w:id="26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68"/>
    <w:bookmarkStart w:id="26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+0,26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không hình thành,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69"/>
    <w:bookmarkStart w:id="27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70"/>
    <w:bookmarkStart w:id="27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không hình thành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71"/>
    <w:bookmarkStart w:id="27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72"/>
    <w:bookmarkStart w:id="27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không hình thành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không hình thành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73"/>
    <w:bookmarkStart w:id="27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74"/>
    <w:bookmarkStart w:id="27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75"/>
    <w:bookmarkEnd w:id="276"/>
    <w:bookmarkStart w:id="28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7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77"/>
    <w:bookmarkStart w:id="27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4"/>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4"/>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4"/>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4"/>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78"/>
    <w:bookmarkStart w:id="27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79"/>
    <w:bookmarkStart w:id="28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80"/>
    <w:bookmarkStart w:id="28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không hình thành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281"/>
    <w:bookmarkStart w:id="28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không hình thành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282"/>
    <w:bookmarkStart w:id="28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83"/>
    <w:bookmarkStart w:id="28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84"/>
    <w:bookmarkEnd w:id="285"/>
    <w:bookmarkStart w:id="295" w:name="hạn-chế-và-hướng-nghiên-cứu-tương-lai"/>
    <w:p>
      <w:pPr>
        <w:pStyle w:val="Heading2"/>
      </w:pPr>
      <w:r>
        <w:t xml:space="preserve">5.5 Hạn chế và hướng nghiên cứu tương lai</w:t>
      </w:r>
    </w:p>
    <w:bookmarkStart w:id="28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286"/>
    <w:bookmarkStart w:id="28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87"/>
    <w:bookmarkStart w:id="28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288"/>
    <w:bookmarkStart w:id="28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289"/>
    <w:bookmarkStart w:id="29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290"/>
    <w:bookmarkStart w:id="29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291"/>
    <w:bookmarkStart w:id="29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292"/>
    <w:bookmarkStart w:id="29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293"/>
    <w:bookmarkStart w:id="29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294"/>
    <w:bookmarkEnd w:id="295"/>
    <w:bookmarkStart w:id="300" w:name="kết-luận"/>
    <w:p>
      <w:pPr>
        <w:pStyle w:val="Heading2"/>
      </w:pPr>
      <w:r>
        <w:t xml:space="preserve">5.6 Kết luận</w:t>
      </w:r>
    </w:p>
    <w:bookmarkStart w:id="29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5"/>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5"/>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5"/>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5"/>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5"/>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5"/>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5"/>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không hình thành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5"/>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không hình thành</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5"/>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15"/>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5"/>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296"/>
    <w:bookmarkStart w:id="29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không hình thành ở biên dưới nơi thể chế yếu nhất; nghĩa là thể chế càng mạnh, doanh nghiệp càng duy trì lợi ích từ quốc tế hóa đến mức cường độ cao hơn trước khi đạt đỉnh.</w:t>
      </w:r>
    </w:p>
    <w:bookmarkEnd w:id="297"/>
    <w:bookmarkStart w:id="29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298"/>
    <w:bookmarkStart w:id="29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299"/>
    <w:bookmarkEnd w:id="300"/>
    <w:bookmarkStart w:id="301"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et al. (2025) JBR: hiện chưa verify được volume/pages — cần kiểm tra Crossref hoặc loại bỏ.</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01"/>
    <w:bookmarkStart w:id="312"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02"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02"/>
    <w:bookmarkStart w:id="303"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03"/>
    <w:bookmarkStart w:id="304"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04"/>
    <w:bookmarkStart w:id="305"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16"/>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6"/>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6"/>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6"/>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05"/>
    <w:bookmarkStart w:id="306"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17"/>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17"/>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06"/>
    <w:bookmarkStart w:id="307"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07"/>
    <w:bookmarkStart w:id="308"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08"/>
    <w:bookmarkStart w:id="309"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09"/>
    <w:bookmarkStart w:id="310"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310"/>
    <w:bookmarkStart w:id="311"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18"/>
        </w:numPr>
        <w:pStyle w:val="Compact"/>
      </w:pPr>
      <w:r>
        <w:rPr>
          <w:rStyle w:val="VerbatimChar"/>
        </w:rPr>
        <w:t xml:space="preserve">scripts/build_pooled_dataset.py</w:t>
      </w:r>
    </w:p>
    <w:p>
      <w:pPr>
        <w:numPr>
          <w:ilvl w:val="0"/>
          <w:numId w:val="1018"/>
        </w:numPr>
        <w:pStyle w:val="Compact"/>
      </w:pPr>
      <w:r>
        <w:rPr>
          <w:rStyle w:val="VerbatimChar"/>
        </w:rPr>
        <w:t xml:space="preserve">scripts/wbes_canon.py</w:t>
      </w:r>
    </w:p>
    <w:p>
      <w:pPr>
        <w:numPr>
          <w:ilvl w:val="0"/>
          <w:numId w:val="1018"/>
        </w:numPr>
        <w:pStyle w:val="Compact"/>
      </w:pPr>
      <w:r>
        <w:rPr>
          <w:rStyle w:val="VerbatimChar"/>
        </w:rPr>
        <w:t xml:space="preserve">scripts/cd1_descriptives_pipeline.py</w:t>
      </w:r>
    </w:p>
    <w:p>
      <w:pPr>
        <w:numPr>
          <w:ilvl w:val="0"/>
          <w:numId w:val="1018"/>
        </w:numPr>
        <w:pStyle w:val="Compact"/>
      </w:pPr>
      <w:r>
        <w:rPr>
          <w:rStyle w:val="VerbatimChar"/>
        </w:rPr>
        <w:t xml:space="preserve">data_wbes/analysis/pooled_dataflow.csv</w:t>
      </w:r>
    </w:p>
    <w:p>
      <w:pPr>
        <w:numPr>
          <w:ilvl w:val="0"/>
          <w:numId w:val="1018"/>
        </w:numPr>
        <w:pStyle w:val="Compact"/>
      </w:pPr>
      <w:r>
        <w:rPr>
          <w:rStyle w:val="VerbatimChar"/>
        </w:rPr>
        <w:t xml:space="preserve">DATA_UPDATE_MANIFEST.md</w:t>
      </w:r>
    </w:p>
    <w:p>
      <w:pPr>
        <w:numPr>
          <w:ilvl w:val="0"/>
          <w:numId w:val="1018"/>
        </w:numPr>
        <w:pStyle w:val="Compact"/>
      </w:pPr>
      <w:r>
        <w:rPr>
          <w:rStyle w:val="VerbatimChar"/>
        </w:rPr>
        <w:t xml:space="preserve">CANONICAL_RECONCILIATION.md</w:t>
      </w:r>
    </w:p>
    <w:p>
      <w:r>
        <w:br w:type="page"/>
      </w:r>
    </w:p>
    <w:bookmarkEnd w:id="311"/>
    <w:bookmarkEnd w:id="31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49" Target="media/rId149.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223" Target="media/rId223.png" /><Relationship Type="http://schemas.openxmlformats.org/officeDocument/2006/relationships/image" Id="rId166" Target="media/rId1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2026-06-20T06:19:03Z</dcterms:created>
  <dcterms:modified xsi:type="dcterms:W3CDTF">2026-06-20T06:19:03Z</dcterms:modified>
</cp:coreProperties>
</file>

<file path=docProps/custom.xml><?xml version="1.0" encoding="utf-8"?>
<Properties xmlns="http://schemas.openxmlformats.org/officeDocument/2006/custom-properties" xmlns:vt="http://schemas.openxmlformats.org/officeDocument/2006/docPropsVTypes"/>
</file>