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rPr>
          <w:bCs/>
          <w:b/>
        </w:rPr>
        <w:t xml:space="preserve">Originality/value:</w:t>
      </w:r>
      <w:r>
        <w:t xml:space="preserve"> </w:t>
      </w:r>
      <w:r>
        <w:t xml:space="preserve">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8"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broadens across the firm population (though still only about half of firms by 2023), c22b may function increasingly as an organisational hygiene marker rather than a differentiating signal; with adoption only near half, this reading remains tentative.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drawing>
          <wp:inline>
            <wp:extent cx="5334000" cy="2930266"/>
            <wp:effectExtent b="0" l="0" r="0" t="0"/>
            <wp:docPr descr="Figure 1: Conceptual model" title="" id="26" name="Picture"/>
            <a:graphic>
              <a:graphicData uri="http://schemas.openxmlformats.org/drawingml/2006/picture">
                <pic:pic>
                  <pic:nvPicPr>
                    <pic:cNvPr descr="figures/figure_1_conceptual_model.png" id="27" name="Picture"/>
                    <pic:cNvPicPr>
                      <a:picLocks noChangeArrowheads="1" noChangeAspect="1"/>
                    </pic:cNvPicPr>
                  </pic:nvPicPr>
                  <pic:blipFill>
                    <a:blip r:embed="rId25"/>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Xfd2f05febb90fd7f58b14547dd9b33901f267a5"/>
    <w:p>
      <w:pPr>
        <w:pStyle w:val="Heading2"/>
      </w:pPr>
      <w:r>
        <w:t xml:space="preserve">3. Data, variables, and empirical strategy</w:t>
      </w:r>
    </w:p>
    <w:bookmarkStart w:id="30"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roughly half of firms.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drawing>
          <wp:inline>
            <wp:extent cx="5334000" cy="3555999"/>
            <wp:effectExtent b="0" l="0" r="0" t="0"/>
            <wp:docPr descr="Figure 2: Predicted ln(labour productivity) versus FSTS, by wave and pooled" title="" id="38" name="Picture"/>
            <a:graphic>
              <a:graphicData uri="http://schemas.openxmlformats.org/drawingml/2006/picture">
                <pic:pic>
                  <pic:nvPicPr>
                    <pic:cNvPr descr="figures/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partial Tier-1 proxy obsolescence as website ownership broadens toward roughly half the firm population.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106"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55">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6">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7">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8">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9">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0">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1">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2">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3">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64">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65">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6">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7">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8">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9">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0">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1">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2">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3">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74">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75">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6">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7">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8">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9">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0">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1">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2">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3">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84">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85">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6">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7">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8">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9">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0">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1">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2">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93">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94">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95">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6">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7">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8">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9">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0">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02">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03">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04">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05">
        <w:r>
          <w:rPr>
            <w:rStyle w:val="Hyperlink"/>
          </w:rPr>
          <w:t xml:space="preserve">https://doi.org/10.1016/j.jwb.2015.09.001</w:t>
        </w:r>
      </w:hyperlink>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2026-06-10T06:10:47Z</dcterms:created>
  <dcterms:modified xsi:type="dcterms:W3CDTF">2026-06-10T06:10:47Z</dcterms:modified>
</cp:coreProperties>
</file>

<file path=docProps/custom.xml><?xml version="1.0" encoding="utf-8"?>
<Properties xmlns="http://schemas.openxmlformats.org/officeDocument/2006/custom-properties" xmlns:vt="http://schemas.openxmlformats.org/officeDocument/2006/docPropsVTypes"/>
</file>