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 to 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49.4 %)</w:t>
      </w:r>
      <w:r>
        <w:t xml:space="preserve"> </w:t>
      </w:r>
      <w:r>
        <w:t xml:space="preserve">and 2024 (turning point 47.2 %) waves, with overlapping 95 %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 = +0.82, p = .412; FSTS²</w:t>
      </w:r>
      <w:r>
        <w:t xml:space="preserve"> </w:t>
      </w:r>
      <w:r>
        <w:t xml:space="preserve">z = −0.61, p = 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 = 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48 % export intensity regardless of decade.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 2 develops</w:t>
      </w:r>
      <w:r>
        <w:t xml:space="preserve"> </w:t>
      </w:r>
      <w:r>
        <w:t xml:space="preserve">the theoretical framework and hypotheses. Section 3 describes data,</w:t>
      </w:r>
      <w:r>
        <w:t xml:space="preserve"> </w:t>
      </w:r>
      <w:r>
        <w:t xml:space="preserve">variables, and methods. Section 4 presents results. Section 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theory-and-hypotheses"/>
    <w:p>
      <w:pPr>
        <w:pStyle w:val="Heading2"/>
      </w:pPr>
      <w:r>
        <w:t xml:space="preserve">2. Theory and Hypotheses</w:t>
      </w:r>
    </w:p>
    <w:bookmarkStart w:id="23" w:name="X80f1b9a6838da6506200db77e2279c8969787f1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40–60 %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temporal-stability-of-the-ip-curvature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</w:t>
      </w:r>
      <w:r>
        <w:t xml:space="preserve"> </w:t>
      </w:r>
      <w:r>
        <w:t xml:space="preserve">“</w:t>
      </w:r>
      <w:r>
        <w:t xml:space="preserve">wave-specific</w:t>
      </w:r>
      <w:r>
        <w:t xml:space="preserve">”</w:t>
      </w:r>
      <w:r>
        <w:t xml:space="preserve"> </w:t>
      </w:r>
      <w:r>
        <w:t xml:space="preserve">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China’s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China’s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technological-capability-as-a-moderator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Section 4.5.</w:t>
      </w:r>
    </w:p>
    <w:bookmarkEnd w:id="25"/>
    <w:bookmarkEnd w:id="26"/>
    <w:bookmarkStart w:id="30" w:name="data-and-methods"/>
    <w:p>
      <w:pPr>
        <w:pStyle w:val="Heading2"/>
      </w:pPr>
      <w:r>
        <w:t xml:space="preserve">3. Data and Methods</w:t>
      </w:r>
    </w:p>
    <w:bookmarkStart w:id="27" w:name="data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Section 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 1, Table 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(49.4 % in 2012, 47.2 % in 2024, 48.8 %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(88.6 %).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(47.2 %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measures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10 %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estimation-strategy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1985). The two WBES China waves are independent, repeated</w:t>
      </w:r>
      <w:r>
        <w:t xml:space="preserve"> </w:t>
      </w:r>
      <w:r>
        <w:t xml:space="preserve">cross-sections rather than a matched firm-level panel: WBES</w:t>
      </w:r>
      <w:r>
        <w:t xml:space="preserve"> </w:t>
      </w:r>
      <w:r>
        <w:t xml:space="preserve">anonymisation precludes linking individual firms across the 2012 and</w:t>
      </w:r>
      <w:r>
        <w:t xml:space="preserve"> </w:t>
      </w:r>
      <w:r>
        <w:t xml:space="preserve">2024 waves (see Section 5.4). The pooled specification therefore stacks the two</w:t>
      </w:r>
      <w:r>
        <w:t xml:space="preserve"> </w:t>
      </w:r>
      <w:r>
        <w:t xml:space="preserve">cross-sections and reports HC1-robust standard errors; cross-wave</w:t>
      </w:r>
      <w:r>
        <w:t xml:space="preserve"> </w:t>
      </w:r>
      <w:r>
        <w:t xml:space="preserve">comparisons rest on the Paternoster coefficient-equality tests rather</w:t>
      </w:r>
      <w:r>
        <w:t xml:space="preserve"> </w:t>
      </w:r>
      <w:r>
        <w:t xml:space="preserve">than on within-firm variation. The main specification (M2) includes</w:t>
      </w:r>
      <w:r>
        <w:t xml:space="preserve"> </w:t>
      </w:r>
      <w:r>
        <w:t xml:space="preserve">FSTS, FSTS², 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95 %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results"/>
    <w:p>
      <w:pPr>
        <w:pStyle w:val="Heading2"/>
      </w:pPr>
      <w:r>
        <w:t xml:space="preserve">4. Results</w:t>
      </w:r>
    </w:p>
    <w:bookmarkStart w:id="31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5.2 %, with 19.4 %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3.6 %, with 12.4 %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(63 %) and 1,920 firms in</w:t>
      </w:r>
      <w:r>
        <w:t xml:space="preserve"> </w:t>
      </w:r>
      <w:r>
        <w:t xml:space="preserve">2024 (99 %),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1875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main-threshold-results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49.4 % (95 % CI: 43.1–55.7 %) in 2012 and</w:t>
      </w:r>
      <w:r>
        <w:t xml:space="preserve"> </w:t>
      </w:r>
      <w:r>
        <w:t xml:space="preserve">47.2 % (95 % CI: 40.8–53.6 %)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China’s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48.8 % (95 % CI:</w:t>
      </w:r>
      <w:r>
        <w:t xml:space="preserve"> </w:t>
      </w:r>
      <w:r>
        <w:t xml:space="preserve">44.2–53.4 %).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1958"/>
        <w:gridCol w:w="1958"/>
        <w:gridCol w:w="19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95 %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Delta-method 95 % confidence intervals for the</w:t>
      </w:r>
      <w:r>
        <w:t xml:space="preserve"> </w:t>
      </w:r>
      <w:r>
        <w:t xml:space="preserve">turning-point estimates in 2012 (49.4 %) and 2024 (47.2 %).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predicted-ip-curves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95 % pointwise CIs.</w:t>
      </w:r>
    </w:p>
    <w:bookmarkEnd w:id="33"/>
    <w:bookmarkStart w:id="34" w:name="capability-moderation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01"/>
        <w:gridCol w:w="1508"/>
        <w:gridCol w:w="754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95 %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mechanism-analysis-digital-adoption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to lnLP relationship via a sequential</w:t>
      </w:r>
      <w:r>
        <w:t xml:space="preserve"> </w:t>
      </w:r>
      <w:r>
        <w:t xml:space="preserve">mediation path (TCI_full to DAI_core to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95 % CI [0.004, 0.039]; 2024: +0.022, 95 %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</w:t>
      </w:r>
      <w:r>
        <w:t xml:space="preserve"> </w:t>
      </w:r>
      <w:r>
        <w:t xml:space="preserve">“</w:t>
      </w:r>
      <w:r>
        <w:t xml:space="preserve">descriptive mechanism sketch</w:t>
      </w:r>
      <w:r>
        <w:t xml:space="preserve">”</w:t>
      </w:r>
      <w:r>
        <w:t xml:space="preserve"> </w:t>
      </w:r>
      <w:r>
        <w:t xml:space="preserve">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robustness-checks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48.1 % (2012) and 46.4 %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47.9 % in 2012 and 45.7 %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44.8 % to 51.3 %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discussion"/>
    <w:p>
      <w:pPr>
        <w:pStyle w:val="Heading2"/>
      </w:pPr>
      <w:r>
        <w:t xml:space="preserve">5. Discussion</w:t>
      </w:r>
    </w:p>
    <w:bookmarkStart w:id="38" w:name="temporal-stability-of-the-ip-threshold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49.4 % (2012)</w:t>
      </w:r>
      <w:r>
        <w:t xml:space="preserve"> </w:t>
      </w:r>
      <w:r>
        <w:t xml:space="preserve">and 47.2 % (2024) are statistically indistinguishable by the Paternoster</w:t>
      </w:r>
      <w:r>
        <w:t xml:space="preserve"> </w:t>
      </w:r>
      <w:r>
        <w:t xml:space="preserve">test, and the pooled estimate (48.8 %)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 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48 %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433fb1e034c39d563b08fc3391a6162a4e2331e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</w:t>
      </w:r>
      <w:r>
        <w:t xml:space="preserve"> </w:t>
      </w:r>
      <w:r>
        <w:t xml:space="preserve">“</w:t>
      </w:r>
      <w:r>
        <w:t xml:space="preserve">level-shifter</w:t>
      </w:r>
      <w:r>
        <w:t xml:space="preserve">”</w:t>
      </w:r>
      <w:r>
        <w:t xml:space="preserve">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 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 to 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digital-adoption-as-baseline-control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(Section 4.5) suggests a partial mediation</w:t>
      </w:r>
      <w:r>
        <w:t xml:space="preserve"> </w:t>
      </w:r>
      <w:r>
        <w:t xml:space="preserve">pathway (TCI to DAI to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Five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(Section 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 Fifth, the durability inference rests on a failure to reject cross-wave coefficient equality (the Paternoster tests are non-significant) rather than on a formal equivalence test; non-rejection does not by itself establish stability. The inference is nonetheless supported by the near-identical point estimates (turning points of 49.4 and 47.2 per cent; linear coefficients of 0.94 and 1.03 across the two waves) and the very small test statistics, which indicate genuine consistency rather than a borderline, underpowered non-rejection. A two-one-sided-tests equivalence procedure on future multi-wave data would place the durability claim on firmer inferential ground.</w:t>
      </w:r>
    </w:p>
    <w:bookmarkEnd w:id="41"/>
    <w:bookmarkStart w:id="42" w:name="future-research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(Authors,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(49.4 %</w:t>
      </w:r>
      <w:r>
        <w:t xml:space="preserve"> </w:t>
      </w:r>
      <w:r>
        <w:t xml:space="preserve">and 47.2 %)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r>
          <w:rPr>
            <w:rStyle w:val="Hyperlink"/>
          </w:rPr>
          <w:t xml:space="preserve">www.enterprisesurveys.org</w:t>
        </w:r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Authors. (2026). Details omitted for double-blind review.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Helpman, E., Melitz, M. J., and Yeaple, S. R. (2004). Export versus FDI</w:t>
      </w:r>
      <w:r>
        <w:t xml:space="preserve"> </w:t>
      </w:r>
      <w:r>
        <w:t xml:space="preserve">with heterogeneous firms.</w:t>
      </w:r>
      <w:r>
        <w:t xml:space="preserve"> </w:t>
      </w:r>
      <w:r>
        <w:rPr>
          <w:iCs/>
          <w:i/>
        </w:rPr>
        <w:t xml:space="preserve">American Economic Review, 94</w:t>
      </w:r>
      <w:r>
        <w:t xml:space="preserve">(1), 300–316.</w:t>
      </w:r>
      <w:r>
        <w:t xml:space="preserve"> </w:t>
      </w:r>
      <w:hyperlink r:id="rId54">
        <w:r>
          <w:rPr>
            <w:rStyle w:val="Hyperlink"/>
          </w:rPr>
          <w:t xml:space="preserve">https://doi.org/10.1257/000282804322970814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5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Johanson, J., and Vahlne, J.-E. (1977). The internationalization process</w:t>
      </w:r>
      <w:r>
        <w:t xml:space="preserve"> </w:t>
      </w:r>
      <w:r>
        <w:t xml:space="preserve">of the firm: A model of knowledge development and increasing foreign</w:t>
      </w:r>
      <w:r>
        <w:t xml:space="preserve"> </w:t>
      </w:r>
      <w:r>
        <w:t xml:space="preserve">market commitments.</w:t>
      </w:r>
      <w:r>
        <w:t xml:space="preserve"> </w:t>
      </w:r>
      <w:r>
        <w:rPr>
          <w:iCs/>
          <w:i/>
        </w:rPr>
        <w:t xml:space="preserve">Journal of International Business Studies, 8</w:t>
      </w:r>
      <w:r>
        <w:t xml:space="preserve">(1),</w:t>
      </w:r>
      <w:r>
        <w:t xml:space="preserve"> </w:t>
      </w:r>
      <w:r>
        <w:t xml:space="preserve">23–32.</w:t>
      </w:r>
      <w:r>
        <w:t xml:space="preserve"> </w:t>
      </w:r>
      <w:hyperlink r:id="rId56">
        <w:r>
          <w:rPr>
            <w:rStyle w:val="Hyperlink"/>
          </w:rPr>
          <w:t xml:space="preserve">https://doi.org/10.1057/palgrave.jibs.8490676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7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8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9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0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1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2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3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4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5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6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7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8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and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9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0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1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2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3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and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4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5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6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python/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results/</w:t>
      </w:r>
      <w:r>
        <w:rPr>
          <w:iCs/>
          <w:i/>
        </w:rPr>
        <w:t xml:space="preserve">, and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7"/>
    <w:bookmarkEnd w:id="78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1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2" Target="https://doi.org/10.1016/0304-4076(85)90158-7" TargetMode="External" /><Relationship Type="http://schemas.openxmlformats.org/officeDocument/2006/relationships/hyperlink" Id="rId59" Target="https://doi.org/10.1016/0305-750X(92)90097-F" TargetMode="External" /><Relationship Type="http://schemas.openxmlformats.org/officeDocument/2006/relationships/hyperlink" Id="rId76" Target="https://doi.org/10.1016/j.intman.2012.12.003" TargetMode="External" /><Relationship Type="http://schemas.openxmlformats.org/officeDocument/2006/relationships/hyperlink" Id="rId72" Target="https://doi.org/10.1016/j.jbusres.2019.09.022" TargetMode="External" /><Relationship Type="http://schemas.openxmlformats.org/officeDocument/2006/relationships/hyperlink" Id="rId66" Target="https://doi.org/10.1016/j.jinteco.2017.03.007" TargetMode="External" /><Relationship Type="http://schemas.openxmlformats.org/officeDocument/2006/relationships/hyperlink" Id="rId73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4" Target="https://doi.org/10.1016/j.lrp.2021.102110" TargetMode="External" /><Relationship Type="http://schemas.openxmlformats.org/officeDocument/2006/relationships/hyperlink" Id="rId65" Target="https://doi.org/10.1016/j.respol.2019.03.018" TargetMode="External" /><Relationship Type="http://schemas.openxmlformats.org/officeDocument/2006/relationships/hyperlink" Id="rId56" Target="https://doi.org/10.1057/palgrave.jibs.8490676" TargetMode="External" /><Relationship Type="http://schemas.openxmlformats.org/officeDocument/2006/relationships/hyperlink" Id="rId57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3" Target="https://doi.org/10.1093/restud/rds036" TargetMode="External" /><Relationship Type="http://schemas.openxmlformats.org/officeDocument/2006/relationships/hyperlink" Id="rId75" Target="https://doi.org/10.1111/j.1467-9701.2007.00872.x" TargetMode="External" /><Relationship Type="http://schemas.openxmlformats.org/officeDocument/2006/relationships/hyperlink" Id="rId60" Target="https://doi.org/10.1111/j.1468-0084.2009.00569.x" TargetMode="External" /><Relationship Type="http://schemas.openxmlformats.org/officeDocument/2006/relationships/hyperlink" Id="rId67" Target="https://doi.org/10.1111/j.1745-9125.1998.tb01268.x" TargetMode="External" /><Relationship Type="http://schemas.openxmlformats.org/officeDocument/2006/relationships/hyperlink" Id="rId58" Target="https://doi.org/10.1111/j.2042-5805.2012.01028.x" TargetMode="External" /><Relationship Type="http://schemas.openxmlformats.org/officeDocument/2006/relationships/hyperlink" Id="rId68" Target="https://doi.org/10.1177/0149206311410060" TargetMode="External" /><Relationship Type="http://schemas.openxmlformats.org/officeDocument/2006/relationships/hyperlink" Id="rId64" Target="https://doi.org/10.1177/0149206315624963" TargetMode="External" /><Relationship Type="http://schemas.openxmlformats.org/officeDocument/2006/relationships/hyperlink" Id="rId70" Target="https://doi.org/10.1177/0149206319846272" TargetMode="External" /><Relationship Type="http://schemas.openxmlformats.org/officeDocument/2006/relationships/hyperlink" Id="rId69" Target="https://doi.org/10.1177/1042258718795346" TargetMode="External" /><Relationship Type="http://schemas.openxmlformats.org/officeDocument/2006/relationships/hyperlink" Id="rId54" Target="https://doi.org/10.1257/000282804322970814" TargetMode="External" /><Relationship Type="http://schemas.openxmlformats.org/officeDocument/2006/relationships/hyperlink" Id="rId61" Target="https://doi.org/10.5465/20159604" TargetMode="External" /><Relationship Type="http://schemas.openxmlformats.org/officeDocument/2006/relationships/hyperlink" Id="rId55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1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2" Target="https://doi.org/10.1016/0304-4076(85)90158-7" TargetMode="External" /><Relationship Type="http://schemas.openxmlformats.org/officeDocument/2006/relationships/hyperlink" Id="rId59" Target="https://doi.org/10.1016/0305-750X(92)90097-F" TargetMode="External" /><Relationship Type="http://schemas.openxmlformats.org/officeDocument/2006/relationships/hyperlink" Id="rId76" Target="https://doi.org/10.1016/j.intman.2012.12.003" TargetMode="External" /><Relationship Type="http://schemas.openxmlformats.org/officeDocument/2006/relationships/hyperlink" Id="rId72" Target="https://doi.org/10.1016/j.jbusres.2019.09.022" TargetMode="External" /><Relationship Type="http://schemas.openxmlformats.org/officeDocument/2006/relationships/hyperlink" Id="rId66" Target="https://doi.org/10.1016/j.jinteco.2017.03.007" TargetMode="External" /><Relationship Type="http://schemas.openxmlformats.org/officeDocument/2006/relationships/hyperlink" Id="rId73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4" Target="https://doi.org/10.1016/j.lrp.2021.102110" TargetMode="External" /><Relationship Type="http://schemas.openxmlformats.org/officeDocument/2006/relationships/hyperlink" Id="rId65" Target="https://doi.org/10.1016/j.respol.2019.03.018" TargetMode="External" /><Relationship Type="http://schemas.openxmlformats.org/officeDocument/2006/relationships/hyperlink" Id="rId56" Target="https://doi.org/10.1057/palgrave.jibs.8490676" TargetMode="External" /><Relationship Type="http://schemas.openxmlformats.org/officeDocument/2006/relationships/hyperlink" Id="rId57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3" Target="https://doi.org/10.1093/restud/rds036" TargetMode="External" /><Relationship Type="http://schemas.openxmlformats.org/officeDocument/2006/relationships/hyperlink" Id="rId75" Target="https://doi.org/10.1111/j.1467-9701.2007.00872.x" TargetMode="External" /><Relationship Type="http://schemas.openxmlformats.org/officeDocument/2006/relationships/hyperlink" Id="rId60" Target="https://doi.org/10.1111/j.1468-0084.2009.00569.x" TargetMode="External" /><Relationship Type="http://schemas.openxmlformats.org/officeDocument/2006/relationships/hyperlink" Id="rId67" Target="https://doi.org/10.1111/j.1745-9125.1998.tb01268.x" TargetMode="External" /><Relationship Type="http://schemas.openxmlformats.org/officeDocument/2006/relationships/hyperlink" Id="rId58" Target="https://doi.org/10.1111/j.2042-5805.2012.01028.x" TargetMode="External" /><Relationship Type="http://schemas.openxmlformats.org/officeDocument/2006/relationships/hyperlink" Id="rId68" Target="https://doi.org/10.1177/0149206311410060" TargetMode="External" /><Relationship Type="http://schemas.openxmlformats.org/officeDocument/2006/relationships/hyperlink" Id="rId64" Target="https://doi.org/10.1177/0149206315624963" TargetMode="External" /><Relationship Type="http://schemas.openxmlformats.org/officeDocument/2006/relationships/hyperlink" Id="rId70" Target="https://doi.org/10.1177/0149206319846272" TargetMode="External" /><Relationship Type="http://schemas.openxmlformats.org/officeDocument/2006/relationships/hyperlink" Id="rId69" Target="https://doi.org/10.1177/1042258718795346" TargetMode="External" /><Relationship Type="http://schemas.openxmlformats.org/officeDocument/2006/relationships/hyperlink" Id="rId54" Target="https://doi.org/10.1257/000282804322970814" TargetMode="External" /><Relationship Type="http://schemas.openxmlformats.org/officeDocument/2006/relationships/hyperlink" Id="rId61" Target="https://doi.org/10.5465/20159604" TargetMode="External" /><Relationship Type="http://schemas.openxmlformats.org/officeDocument/2006/relationships/hyperlink" Id="rId55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2026-06-20T11:41:22Z</dcterms:created>
  <dcterms:modified xsi:type="dcterms:W3CDTF">2026-06-20T11:41:22Z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