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chuyên-đề-tiến-sĩ-số-2"/>
    <w:p>
      <w:pPr>
        <w:pStyle w:val="Heading1"/>
      </w:pPr>
      <w:r>
        <w:t xml:space="preserve">CHUYÊN ĐỀ TIẾN SĨ SỐ 2</w:t>
      </w:r>
    </w:p>
    <w:p>
      <w:pPr>
        <w:pStyle w:val="FirstParagraph"/>
      </w:pPr>
      <w:r>
        <w:t xml:space="preserve">BỘ GIÁO DỤC VÀ ĐÀO TẠO</w:t>
      </w:r>
    </w:p>
    <w:p>
      <w:pPr>
        <w:pStyle w:val="BodyText"/>
      </w:pPr>
      <w:r>
        <w:t xml:space="preserve">TRƯỜNG ĐẠI HỌC CẦN THƠ</w:t>
      </w:r>
    </w:p>
    <w:p>
      <w:pPr>
        <w:pStyle w:val="BodyText"/>
      </w:pPr>
      <w:r>
        <w:t xml:space="preserve">TRƯỜNG KINH TẾ</w:t>
      </w:r>
    </w:p>
    <w:p>
      <w:r>
        <w:pict>
          <v:rect style="width:0;height:1.5pt" o:hralign="center" o:hrstd="t" o:hr="t"/>
        </w:pict>
      </w:r>
    </w:p>
    <w:p>
      <w:pPr>
        <w:pStyle w:val="FirstParagraph"/>
      </w:pPr>
      <w:r>
        <w:t xml:space="preserve">ĐỖ THÙY HƯƠNG</w:t>
      </w:r>
    </w:p>
    <w:p>
      <w:pPr>
        <w:pStyle w:val="BodyText"/>
      </w:pPr>
      <w:r>
        <w:t xml:space="preserve">CHUYÊN ĐỀ TIẾN SĨ SỐ 2</w:t>
      </w:r>
    </w:p>
    <w:p>
      <w:pPr>
        <w:pStyle w:val="BodyText"/>
      </w:pPr>
      <w:r>
        <w:t xml:space="preserve">XÂY DỰNG MÔ HÌNH NGHIÊN CỨU VỀ ẢNH HƯỞNG CỦA QUỐC TẾ HÓA ĐẾN HIỆU QUẢ HOẠT ĐỘNG KINH DOANH CỦA CÁC DOANH NGHIỆP Ở CHÂU Á</w:t>
      </w:r>
    </w:p>
    <w:p>
      <w:pPr>
        <w:pStyle w:val="BodyText"/>
      </w:pPr>
      <w:r>
        <w:t xml:space="preserve">Ngành: Quản trị kinh doanh</w:t>
      </w:r>
    </w:p>
    <w:p>
      <w:pPr>
        <w:pStyle w:val="BodyText"/>
      </w:pPr>
      <w:r>
        <w:t xml:space="preserve">Mã ngành: 9340101</w:t>
      </w:r>
    </w:p>
    <w:p>
      <w:pPr>
        <w:pStyle w:val="BodyText"/>
      </w:pPr>
      <w:r>
        <w:t xml:space="preserve">Mã nghiên cứu sinh: P1323001</w:t>
      </w:r>
    </w:p>
    <w:p>
      <w:pPr>
        <w:pStyle w:val="BodyText"/>
      </w:pPr>
      <w:r>
        <w:t xml:space="preserve">NGƯỜI HƯỚNG DẪN KHOA HỌC</w:t>
      </w:r>
    </w:p>
    <w:p>
      <w:pPr>
        <w:pStyle w:val="BodyText"/>
      </w:pPr>
      <w:r>
        <w:t xml:space="preserve">PGS.TS. PHAN ANH TÚ</w:t>
      </w:r>
    </w:p>
    <w:p>
      <w:pPr>
        <w:pStyle w:val="BodyText"/>
      </w:pPr>
      <w:r>
        <w:t xml:space="preserve">Cần Thơ, năm 2026</w:t>
      </w:r>
    </w:p>
    <w:p>
      <w:r>
        <w:pict>
          <v:rect style="width:0;height:1.5pt" o:hralign="center" o:hrstd="t" o:hr="t"/>
        </w:pict>
      </w:r>
    </w:p>
    <w:bookmarkStart w:id="20" w:name="lời-cam-đoan"/>
    <w:p>
      <w:pPr>
        <w:pStyle w:val="Heading2"/>
      </w:pPr>
      <w:r>
        <w:t xml:space="preserve">LỜI CAM ĐOAN</w:t>
      </w:r>
    </w:p>
    <w:p>
      <w:pPr>
        <w:pStyle w:val="FirstParagraph"/>
      </w:pPr>
      <w:r>
        <w:t xml:space="preserve">Tôi xin cam đoan chuyên đề tiến sĩ số 2 với tiêu đề</w:t>
      </w:r>
      <w:r>
        <w:t xml:space="preserve"> </w:t>
      </w:r>
      <w:r>
        <w:t xml:space="preserve">“</w:t>
      </w:r>
      <w:r>
        <w:t xml:space="preserve">Xây dựng mô hình nghiên cứu về ảnh hưởng của quốc tế hóa đến hiệu quả hoạt động kinh doanh của các doanh nghiệp ở Châu Á</w:t>
      </w:r>
      <w:r>
        <w:t xml:space="preserve">”</w:t>
      </w:r>
      <w:r>
        <w:t xml:space="preserve"> </w:t>
      </w:r>
      <w:r>
        <w:t xml:space="preserve">là công trình nghiên cứu của riêng tôi dưới sự hướng dẫn khoa học của PGS.TS. Phan Anh Tú, Trường Đại học Cần Thơ. Các kết quả phân tích, mô hình, bảng biểu, hình vẽ trình bày trong chuyên đề đều trung thực và có nguồn gốc rõ ràng. Tài liệu tham khảo được trích dẫn theo chuẩn APA 7th. Những trích dẫn từ các nghiên cứu khác đều được nêu rõ trong danh mục tài liệu tham khảo. Tôi xin chịu trách nhiệm hoàn toàn về nội dung khoa học của chuyên đề này.</w:t>
      </w:r>
    </w:p>
    <w:p>
      <w:pPr>
        <w:pStyle w:val="BodyText"/>
      </w:pPr>
      <w:r>
        <w:rPr>
          <w:iCs/>
          <w:i/>
        </w:rPr>
        <w:t xml:space="preserve">Cần Thơ, ngày … tháng … năm 2026</w:t>
      </w:r>
    </w:p>
    <w:p>
      <w:pPr>
        <w:pStyle w:val="BodyText"/>
      </w:pPr>
      <w:r>
        <w:rPr>
          <w:iCs/>
          <w:i/>
        </w:rPr>
        <w:t xml:space="preserve">Nghiên cứu sinh</w:t>
      </w:r>
    </w:p>
    <w:p>
      <w:pPr>
        <w:pStyle w:val="BodyText"/>
      </w:pPr>
      <w:r>
        <w:t xml:space="preserve">Đỗ Thùy Hương</w:t>
      </w:r>
    </w:p>
    <w:p>
      <w:r>
        <w:pict>
          <v:rect style="width:0;height:1.5pt" o:hralign="center" o:hrstd="t" o:hr="t"/>
        </w:pict>
      </w:r>
    </w:p>
    <w:bookmarkEnd w:id="20"/>
    <w:bookmarkStart w:id="21" w:name="tóm-tắt"/>
    <w:p>
      <w:pPr>
        <w:pStyle w:val="Heading2"/>
      </w:pPr>
      <w:r>
        <w:t xml:space="preserve">TÓM TẮT</w:t>
      </w:r>
    </w:p>
    <w:p>
      <w:pPr>
        <w:pStyle w:val="FirstParagraph"/>
      </w:pPr>
      <w:r>
        <w:t xml:space="preserve">Chuyên đề này xây dựng mô hình nghiên cứu lý thuyết và thực nghiệm về ảnh hưởng của quốc tế hóa đến hiệu quả hoạt động kinh doanh của các doanh nghiệp ở các quốc gia châu Á trong giai đoạn 2009-2025. Khung lý thuyết tích hợp bốn tầng, Uppsala Model (Johanson &amp; Vahlne, 1977, 2009), Resource-Based View (Barney, 1991; Wernerfelt, 1984), Institutional Theory (North, 1990; Khanna &amp; Palepu, 2010; Peng, 2003) và Upper Echelons Theory (Hambrick &amp; Mason, 1984; Hambrick, 2007), kết hợp với Foundational Digital Adoption Framework (Banalieva &amp; Dhanaraj, 2019; Verhoef et al., 2021; Stallkamp &amp; Schotter, 2021) làm nền tảng lý thuyết. Bốn truyền thống này không vận hành song song mà hội tụ quanh một trục tổ chức duy nhất: chế độ thể chế ICRV hoạt động như một bộ lọc chi phí giao dịch (transaction cost filter) xác định một bản đồ địa hình xuất khẩu chiến lược (strategic export topography), trong đó RBV (TCI, DAI) là các tấm lá chắn cấp doanh nghiệp, Uppsala mô tả sự di chuyển dọc theo địa hình, còn Upper Echelons đi vào như biến kiểm soát nội sinh về chất lượng quản trị. Lược khảo năm dạng hàm quan hệ quốc tế hóa–hiệu quả (internationalization–performance — I–P) gồm tuyến tính, chữ U ngược, S-curve, M-curve, và chi phí buộc phải quốc tế hóa (forced penalty), cùng năm phân tích tổng hợp (meta-analysis) lớn giai đoạn 1980-2024, cho thấy khoảng trống thực nghiệm trong việc kiểm định đồng thời phi tuyến và tác động điều tiết đa tầng ở châu Á. Hệ giả thuyết H1-H6 được phát triển: H1 phi tuyến dạng chữ U ngược hoặc S-curve; H2 năng lực công nghệ (Technological Capability Index — TCI) điều tiết tích cực; H3a-H3b năng lực số (Digital Adoption Index — DAI) điều tiết phụ thuộc chế độ thể chế: có điều kiện ở nhóm đang nổi/cận biên (Emerging/Frontier) (H3a, dương trong OLS nhưng phụ thuộc bối cảnh và có thể null trong kiểm định nhân quả) và có điều kiện/null ở nhóm tiên tiến (Advanced) (H3b), phân biệt với TCI; H4 (kiểm soát quản trị nội sinh) đưa đặc điểm nhà quản trị (kinh nghiệm, học vấn, giới tính) vào như nhóm biến kiểm soát quản trị nội sinh, không phải biến điều tiết (moderator) trọng tâm, nhằm khóa chặt thiên lệch nội sinh phát sinh từ năng lực và sự đa dạng giới của nhà quản trị và bảo vệ tính nhân quả thuần khiết của tương tác Thể chế × Công nghệ; H5 thể chế nội địa điều tiết theo dải biến thiên (gradient) ICRV sáu nhóm; H6 tính không đồng nhất theo thời gian. Bốn biến điều tiết trọng tâm của khung là TCI (H2), DAI (H3), chế độ thể chế ICRV (H5), và thời gian (H6). Tám mô hình thực nghiệm M0-M7 được đặc tả, từ mức cơ sở (baseline) tuyến tính đến mô hình điều tiết ba chiều cấp luận án. Chiến lược nhận dạng đa tầng và kế hoạch kiểm định độ vững toàn diện được thiết kế cho nhóm dữ liệu (pool) 101.185 doanh nghiệp ở 47 nền kinh tế châu Á và Thái Bình Dương, bao gồm 108 cặp quốc gia-năm qua 14 mốc khảo sát WBES giai đoạn 2009-2025. Bốn đóng góp chính: (i) khung tích hợp 4 tầng kết hợp Foundational Digital Adoption Framework chưa có tương đương cho châu Á; (ii) tách bạch TCI và DAI theo Mô hình Áp dụng số và Năng lực phụ thuộc bối cảnh (CDCM); (iii) mô hình M7 điều tiết ba chiều; (iv) phân loại nhánh tiên tiến (Advanced) thành tiên tiến đổi mới sáng tạo dẫn dắt (ICRV Nhóm I) và tiên tiến tài nguyên dẫn dắt (ICRV Nhóm II). Ba phân tích quốc gia đồng hành trong chuỗi luận án, phân tích Việt Nam và Singapore, và phân tích Trung Quốc, cung cấp bằng chứng quốc gia cụ thể kiểm định H1-H6 và xác nhận tính khả nghiệm của mô hình đề xuất.</w:t>
      </w:r>
    </w:p>
    <w:p>
      <w:pPr>
        <w:pStyle w:val="BodyText"/>
      </w:pPr>
      <w:r>
        <w:t xml:space="preserve">Từ khóa: quốc tế hóa; hiệu quả hoạt động kinh doanh; châu Á; mô hình phi tuyến; điều tiết; áp dụng số; thể chế; Upper Echelons; ICRV.</w:t>
      </w:r>
    </w:p>
    <w:p>
      <w:r>
        <w:pict>
          <v:rect style="width:0;height:1.5pt" o:hralign="center" o:hrstd="t" o:hr="t"/>
        </w:pict>
      </w:r>
    </w:p>
    <w:bookmarkEnd w:id="21"/>
    <w:bookmarkStart w:id="22" w:name="abstract"/>
    <w:p>
      <w:pPr>
        <w:pStyle w:val="Heading2"/>
      </w:pPr>
      <w:r>
        <w:t xml:space="preserve">ABSTRACT</w:t>
      </w:r>
    </w:p>
    <w:p>
      <w:pPr>
        <w:pStyle w:val="FirstParagraph"/>
      </w:pPr>
      <w:r>
        <w:t xml:space="preserve">This specialty essay constructs a theoretical and empirical research model on the effect of internationalization on firm performance across Asian economies during 2009-2025. The integrated theoretical framework combines four layers, the Uppsala Model (Johanson &amp; Vahlne, 1977, 2009), the Resource-Based View (Barney, 1991; Wernerfelt, 1984), Institutional Theory (North, 1990; Khanna &amp; Palepu, 2010; Peng, 2003), and Upper Echelons Theory (Hambrick &amp; Mason, 1984; Hambrick, 2007), together with the Foundational Digital Adoption Framework (Banalieva &amp; Dhanaraj, 2019; Verhoef et al., 2021; Stallkamp &amp; Schotter, 2021). A review of five functional forms of the internationalization-performance (I-P) relationship, linear, inverted-U, S-curve, M-curve, and forced penalty, together with five major meta-analyses covering 1980-2024 reveals an empirical gap in the simultaneous testing of nonlinearity and multi-level moderation in Asia. Six hypotheses (H1-H6) are developed: H1 nonlinear inverted-U or S-curve relationship; H2 Technological Capability Index (TCI) positively moderating; H3a-H3b Digital Adoption Index (DAI) moderating contingent on institutional regime: conditional for Emerging/Frontier (H3a), positive under OLS but subject to selection bias (Vietnam analysis IV: β = 0.018, p =.942), conditional or null for Advanced (H3b), and distinguishable from TCI; H4 (endogenous governance control) enters top manager characteristics (experience, education, and gender) as a set of endogenous governance control variables rather than focal moderators, locking down the endogeneity bias arising from managerial capability and gender diversity in order to protect the causal purity of the Institution × Technology interaction; H5 home-country institutions moderating along the ICRV six-regime gradient; H6 temporal heterogeneity. The four focal moderators of the framework are TCI (H2), DAI (H3), the ICRV institutional regime (H5), and time (H6). Eight empirical models M0-M7 are specified, from linear baseline to three-way moderation. A multi-level identification strategy and comprehensive robustness plan are designed for a pool of 101,185 firms across 47 Asian and Pacific economies, spanning 108 country-year pairs across 14 WBES survey waves (2009-2025). The four main contributions are: (i) an integrated 4-tier framework combined with the Foundational Digital Adoption Framework with no equivalent for Asia; (ii) the separation of TCI and DAI within the Context-Contingent Digital-and-Capability Model (CDCM); (iii) the M7 three-way moderation model; (iv) sub-grouping of the Advanced regime into innovation-driven (ICRV Group I) and resource-driven (ICRV Group II) types. Three companion country analyses within the dissertation series, the Vietnam analysis, the Singapore analysis, and the China analysis, provide country-specific evidence testing H1-H6 and validating the proposed model structure.</w:t>
      </w:r>
    </w:p>
    <w:p>
      <w:pPr>
        <w:pStyle w:val="BodyText"/>
      </w:pPr>
      <w:r>
        <w:t xml:space="preserve">Keywords: internationalization; firm performance; Asia; nonlinear models; moderation; digital adoption; institutions; Upper Echelons; ICRV.</w:t>
      </w:r>
    </w:p>
    <w:p>
      <w:r>
        <w:pict>
          <v:rect style="width:0;height:1.5pt" o:hralign="center" o:hrstd="t" o:hr="t"/>
        </w:pict>
      </w:r>
    </w:p>
    <w:bookmarkEnd w:id="22"/>
    <w:bookmarkStart w:id="23" w:name="mục-lục"/>
    <w:p>
      <w:pPr>
        <w:pStyle w:val="Heading2"/>
      </w:pPr>
      <w:r>
        <w:t xml:space="preserve">MỤC LỤC</w:t>
      </w:r>
    </w:p>
    <w:p>
      <w:pPr>
        <w:pStyle w:val="FirstParagraph"/>
      </w:pPr>
      <w:r>
        <w:t xml:space="preserve">Phần 2, Nội dung chuyên đề</w:t>
      </w:r>
    </w:p>
    <w:p>
      <w:pPr>
        <w:pStyle w:val="BodyText"/>
      </w:pPr>
      <w:r>
        <w:t xml:space="preserve">2.1 Đặt vấn đề</w:t>
      </w:r>
      <w:r>
        <w:t xml:space="preserve"> </w:t>
      </w:r>
      <w:r>
        <w:t xml:space="preserve">2.1.1 Giới thiệu</w:t>
      </w:r>
      <w:r>
        <w:t xml:space="preserve"> </w:t>
      </w:r>
      <w:r>
        <w:t xml:space="preserve">2.1.2 Mục tiêu</w:t>
      </w:r>
      <w:r>
        <w:t xml:space="preserve"> </w:t>
      </w:r>
      <w:r>
        <w:t xml:space="preserve">2.1.3 Nội dung</w:t>
      </w:r>
      <w:r>
        <w:t xml:space="preserve"> </w:t>
      </w:r>
      <w:r>
        <w:t xml:space="preserve">2.1.4 Giới hạn của chuyên đề</w:t>
      </w:r>
      <w:r>
        <w:t xml:space="preserve"> </w:t>
      </w:r>
      <w:r>
        <w:t xml:space="preserve">2.1.5 Ý nghĩa</w:t>
      </w:r>
    </w:p>
    <w:p>
      <w:pPr>
        <w:pStyle w:val="BodyText"/>
      </w:pPr>
      <w:r>
        <w:t xml:space="preserve">2.2 Phương pháp nghiên cứu</w:t>
      </w:r>
    </w:p>
    <w:p>
      <w:pPr>
        <w:pStyle w:val="BodyText"/>
      </w:pPr>
      <w:r>
        <w:t xml:space="preserve">2.3 Kết quả và thảo luận</w:t>
      </w:r>
      <w:r>
        <w:t xml:space="preserve"> </w:t>
      </w:r>
      <w:r>
        <w:t xml:space="preserve">2.3.1 Tổng quan tài liệu về quan hệ quốc tế hóa và hiệu quả kinh doanh</w:t>
      </w:r>
      <w:r>
        <w:t xml:space="preserve"> </w:t>
      </w:r>
      <w:r>
        <w:t xml:space="preserve">2.3.2 Khung lý thuyết tích hợp 4 tầng</w:t>
      </w:r>
      <w:r>
        <w:t xml:space="preserve"> </w:t>
      </w:r>
      <w:r>
        <w:t xml:space="preserve">2.3.3 Khung khái niệm và mô hình nghiên cứu đề xuất</w:t>
      </w:r>
      <w:r>
        <w:t xml:space="preserve"> </w:t>
      </w:r>
      <w:r>
        <w:t xml:space="preserve">2.3.4 Hệ giả thuyết nghiên cứu (H1-H6)</w:t>
      </w:r>
      <w:r>
        <w:t xml:space="preserve"> </w:t>
      </w:r>
      <w:r>
        <w:t xml:space="preserve">2.3.5 Thiết kế mô hình thực nghiệm (M0-M7)</w:t>
      </w:r>
      <w:r>
        <w:t xml:space="preserve"> </w:t>
      </w:r>
      <w:r>
        <w:t xml:space="preserve">2.3.6 Dữ liệu và chiến lược nhận dạng nhân quả</w:t>
      </w:r>
      <w:r>
        <w:t xml:space="preserve"> </w:t>
      </w:r>
      <w:r>
        <w:t xml:space="preserve">2.3.7 Kế hoạch kiểm định độ vững</w:t>
      </w:r>
      <w:r>
        <w:t xml:space="preserve"> </w:t>
      </w:r>
      <w:r>
        <w:t xml:space="preserve">2.3.8 Thảo luận: đóng góp lý thuyết và thực tiễn</w:t>
      </w:r>
    </w:p>
    <w:p>
      <w:pPr>
        <w:pStyle w:val="BodyText"/>
      </w:pPr>
      <w:r>
        <w:t xml:space="preserve">2.4 Kết luận và đề xuất</w:t>
      </w:r>
      <w:r>
        <w:t xml:space="preserve"> </w:t>
      </w:r>
      <w:r>
        <w:t xml:space="preserve">2.4.1 Kết luận</w:t>
      </w:r>
      <w:r>
        <w:t xml:space="preserve"> </w:t>
      </w:r>
      <w:r>
        <w:t xml:space="preserve">2.4.2 Hàm ý quản trị: lộ trình chiến lược ba giai đoạn</w:t>
      </w:r>
      <w:r>
        <w:t xml:space="preserve"> </w:t>
      </w:r>
      <w:r>
        <w:t xml:space="preserve">2.4.3 Hạn chế nghiên cứu</w:t>
      </w:r>
      <w:r>
        <w:t xml:space="preserve"> </w:t>
      </w:r>
      <w:r>
        <w:t xml:space="preserve">2.4.4 Hướng nghiên cứu tiếp theo</w:t>
      </w:r>
    </w:p>
    <w:p>
      <w:pPr>
        <w:pStyle w:val="BodyText"/>
      </w:pPr>
      <w:r>
        <w:t xml:space="preserve">Tài liệu tham khảo</w:t>
      </w:r>
    </w:p>
    <w:p>
      <w:pPr>
        <w:pStyle w:val="BodyText"/>
      </w:pPr>
      <w:r>
        <w:t xml:space="preserve">Phụ lục</w:t>
      </w:r>
    </w:p>
    <w:p>
      <w:r>
        <w:pict>
          <v:rect style="width:0;height:1.5pt" o:hralign="center" o:hrstd="t" o:hr="t"/>
        </w:pict>
      </w:r>
    </w:p>
    <w:bookmarkEnd w:id="23"/>
    <w:bookmarkStart w:id="24" w:name="danh-mục-bảng"/>
    <w:p>
      <w:pPr>
        <w:pStyle w:val="Heading2"/>
      </w:pPr>
      <w:r>
        <w:t xml:space="preserve">DANH MỤC BẢNG</w:t>
      </w:r>
    </w:p>
    <w:p>
      <w:pPr>
        <w:pStyle w:val="FirstParagraph"/>
      </w:pPr>
      <w:r>
        <w:t xml:space="preserve">Bảng 2.1. Mỗi tầng lý thuyết, câu hỏi phụ, biến số, giả thuyết, bằng chứng neo đậu</w:t>
      </w:r>
    </w:p>
    <w:p>
      <w:pPr>
        <w:pStyle w:val="BodyText"/>
      </w:pPr>
      <w:r>
        <w:t xml:space="preserve">Bảng 2.2. Năm dạng hàm I-P, cơ chế, và bối cảnh xuất hiện</w:t>
      </w:r>
    </w:p>
    <w:p>
      <w:pPr>
        <w:pStyle w:val="BodyText"/>
      </w:pPr>
      <w:r>
        <w:t xml:space="preserve">Bảng 2.3. So sánh bằng chứng bốn phân tích quốc gia đồng hành</w:t>
      </w:r>
    </w:p>
    <w:p>
      <w:pPr>
        <w:pStyle w:val="BodyText"/>
      </w:pPr>
      <w:r>
        <w:t xml:space="preserve">Bảng 2.4. Mapping biến đầy đủ: khái niệm lý thuyết, biến WBES, kỳ vọng dấu, giả thuyết</w:t>
      </w:r>
    </w:p>
    <w:p>
      <w:pPr>
        <w:pStyle w:val="BodyText"/>
      </w:pPr>
      <w:r>
        <w:t xml:space="preserve">Bảng 2.5. Hệ giả thuyết H1-H6, tóm tắt cơ chế, biến, kỳ vọng, và bằng chứng neo đậu</w:t>
      </w:r>
    </w:p>
    <w:p>
      <w:pPr>
        <w:pStyle w:val="BodyText"/>
      </w:pPr>
      <w:r>
        <w:t xml:space="preserve">Bảng 2.6. CDCM, Dự đoán tác động DAI theo 3 chiều ngữ cảnh</w:t>
      </w:r>
    </w:p>
    <w:p>
      <w:pPr>
        <w:pStyle w:val="BodyText"/>
      </w:pPr>
      <w:r>
        <w:t xml:space="preserve">Bảng 2.7. Tám mô hình M0-M7, cấu trúc, giả thuyết kiểm định, và biến bổ sung</w:t>
      </w:r>
    </w:p>
    <w:p>
      <w:pPr>
        <w:pStyle w:val="BodyText"/>
      </w:pPr>
      <w:r>
        <w:t xml:space="preserve">Bảng 2.8. Cấu trúc pool theo nhóm ICRV và mốc khảo sát</w:t>
      </w:r>
    </w:p>
    <w:p>
      <w:pPr>
        <w:pStyle w:val="BodyText"/>
      </w:pPr>
      <w:r>
        <w:t xml:space="preserve">Bảng 2.9. Đo lường TCI theo mã WBES</w:t>
      </w:r>
    </w:p>
    <w:p>
      <w:pPr>
        <w:pStyle w:val="BodyText"/>
      </w:pPr>
      <w:r>
        <w:t xml:space="preserve">Bảng 2.10. Đo lường DAI theo mã WBES</w:t>
      </w:r>
    </w:p>
    <w:p>
      <w:pPr>
        <w:pStyle w:val="BodyText"/>
      </w:pPr>
      <w:r>
        <w:t xml:space="preserve">Bảng 2.11. Phân loại 47 nền kinh tế theo ICRV, đặc điểm và tiêu chí</w:t>
      </w:r>
    </w:p>
    <w:p>
      <w:pPr>
        <w:pStyle w:val="BodyText"/>
      </w:pPr>
      <w:r>
        <w:t xml:space="preserve">Bảng 2.12. Kế hoạch kiểm định độ vững, sáu nhóm</w:t>
      </w:r>
    </w:p>
    <w:p>
      <w:pPr>
        <w:pStyle w:val="BodyText"/>
      </w:pPr>
      <w:r>
        <w:t xml:space="preserve">Bảng 2.13. So sánh đặc điểm phương pháp và phạm vi lý thuyết của các khung tham chiếu chính và CĐ2</w:t>
      </w:r>
    </w:p>
    <w:p>
      <w:r>
        <w:pict>
          <v:rect style="width:0;height:1.5pt" o:hralign="center" o:hrstd="t" o:hr="t"/>
        </w:pict>
      </w:r>
    </w:p>
    <w:bookmarkEnd w:id="24"/>
    <w:bookmarkStart w:id="25" w:name="danh-mục-hình"/>
    <w:p>
      <w:pPr>
        <w:pStyle w:val="Heading2"/>
      </w:pPr>
      <w:r>
        <w:t xml:space="preserve">DANH MỤC HÌNH</w:t>
      </w:r>
    </w:p>
    <w:p>
      <w:pPr>
        <w:pStyle w:val="FirstParagraph"/>
      </w:pPr>
      <w:r>
        <w:t xml:space="preserve">Hình 2.1. Khung khái niệm tích hợp CĐ2, tổng quan</w:t>
      </w:r>
    </w:p>
    <w:p>
      <w:pPr>
        <w:pStyle w:val="BodyText"/>
      </w:pPr>
      <w:r>
        <w:t xml:space="preserve">Hình 2.2. Khung khái niệm tích hợp CĐ2, chi tiết với bằng chứng neo đậu</w:t>
      </w:r>
    </w:p>
    <w:p>
      <w:r>
        <w:pict>
          <v:rect style="width:0;height:1.5pt" o:hralign="center" o:hrstd="t" o:hr="t"/>
        </w:pict>
      </w:r>
    </w:p>
    <w:bookmarkEnd w:id="25"/>
    <w:bookmarkStart w:id="26" w:name="danh-mục-từ-viết-tắt"/>
    <w:p>
      <w:pPr>
        <w:pStyle w:val="Heading2"/>
      </w:pPr>
      <w:r>
        <w:t xml:space="preserve">DANH MỤC TỪ VIẾT TẮT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Viết tắt</w:t>
            </w:r>
          </w:p>
        </w:tc>
        <w:tc>
          <w:tcPr/>
          <w:p>
            <w:pPr>
              <w:pStyle w:val="Compact"/>
              <w:jc w:val="left"/>
            </w:pPr>
            <w:r>
              <w:t xml:space="preserve">Diễn giải</w:t>
            </w:r>
          </w:p>
        </w:tc>
      </w:tr>
      <w:tr>
        <w:tc>
          <w:tcPr/>
          <w:p>
            <w:pPr>
              <w:pStyle w:val="Compact"/>
              <w:jc w:val="left"/>
            </w:pPr>
            <w:r>
              <w:t xml:space="preserve">AIC</w:t>
            </w:r>
          </w:p>
        </w:tc>
        <w:tc>
          <w:tcPr/>
          <w:p>
            <w:pPr>
              <w:pStyle w:val="Compact"/>
              <w:jc w:val="left"/>
            </w:pPr>
            <w:r>
              <w:t xml:space="preserve">Akaike Information Criterion</w:t>
            </w:r>
          </w:p>
        </w:tc>
      </w:tr>
      <w:tr>
        <w:tc>
          <w:tcPr/>
          <w:p>
            <w:pPr>
              <w:pStyle w:val="Compact"/>
              <w:jc w:val="left"/>
            </w:pPr>
            <w:r>
              <w:t xml:space="preserve">BIC</w:t>
            </w:r>
          </w:p>
        </w:tc>
        <w:tc>
          <w:tcPr/>
          <w:p>
            <w:pPr>
              <w:pStyle w:val="Compact"/>
              <w:jc w:val="left"/>
            </w:pPr>
            <w:r>
              <w:t xml:space="preserve">Bayesian Information Criterion</w:t>
            </w:r>
          </w:p>
        </w:tc>
      </w:tr>
      <w:tr>
        <w:tc>
          <w:tcPr/>
          <w:p>
            <w:pPr>
              <w:pStyle w:val="Compact"/>
              <w:jc w:val="left"/>
            </w:pPr>
            <w:r>
              <w:t xml:space="preserve">BEE</w:t>
            </w:r>
          </w:p>
        </w:tc>
        <w:tc>
          <w:tcPr/>
          <w:p>
            <w:pPr>
              <w:pStyle w:val="Compact"/>
              <w:jc w:val="left"/>
            </w:pPr>
            <w:r>
              <w:t xml:space="preserve">Business Environment and Enterprise (WBES module)</w:t>
            </w:r>
          </w:p>
        </w:tc>
      </w:tr>
      <w:tr>
        <w:tc>
          <w:tcPr/>
          <w:p>
            <w:pPr>
              <w:pStyle w:val="Compact"/>
              <w:jc w:val="left"/>
            </w:pPr>
            <w:r>
              <w:t xml:space="preserve">BREADY</w:t>
            </w:r>
          </w:p>
        </w:tc>
        <w:tc>
          <w:tcPr/>
          <w:p>
            <w:pPr>
              <w:pStyle w:val="Compact"/>
              <w:jc w:val="left"/>
            </w:pPr>
            <w:r>
              <w:t xml:space="preserve">Business REAdy diagnostic (WBES module)</w:t>
            </w:r>
          </w:p>
        </w:tc>
      </w:tr>
      <w:tr>
        <w:tc>
          <w:tcPr/>
          <w:p>
            <w:pPr>
              <w:pStyle w:val="Compact"/>
              <w:jc w:val="left"/>
            </w:pPr>
            <w:r>
              <w:t xml:space="preserve">CDCM</w:t>
            </w:r>
          </w:p>
        </w:tc>
        <w:tc>
          <w:tcPr/>
          <w:p>
            <w:pPr>
              <w:pStyle w:val="Compact"/>
              <w:jc w:val="left"/>
            </w:pPr>
            <w:r>
              <w:t xml:space="preserve">Context-Contingent Digital-and-Capability Model, Mô hình Áp dụng số và Năng lực phụ thuộc bối cảnh</w:t>
            </w:r>
          </w:p>
        </w:tc>
      </w:tr>
      <w:tr>
        <w:tc>
          <w:tcPr/>
          <w:p>
            <w:pPr>
              <w:pStyle w:val="Compact"/>
              <w:jc w:val="left"/>
            </w:pPr>
            <w:r>
              <w:t xml:space="preserve">DAI</w:t>
            </w:r>
          </w:p>
        </w:tc>
        <w:tc>
          <w:tcPr/>
          <w:p>
            <w:pPr>
              <w:pStyle w:val="Compact"/>
              <w:jc w:val="left"/>
            </w:pPr>
            <w:r>
              <w:t xml:space="preserve">Digital Adoption Index, Chỉ số áp dụng số</w:t>
            </w:r>
          </w:p>
        </w:tc>
      </w:tr>
      <w:tr>
        <w:tc>
          <w:tcPr/>
          <w:p>
            <w:pPr>
              <w:pStyle w:val="Compact"/>
              <w:jc w:val="left"/>
            </w:pPr>
            <w:r>
              <w:t xml:space="preserve">FDI</w:t>
            </w:r>
          </w:p>
        </w:tc>
        <w:tc>
          <w:tcPr/>
          <w:p>
            <w:pPr>
              <w:pStyle w:val="Compact"/>
              <w:jc w:val="left"/>
            </w:pPr>
            <w:r>
              <w:t xml:space="preserve">Foreign Direct Investment, Đầu tư trực tiếp nước ngoài</w:t>
            </w:r>
          </w:p>
        </w:tc>
      </w:tr>
      <w:tr>
        <w:tc>
          <w:tcPr/>
          <w:p>
            <w:pPr>
              <w:pStyle w:val="Compact"/>
              <w:jc w:val="left"/>
            </w:pPr>
            <w:r>
              <w:t xml:space="preserve">FE</w:t>
            </w:r>
          </w:p>
        </w:tc>
        <w:tc>
          <w:tcPr/>
          <w:p>
            <w:pPr>
              <w:pStyle w:val="Compact"/>
              <w:jc w:val="left"/>
            </w:pPr>
            <w:r>
              <w:t xml:space="preserve">Fixed Effects, Hiệu ứng cố định</w:t>
            </w:r>
          </w:p>
        </w:tc>
      </w:tr>
      <w:tr>
        <w:tc>
          <w:tcPr/>
          <w:p>
            <w:pPr>
              <w:pStyle w:val="Compact"/>
              <w:jc w:val="left"/>
            </w:pPr>
            <w:r>
              <w:t xml:space="preserve">FSTS</w:t>
            </w:r>
          </w:p>
        </w:tc>
        <w:tc>
          <w:tcPr/>
          <w:p>
            <w:pPr>
              <w:pStyle w:val="Compact"/>
              <w:jc w:val="left"/>
            </w:pPr>
            <w:r>
              <w:t xml:space="preserve">Foreign Sales to Total Sales ratio, Tỉ lệ doanh thu xuất khẩu trên tổng doanh thu</w:t>
            </w:r>
          </w:p>
        </w:tc>
      </w:tr>
      <w:tr>
        <w:tc>
          <w:tcPr/>
          <w:p>
            <w:pPr>
              <w:pStyle w:val="Compact"/>
              <w:jc w:val="left"/>
            </w:pPr>
            <w:r>
              <w:t xml:space="preserve">GMM</w:t>
            </w:r>
          </w:p>
        </w:tc>
        <w:tc>
          <w:tcPr/>
          <w:p>
            <w:pPr>
              <w:pStyle w:val="Compact"/>
              <w:jc w:val="left"/>
            </w:pPr>
            <w:r>
              <w:t xml:space="preserve">Generalized Method of Moments</w:t>
            </w:r>
          </w:p>
        </w:tc>
      </w:tr>
      <w:tr>
        <w:tc>
          <w:tcPr/>
          <w:p>
            <w:pPr>
              <w:pStyle w:val="Compact"/>
              <w:jc w:val="left"/>
            </w:pPr>
            <w:r>
              <w:t xml:space="preserve">HC1/HC3</w:t>
            </w:r>
          </w:p>
        </w:tc>
        <w:tc>
          <w:tcPr/>
          <w:p>
            <w:pPr>
              <w:pStyle w:val="Compact"/>
              <w:jc w:val="left"/>
            </w:pPr>
            <w:r>
              <w:t xml:space="preserve">Heteroskedasticity-Consistent Standard Errors (Long &amp; Ervin, 2000)</w:t>
            </w:r>
          </w:p>
        </w:tc>
      </w:tr>
      <w:tr>
        <w:tc>
          <w:tcPr/>
          <w:p>
            <w:pPr>
              <w:pStyle w:val="Compact"/>
              <w:jc w:val="left"/>
            </w:pPr>
            <w:r>
              <w:t xml:space="preserve">I-P</w:t>
            </w:r>
          </w:p>
        </w:tc>
        <w:tc>
          <w:tcPr/>
          <w:p>
            <w:pPr>
              <w:pStyle w:val="Compact"/>
              <w:jc w:val="left"/>
            </w:pPr>
            <w:r>
              <w:t xml:space="preserve">Internationalization-Performance, Quan hệ quốc tế hóa-hiệu quả</w:t>
            </w:r>
          </w:p>
        </w:tc>
      </w:tr>
      <w:tr>
        <w:tc>
          <w:tcPr/>
          <w:p>
            <w:pPr>
              <w:pStyle w:val="Compact"/>
              <w:jc w:val="left"/>
            </w:pPr>
            <w:r>
              <w:t xml:space="preserve">IB</w:t>
            </w:r>
          </w:p>
        </w:tc>
        <w:tc>
          <w:tcPr/>
          <w:p>
            <w:pPr>
              <w:pStyle w:val="Compact"/>
              <w:jc w:val="left"/>
            </w:pPr>
            <w:r>
              <w:t xml:space="preserve">International Business, Kinh doanh quốc tế</w:t>
            </w:r>
          </w:p>
        </w:tc>
      </w:tr>
      <w:tr>
        <w:tc>
          <w:tcPr/>
          <w:p>
            <w:pPr>
              <w:pStyle w:val="Compact"/>
              <w:jc w:val="left"/>
            </w:pPr>
            <w:r>
              <w:t xml:space="preserve">ICRV</w:t>
            </w:r>
          </w:p>
        </w:tc>
        <w:tc>
          <w:tcPr/>
          <w:p>
            <w:pPr>
              <w:pStyle w:val="Compact"/>
              <w:jc w:val="left"/>
            </w:pPr>
            <w:r>
              <w:t xml:space="preserve">Institutional Context Regime Variation, Phân loại chế độ thể chế</w:t>
            </w:r>
          </w:p>
        </w:tc>
      </w:tr>
      <w:tr>
        <w:tc>
          <w:tcPr/>
          <w:p>
            <w:pPr>
              <w:pStyle w:val="Compact"/>
              <w:jc w:val="left"/>
            </w:pPr>
            <w:r>
              <w:t xml:space="preserve">ICT</w:t>
            </w:r>
          </w:p>
        </w:tc>
        <w:tc>
          <w:tcPr/>
          <w:p>
            <w:pPr>
              <w:pStyle w:val="Compact"/>
              <w:jc w:val="left"/>
            </w:pPr>
            <w:r>
              <w:t xml:space="preserve">Information and Communications Technology</w:t>
            </w:r>
          </w:p>
        </w:tc>
      </w:tr>
      <w:tr>
        <w:tc>
          <w:tcPr/>
          <w:p>
            <w:pPr>
              <w:pStyle w:val="Compact"/>
              <w:jc w:val="left"/>
            </w:pPr>
            <w:r>
              <w:t xml:space="preserve">ISO</w:t>
            </w:r>
          </w:p>
        </w:tc>
        <w:tc>
          <w:tcPr/>
          <w:p>
            <w:pPr>
              <w:pStyle w:val="Compact"/>
              <w:jc w:val="left"/>
            </w:pPr>
            <w:r>
              <w:t xml:space="preserve">International Organization for Standardization</w:t>
            </w:r>
          </w:p>
        </w:tc>
      </w:tr>
      <w:tr>
        <w:tc>
          <w:tcPr/>
          <w:p>
            <w:pPr>
              <w:pStyle w:val="Compact"/>
              <w:jc w:val="left"/>
            </w:pPr>
            <w:r>
              <w:t xml:space="preserve">IV</w:t>
            </w:r>
          </w:p>
        </w:tc>
        <w:tc>
          <w:tcPr/>
          <w:p>
            <w:pPr>
              <w:pStyle w:val="Compact"/>
              <w:jc w:val="left"/>
            </w:pPr>
            <w:r>
              <w:t xml:space="preserve">Instrumental Variable, Biến công cụ</w:t>
            </w:r>
          </w:p>
        </w:tc>
      </w:tr>
      <w:tr>
        <w:tc>
          <w:tcPr/>
          <w:p>
            <w:pPr>
              <w:pStyle w:val="Compact"/>
              <w:jc w:val="left"/>
            </w:pPr>
            <w:r>
              <w:t xml:space="preserve">LOWESS</w:t>
            </w:r>
          </w:p>
        </w:tc>
        <w:tc>
          <w:tcPr/>
          <w:p>
            <w:pPr>
              <w:pStyle w:val="Compact"/>
              <w:jc w:val="left"/>
            </w:pPr>
            <w:r>
              <w:t xml:space="preserve">Locally Weighted Scatterplot Smoothing</w:t>
            </w:r>
          </w:p>
        </w:tc>
      </w:tr>
      <w:tr>
        <w:tc>
          <w:tcPr/>
          <w:p>
            <w:pPr>
              <w:pStyle w:val="Compact"/>
              <w:jc w:val="left"/>
            </w:pPr>
            <w:r>
              <w:t xml:space="preserve">MNE</w:t>
            </w:r>
          </w:p>
        </w:tc>
        <w:tc>
          <w:tcPr/>
          <w:p>
            <w:pPr>
              <w:pStyle w:val="Compact"/>
              <w:jc w:val="left"/>
            </w:pPr>
            <w:r>
              <w:t xml:space="preserve">Multinational Enterprise, Doanh nghiệp đa quốc gia</w:t>
            </w:r>
          </w:p>
        </w:tc>
      </w:tr>
      <w:tr>
        <w:tc>
          <w:tcPr/>
          <w:p>
            <w:pPr>
              <w:pStyle w:val="Compact"/>
              <w:jc w:val="left"/>
            </w:pPr>
            <w:r>
              <w:t xml:space="preserve">OECD</w:t>
            </w:r>
          </w:p>
        </w:tc>
        <w:tc>
          <w:tcPr/>
          <w:p>
            <w:pPr>
              <w:pStyle w:val="Compact"/>
              <w:jc w:val="left"/>
            </w:pPr>
            <w:r>
              <w:t xml:space="preserve">Organisation for Economic Co-operation and Development</w:t>
            </w:r>
          </w:p>
        </w:tc>
      </w:tr>
      <w:tr>
        <w:tc>
          <w:tcPr/>
          <w:p>
            <w:pPr>
              <w:pStyle w:val="Compact"/>
              <w:jc w:val="left"/>
            </w:pPr>
            <w:r>
              <w:t xml:space="preserve">OLS</w:t>
            </w:r>
          </w:p>
        </w:tc>
        <w:tc>
          <w:tcPr/>
          <w:p>
            <w:pPr>
              <w:pStyle w:val="Compact"/>
              <w:jc w:val="left"/>
            </w:pPr>
            <w:r>
              <w:t xml:space="preserve">Ordinary Least Squares, Bình phương tối thiểu thông thường</w:t>
            </w:r>
          </w:p>
        </w:tc>
      </w:tr>
      <w:tr>
        <w:tc>
          <w:tcPr/>
          <w:p>
            <w:pPr>
              <w:pStyle w:val="Compact"/>
              <w:jc w:val="left"/>
            </w:pPr>
            <w:r>
              <w:t xml:space="preserve">PICS3</w:t>
            </w:r>
          </w:p>
        </w:tc>
        <w:tc>
          <w:tcPr/>
          <w:p>
            <w:pPr>
              <w:pStyle w:val="Compact"/>
              <w:jc w:val="left"/>
            </w:pPr>
            <w:r>
              <w:t xml:space="preserve">WBES schema thế hệ 1 (2009-2013)</w:t>
            </w:r>
          </w:p>
        </w:tc>
      </w:tr>
      <w:tr>
        <w:tc>
          <w:tcPr/>
          <w:p>
            <w:pPr>
              <w:pStyle w:val="Compact"/>
              <w:jc w:val="left"/>
            </w:pPr>
            <w:r>
              <w:t xml:space="preserve">R&amp;D</w:t>
            </w:r>
          </w:p>
        </w:tc>
        <w:tc>
          <w:tcPr/>
          <w:p>
            <w:pPr>
              <w:pStyle w:val="Compact"/>
              <w:jc w:val="left"/>
            </w:pPr>
            <w:r>
              <w:t xml:space="preserve">Research and Development, Nghiên cứu và phát triển</w:t>
            </w:r>
          </w:p>
        </w:tc>
      </w:tr>
      <w:tr>
        <w:tc>
          <w:tcPr/>
          <w:p>
            <w:pPr>
              <w:pStyle w:val="Compact"/>
              <w:jc w:val="left"/>
            </w:pPr>
            <w:r>
              <w:t xml:space="preserve">RBV</w:t>
            </w:r>
          </w:p>
        </w:tc>
        <w:tc>
          <w:tcPr/>
          <w:p>
            <w:pPr>
              <w:pStyle w:val="Compact"/>
              <w:jc w:val="left"/>
            </w:pPr>
            <w:r>
              <w:t xml:space="preserve">Resource-Based View, Quan điểm dựa trên nguồn lực</w:t>
            </w:r>
          </w:p>
        </w:tc>
      </w:tr>
      <w:tr>
        <w:tc>
          <w:tcPr/>
          <w:p>
            <w:pPr>
              <w:pStyle w:val="Compact"/>
              <w:jc w:val="left"/>
            </w:pPr>
            <w:r>
              <w:t xml:space="preserve">RESET</w:t>
            </w:r>
          </w:p>
        </w:tc>
        <w:tc>
          <w:tcPr/>
          <w:p>
            <w:pPr>
              <w:pStyle w:val="Compact"/>
              <w:jc w:val="left"/>
            </w:pPr>
            <w:r>
              <w:t xml:space="preserve">Regression Specification Error Test</w:t>
            </w:r>
          </w:p>
        </w:tc>
      </w:tr>
      <w:tr>
        <w:tc>
          <w:tcPr/>
          <w:p>
            <w:pPr>
              <w:pStyle w:val="Compact"/>
              <w:jc w:val="left"/>
            </w:pPr>
            <w:r>
              <w:t xml:space="preserve">ROA</w:t>
            </w:r>
          </w:p>
        </w:tc>
        <w:tc>
          <w:tcPr/>
          <w:p>
            <w:pPr>
              <w:pStyle w:val="Compact"/>
              <w:jc w:val="left"/>
            </w:pPr>
            <w:r>
              <w:t xml:space="preserve">Return on Assets, Lợi nhuận trên tổng tài sản</w:t>
            </w:r>
          </w:p>
        </w:tc>
      </w:tr>
      <w:tr>
        <w:tc>
          <w:tcPr/>
          <w:p>
            <w:pPr>
              <w:pStyle w:val="Compact"/>
              <w:jc w:val="left"/>
            </w:pPr>
            <w:r>
              <w:t xml:space="preserve">ROS</w:t>
            </w:r>
          </w:p>
        </w:tc>
        <w:tc>
          <w:tcPr/>
          <w:p>
            <w:pPr>
              <w:pStyle w:val="Compact"/>
              <w:jc w:val="left"/>
            </w:pPr>
            <w:r>
              <w:t xml:space="preserve">Return on Sales, Lợi nhuận trên doanh thu</w:t>
            </w:r>
          </w:p>
        </w:tc>
      </w:tr>
      <w:tr>
        <w:tc>
          <w:tcPr/>
          <w:p>
            <w:pPr>
              <w:pStyle w:val="Compact"/>
              <w:jc w:val="left"/>
            </w:pPr>
            <w:r>
              <w:t xml:space="preserve">SE</w:t>
            </w:r>
          </w:p>
        </w:tc>
        <w:tc>
          <w:tcPr/>
          <w:p>
            <w:pPr>
              <w:pStyle w:val="Compact"/>
              <w:jc w:val="left"/>
            </w:pPr>
            <w:r>
              <w:t xml:space="preserve">Standard Errors, Sai số chuẩn</w:t>
            </w:r>
          </w:p>
        </w:tc>
      </w:tr>
      <w:tr>
        <w:tc>
          <w:tcPr/>
          <w:p>
            <w:pPr>
              <w:pStyle w:val="Compact"/>
              <w:jc w:val="left"/>
            </w:pPr>
            <w:r>
              <w:t xml:space="preserve">SIDS</w:t>
            </w:r>
          </w:p>
        </w:tc>
        <w:tc>
          <w:tcPr/>
          <w:p>
            <w:pPr>
              <w:pStyle w:val="Compact"/>
              <w:jc w:val="left"/>
            </w:pPr>
            <w:r>
              <w:t xml:space="preserve">Small Island Developing States, Các quốc đảo nhỏ đang phát triển</w:t>
            </w:r>
          </w:p>
        </w:tc>
      </w:tr>
      <w:tr>
        <w:tc>
          <w:tcPr/>
          <w:p>
            <w:pPr>
              <w:pStyle w:val="Compact"/>
              <w:jc w:val="left"/>
            </w:pPr>
            <w:r>
              <w:t xml:space="preserve">SME</w:t>
            </w:r>
          </w:p>
        </w:tc>
        <w:tc>
          <w:tcPr/>
          <w:p>
            <w:pPr>
              <w:pStyle w:val="Compact"/>
              <w:jc w:val="left"/>
            </w:pPr>
            <w:r>
              <w:t xml:space="preserve">Small and Medium-sized Enterprise, Doanh nghiệp vừa và nhỏ</w:t>
            </w:r>
          </w:p>
        </w:tc>
      </w:tr>
      <w:tr>
        <w:tc>
          <w:tcPr/>
          <w:p>
            <w:pPr>
              <w:pStyle w:val="Compact"/>
              <w:jc w:val="left"/>
            </w:pPr>
            <w:r>
              <w:t xml:space="preserve">SOE</w:t>
            </w:r>
          </w:p>
        </w:tc>
        <w:tc>
          <w:tcPr/>
          <w:p>
            <w:pPr>
              <w:pStyle w:val="Compact"/>
              <w:jc w:val="left"/>
            </w:pPr>
            <w:r>
              <w:t xml:space="preserve">State-Owned Enterprise, Doanh nghiệp nhà nước</w:t>
            </w:r>
          </w:p>
        </w:tc>
      </w:tr>
      <w:tr>
        <w:tc>
          <w:tcPr/>
          <w:p>
            <w:pPr>
              <w:pStyle w:val="Compact"/>
              <w:jc w:val="left"/>
            </w:pPr>
            <w:r>
              <w:t xml:space="preserve">TCI</w:t>
            </w:r>
          </w:p>
        </w:tc>
        <w:tc>
          <w:tcPr/>
          <w:p>
            <w:pPr>
              <w:pStyle w:val="Compact"/>
              <w:jc w:val="left"/>
            </w:pPr>
            <w:r>
              <w:t xml:space="preserve">Technological Capability Index, Chỉ số năng lực công nghệ</w:t>
            </w:r>
          </w:p>
        </w:tc>
      </w:tr>
      <w:tr>
        <w:tc>
          <w:tcPr/>
          <w:p>
            <w:pPr>
              <w:pStyle w:val="Compact"/>
              <w:jc w:val="left"/>
            </w:pPr>
            <w:r>
              <w:t xml:space="preserve">UE</w:t>
            </w:r>
          </w:p>
        </w:tc>
        <w:tc>
          <w:tcPr/>
          <w:p>
            <w:pPr>
              <w:pStyle w:val="Compact"/>
              <w:jc w:val="left"/>
            </w:pPr>
            <w:r>
              <w:t xml:space="preserve">Upper Echelons Theory, Lý thuyết cấp cao</w:t>
            </w:r>
          </w:p>
        </w:tc>
      </w:tr>
      <w:tr>
        <w:tc>
          <w:tcPr/>
          <w:p>
            <w:pPr>
              <w:pStyle w:val="Compact"/>
              <w:jc w:val="left"/>
            </w:pPr>
            <w:r>
              <w:t xml:space="preserve">VIF</w:t>
            </w:r>
          </w:p>
        </w:tc>
        <w:tc>
          <w:tcPr/>
          <w:p>
            <w:pPr>
              <w:pStyle w:val="Compact"/>
              <w:jc w:val="left"/>
            </w:pPr>
            <w:r>
              <w:t xml:space="preserve">Variance Inflation Factor</w:t>
            </w:r>
          </w:p>
        </w:tc>
      </w:tr>
      <w:tr>
        <w:tc>
          <w:tcPr/>
          <w:p>
            <w:pPr>
              <w:pStyle w:val="Compact"/>
              <w:jc w:val="left"/>
            </w:pPr>
            <w:r>
              <w:t xml:space="preserve">WBES</w:t>
            </w:r>
          </w:p>
        </w:tc>
        <w:tc>
          <w:tcPr/>
          <w:p>
            <w:pPr>
              <w:pStyle w:val="Compact"/>
              <w:jc w:val="left"/>
            </w:pPr>
            <w:r>
              <w:t xml:space="preserve">World Bank Enterprise Surveys, Khảo sát doanh nghiệp Ngân hàng Thế giới</w:t>
            </w:r>
          </w:p>
        </w:tc>
      </w:tr>
      <w:tr>
        <w:tc>
          <w:tcPr/>
          <w:p>
            <w:pPr>
              <w:pStyle w:val="Compact"/>
              <w:jc w:val="left"/>
            </w:pPr>
            <w:r>
              <w:t xml:space="preserve">WGI</w:t>
            </w:r>
          </w:p>
        </w:tc>
        <w:tc>
          <w:tcPr/>
          <w:p>
            <w:pPr>
              <w:pStyle w:val="Compact"/>
              <w:jc w:val="left"/>
            </w:pPr>
            <w:r>
              <w:t xml:space="preserve">Worldwide Governance Indicators</w:t>
            </w:r>
          </w:p>
        </w:tc>
      </w:tr>
    </w:tbl>
    <w:p>
      <w:r>
        <w:pict>
          <v:rect style="width:0;height:1.5pt" o:hralign="center" o:hrstd="t" o:hr="t"/>
        </w:pict>
      </w:r>
    </w:p>
    <w:bookmarkEnd w:id="26"/>
    <w:bookmarkStart w:id="91" w:name="phần-2-nội-dung-chuyên-đề"/>
    <w:p>
      <w:pPr>
        <w:pStyle w:val="Heading2"/>
      </w:pPr>
      <w:r>
        <w:t xml:space="preserve">Phần 2, NỘI DUNG CHUYÊN ĐỀ</w:t>
      </w:r>
    </w:p>
    <w:bookmarkStart w:id="32" w:name="đặt-vấn-đề"/>
    <w:p>
      <w:pPr>
        <w:pStyle w:val="Heading3"/>
      </w:pPr>
      <w:r>
        <w:t xml:space="preserve">2.1 Đặt vấn đề</w:t>
      </w:r>
    </w:p>
    <w:bookmarkStart w:id="27" w:name="giới-thiệu"/>
    <w:p>
      <w:pPr>
        <w:pStyle w:val="Heading4"/>
      </w:pPr>
      <w:r>
        <w:t xml:space="preserve">2.1.1 Giới thiệu</w:t>
      </w:r>
    </w:p>
    <w:p>
      <w:pPr>
        <w:pStyle w:val="FirstParagraph"/>
      </w:pPr>
      <w:r>
        <w:t xml:space="preserve">Trong hơn nửa thế kỷ qua, quốc tế hóa vẫn là một trong những chiến lược phát triển then chốt của doanh nghiệp, song bằng chứng về hiệu quả mà nó mang lại vẫn chưa thống nhất. Các nghiên cứu trong lĩnh vực kinh doanh quốc tế (international business, IB) đã ghi nhận năm dạng hàm mô tả quan hệ giữa cường độ quốc tế hóa và hiệu quả doanh nghiệp: tuyến tính (Hsu &amp; Boggs, 2003), chữ U ngược (Gomes &amp; Ramaswamy, 1999; Hitt et al., 1997), S-curve (Lu &amp; Beamish, 2004; Contractor et al., 2003), M-curve (Riahi-Belkaoui, 1998), và chi phí buộc phải quốc tế hóa (forced penalty) (Glaum &amp; Oesterle, 2007). Sự phân tán này không phải là mâu thuẫn cần loại bỏ, mà là biểu hiện của tính phụ thuộc bối cảnh: cùng một mức cường độ xuất khẩu có thể trở thành lợi thế hoặc gánh nặng, tùy theo (1) năng lực doanh nghiệp, (2) chất lượng thể chế quốc gia, và (3) giai đoạn phát triển số (Bausch &amp; Krist, 2007; Kirca et al., 2012; Marano et al., 2016; Wu, Wood &amp; Khan, 2022).</w:t>
      </w:r>
    </w:p>
    <w:p>
      <w:pPr>
        <w:pStyle w:val="BodyText"/>
      </w:pPr>
      <w:r>
        <w:t xml:space="preserve">Châu Á giai đoạn 2009-2025 cung cấp một phòng thí nghiệm tự nhiên hiếm có để kiểm định quan hệ quốc tế hóa–hiệu quả (internationalization–performance — I-P), bởi khu vực này dung chứa đồng thời ít nhất sáu chế độ thể chế khác biệt theo khung phân loại ICRV. Chính sự đồng tồn tại của các chế độ này, trong cùng một khoảng thời gian và trên cùng một nguồn dữ liệu chuẩn hóa, cho phép phân tách hiệu ứng thể chế khỏi hiệu ứng thời kỳ, điều mà các nghiên cứu đơn quốc gia không thể thực hiện. Sáu chế độ bao gồm: nhóm tiên tiến đổi mới sáng tạo dẫn dắt (ICRV Nhóm I) gồm Singapore, Hong Kong SAR, Hàn Quốc, Đài Loan, Israel; nhóm tiên tiến tài nguyên dẫn dắt (ICRV Nhóm II) gồm Saudi Arabia, Qatar, Kuwait, Bahrain, Brunei; nhóm trung bình cao (ICRV Nhóm III) gồm Trung Quốc, Malaysia, Thái Lan, Kazakhstan, Armenia, Georgia; nhóm đang nổi (ICRV Nhóm IV) gồm Việt Nam, Indonesia, Philippines, Ấn Độ, Sri Lanka, Jordan, Mông Cổ; nhóm cận biên (ICRV Nhóm V) gồm 17 nền kinh tế; và nhóm quốc đảo nhỏ Thái Bình Dương (ICRV Nhóm VI) gồm 7 nền kinh tế đảo nhỏ. Tổng cộng 47 nền kinh tế tạo thành 108 cặp quốc gia-năm qua 14 mốc khảo sát.</w:t>
      </w:r>
    </w:p>
    <w:p>
      <w:pPr>
        <w:pStyle w:val="BodyText"/>
      </w:pPr>
      <w:r>
        <w:t xml:space="preserve">Song song với sự đa dạng thể chế đó, châu Á đang trải qua một làn sóng chuyển đổi số chưa từng có tiền lệ trong giai đoạn 2018-2025. Sự bùng nổ của hạ tầng số và trí tuệ nhân tạo từ năm 2023 không chỉ là một biến ngoại sinh, mà đã tái định hình chính cơ chế qua đó năng lực số chi phối quan hệ giữa quốc tế hóa và hiệu quả doanh nghiệp (Banalieva &amp; Dhanaraj, 2019; Verhoef et al., 2021; Yang, Zhao &amp; Wei, 2025). Hệ quả là bất kỳ mô hình I-P nào cho châu Á đương đại cũng cần nội sinh hóa yếu tố số thay vì xem nó như một biến kiểm soát thuần túy.</w:t>
      </w:r>
    </w:p>
    <w:p>
      <w:pPr>
        <w:pStyle w:val="BodyText"/>
      </w:pPr>
      <w:r>
        <w:t xml:space="preserve">Tuy nhiên, khung lý thuyết hiện hành về quan hệ I-P vẫn còn phân tán. Các tổng quan quy mô lớn thường chỉ khai thác một hoặc hai khía cạnh và hiếm khi đề xuất một khung tích hợp đa tầng đủ sức giải thích trọn vẹn tính không đồng nhất quan sát được ở châu Á (Kirca et al., 2012; Marano et al., 2016). Khoảng trống này đặc biệt rõ ở chiều cạnh số: khung áp dụng số nền tảng (Foundational Digital Adoption Framework) mới chỉ được đề xuất gần đây (Verhoef et al., 2021) và chưa được tích hợp một cách hệ thống với bốn tầng lý thuyết kinh điển. Chính khoảng trống tích hợp lý thuyết và bằng chứng này định hình động lực của chuyên đề.</w:t>
      </w:r>
    </w:p>
    <w:p>
      <w:pPr>
        <w:pStyle w:val="BodyText"/>
      </w:pPr>
      <w:r>
        <w:t xml:space="preserve">Kết quả phân tích mô tả trong Chuyên đề Tiến sĩ số 1 đã phác họa một bức tranh thực trạng đa chiều trên 101.185 doanh nghiệp WBES thuộc 47 nền kinh tế, làm nổi bật ba hình thái (pattern) then chốt: (1) phân tán năng suất tăng đơn điệu theo chế độ thể chế từ Nhóm I đến Nhóm VI; (2) tính không đồng nhất nội bộ rõ rệt trong nhóm tiên tiến (Advanced); và (3) hình thái thích ứng đặc trưng của các quốc đảo nhỏ Thái Bình Dương. Quan trọng hơn, phân tích đó làm lộ diện CDCM (Mô hình Áp dụng số và Năng lực phụ thuộc bối cảnh): tác động của DAI lên hiệu quả không cố định mà phụ thuộc vào chế độ thể chế, giai đoạn quốc tế hóa, và mức độ bão hòa số của nền kinh tế. Ba hình thái thực nghiệm này đặt ra một yêu cầu lý thuyết cụ thể, đó là cần một mô hình có khả năng giải thích vì sao cùng một mức quốc tế hóa lại cho hiệu quả khác nhau giữa các chế độ; Chuyên đề 2 tiếp nối trực tiếp mạch đó, xây dựng một mô hình vừa lý thuyết vừa thực nghiệm nhằm giải thích cơ chế đằng sau các hình thái này.</w:t>
      </w:r>
    </w:p>
    <w:p>
      <w:pPr>
        <w:pStyle w:val="BodyText"/>
      </w:pPr>
      <w:r>
        <w:t xml:space="preserve">Khung đề xuất không dừng lại ở lý thuyết: bốn phân tích quốc gia đồng hành trong chuỗi luận án đã cung cấp bằng chứng quốc gia cụ thể để kiểm định khả năng giải thích của nó. Phân tích Trung Quốc SMEs (Đỗ &amp; Phan, 2026, JFAR đã công bố) trên 2.700 doanh nghiệp SMEs Trung Quốc tìm thấy dạng bậc ba (cubic nonlinearity / S-curve ba giai đoạn), cung cấp tiền thân thực nghiệm cho H1 và cơ sở để so sánh với phân tích Trung Quốc hai sóng. Phân tích Việt Nam trên 2.958 doanh nghiệp WBES ba sóng (2009, 2015, 2023) xác nhận chữ U ngược trong cả ba sóng với điểm uốn 46,2% (2009), 39,3% (2015), 41,6% (2023), 39,7% (tổng hợp); TCI nhân quả qua biến công cụ (β = 1,639, F bậc một = 22,1); DAI theo giai đoạn và phụ thuộc chọn lựa (IV null, β = 0,018). Phân tích Singapore trên 623 doanh nghiệp WBES 2023 cho thấy điểm uốn hàm ý ở FSTS khoảng 82% và DAI hoạt động như năng lực phụ thuộc bối cảnh với hệ số DAI×</w:t>
      </w:r>
      <m:oMath>
        <m:sSup>
          <m:e>
            <m:r>
              <m:rPr>
                <m:nor/>
                <m:sty m:val="p"/>
              </m:rPr>
              <m:t>FSTS</m:t>
            </m:r>
          </m:e>
          <m:sup>
            <m:r>
              <m:t>2</m:t>
            </m:r>
          </m:sup>
        </m:sSup>
      </m:oMath>
      <w:r>
        <w:t xml:space="preserve"> </w:t>
      </w:r>
      <w:r>
        <w:t xml:space="preserve">= +3,119 (p = 0,005). Phân tích Trung Quốc trên 4.559 doanh nghiệp WBES hai sóng (2012, 2024) xác nhận chữ U ngược bền vững cấu trúc với điểm uốn 49,4% (2012) và 47,2% (2024).</w:t>
      </w:r>
    </w:p>
    <w:bookmarkEnd w:id="27"/>
    <w:bookmarkStart w:id="28" w:name="mục-tiêu"/>
    <w:p>
      <w:pPr>
        <w:pStyle w:val="Heading4"/>
      </w:pPr>
      <w:r>
        <w:t xml:space="preserve">2.1.2 Mục tiêu</w:t>
      </w:r>
    </w:p>
    <w:p>
      <w:pPr>
        <w:pStyle w:val="FirstParagraph"/>
      </w:pPr>
      <w:r>
        <w:t xml:space="preserve">Mục tiêu chung: xây dựng mô hình nghiên cứu lý thuyết và thực nghiệm về ảnh hưởng của quốc tế hóa đến hiệu quả hoạt động kinh doanh của các doanh nghiệp ở các quốc gia châu Á, có khả năng kiểm định bằng dữ liệu WBES 101.185 doanh nghiệp xuyên 47 nền kinh tế giai đoạn 2009-2025.</w:t>
      </w:r>
    </w:p>
    <w:p>
      <w:pPr>
        <w:pStyle w:val="BodyText"/>
      </w:pPr>
      <w:r>
        <w:t xml:space="preserve">Các mục tiêu cụ thể:</w:t>
      </w:r>
    </w:p>
    <w:p>
      <w:pPr>
        <w:numPr>
          <w:ilvl w:val="0"/>
          <w:numId w:val="1001"/>
        </w:numPr>
      </w:pPr>
      <w:r>
        <w:t xml:space="preserve">Hệ thống hóa khung lý thuyết tích hợp 4 tầng (Uppsala, RBV, Institutional Theory, Upper Echelons) kết hợp Foundational Digital Adoption Framework và CDCM.</w:t>
      </w:r>
    </w:p>
    <w:p>
      <w:pPr>
        <w:numPr>
          <w:ilvl w:val="0"/>
          <w:numId w:val="1001"/>
        </w:numPr>
      </w:pPr>
      <w:r>
        <w:t xml:space="preserve">Lược khảo các mô hình I-P trên thế giới và châu Á, định vị khoảng trống nghiên cứu.</w:t>
      </w:r>
    </w:p>
    <w:p>
      <w:pPr>
        <w:numPr>
          <w:ilvl w:val="0"/>
          <w:numId w:val="1001"/>
        </w:numPr>
      </w:pPr>
      <w:r>
        <w:t xml:space="preserve">Phát triển hệ giả thuyết H1-H6 dựa trên khung tích hợp, có neo đậu từ bằng chứng các phân tích quốc gia của luận án (Việt Nam, Singapore, Trung Quốc).</w:t>
      </w:r>
    </w:p>
    <w:p>
      <w:pPr>
        <w:numPr>
          <w:ilvl w:val="0"/>
          <w:numId w:val="1001"/>
        </w:numPr>
      </w:pPr>
      <w:r>
        <w:t xml:space="preserve">Đặc tả tám mô hình thực nghiệm M0-M7 với khả năng kiểm định trên dữ liệu WBES.</w:t>
      </w:r>
    </w:p>
    <w:p>
      <w:pPr>
        <w:numPr>
          <w:ilvl w:val="0"/>
          <w:numId w:val="1001"/>
        </w:numPr>
      </w:pPr>
      <w:r>
        <w:t xml:space="preserve">Đề xuất chiến lược nhận dạng và kiểm định độ vững toàn diện.</w:t>
      </w:r>
    </w:p>
    <w:p>
      <w:pPr>
        <w:numPr>
          <w:ilvl w:val="0"/>
          <w:numId w:val="1001"/>
        </w:numPr>
      </w:pPr>
      <w:r>
        <w:t xml:space="preserve">Khẳng định tính mới về mô hình so với các khung tham chiếu hiện hành.</w:t>
      </w:r>
    </w:p>
    <w:bookmarkEnd w:id="28"/>
    <w:bookmarkStart w:id="29" w:name="nội-dung"/>
    <w:p>
      <w:pPr>
        <w:pStyle w:val="Heading4"/>
      </w:pPr>
      <w:r>
        <w:t xml:space="preserve">2.1.3 Nội dung</w:t>
      </w:r>
    </w:p>
    <w:p>
      <w:pPr>
        <w:pStyle w:val="FirstParagraph"/>
      </w:pPr>
      <w:r>
        <w:t xml:space="preserve">Chuyên đề trả lời ba câu hỏi nghiên cứu chính:</w:t>
      </w:r>
    </w:p>
    <w:p>
      <w:pPr>
        <w:pStyle w:val="BodyText"/>
      </w:pPr>
      <w:r>
        <w:t xml:space="preserve">Câu hỏi 1 (Q1): Quan hệ giữa cường độ quốc tế hóa (I) và hiệu quả hoạt động kinh doanh (P) ở các doanh nghiệp châu Á có dạng hàm gì? Tuyến tính, phi tuyến hay phụ thuộc vào ngữ cảnh?</w:t>
      </w:r>
    </w:p>
    <w:p>
      <w:pPr>
        <w:pStyle w:val="BodyText"/>
      </w:pPr>
      <w:r>
        <w:t xml:space="preserve">Câu hỏi 2 (Q2): Bốn cơ chế điều tiết, năng lực công nghệ TCI, mức độ áp dụng số DAI, đặc điểm nhà quản trị, chế độ thể chế nội địa, tác động như thế nào lên quan hệ I-P? Có phân biệt được giữa TCI và DAI theo CDCM hay không?</w:t>
      </w:r>
    </w:p>
    <w:p>
      <w:pPr>
        <w:pStyle w:val="BodyText"/>
      </w:pPr>
      <w:r>
        <w:t xml:space="preserve">Câu hỏi 3 (Q3): Tác động I-P và cơ chế điều tiết có thay đổi theo thời gian không, đặc biệt giữa giai đoạn 2009-2012 và 2018-2025?</w:t>
      </w:r>
    </w:p>
    <w:bookmarkEnd w:id="29"/>
    <w:bookmarkStart w:id="30" w:name="giới-hạn-của-chuyên-đề"/>
    <w:p>
      <w:pPr>
        <w:pStyle w:val="Heading4"/>
      </w:pPr>
      <w:r>
        <w:t xml:space="preserve">2.1.4 Giới hạn của chuyên đề</w:t>
      </w:r>
    </w:p>
    <w:p>
      <w:pPr>
        <w:pStyle w:val="FirstParagraph"/>
      </w:pPr>
      <w:r>
        <w:t xml:space="preserve">Đối tượng nghiên cứu: doanh nghiệp đang hoạt động ở các nền kinh tế châu Á và Thái Bình Dương đáp ứng tiêu chí mẫu của WBES.</w:t>
      </w:r>
    </w:p>
    <w:p>
      <w:pPr>
        <w:pStyle w:val="BodyText"/>
      </w:pPr>
      <w:r>
        <w:t xml:space="preserve">Phạm vi không gian: 47 nền kinh tế phân theo sáu nhóm ICRV (5+5+6+7+17+7).</w:t>
      </w:r>
    </w:p>
    <w:p>
      <w:pPr>
        <w:pStyle w:val="BodyText"/>
      </w:pPr>
      <w:r>
        <w:t xml:space="preserve">Phạm vi thời gian: 2009-2025, bao trùm ba thế hệ schema WBES, tạo thành 108 cặp quốc gia-năm.</w:t>
      </w:r>
    </w:p>
    <w:p>
      <w:pPr>
        <w:pStyle w:val="BodyText"/>
      </w:pPr>
      <w:r>
        <w:t xml:space="preserve">Phạm vi nội dung: mô hình hóa quan hệ I-P và bốn cơ chế điều tiết cộng với tính không đồng nhất theo thời gian. Chuyên đề không trình bày kết quả thực nghiệm từ toàn bộ pool, đó là nhiệm vụ của các bài báo tiếp theo trong chuỗi luận án. Chuyên đề này tập trung xây dựng và đặc tả mô hình.</w:t>
      </w:r>
    </w:p>
    <w:bookmarkEnd w:id="30"/>
    <w:bookmarkStart w:id="31" w:name="ý-nghĩa"/>
    <w:p>
      <w:pPr>
        <w:pStyle w:val="Heading4"/>
      </w:pPr>
      <w:r>
        <w:t xml:space="preserve">2.1.5 Ý nghĩa</w:t>
      </w:r>
    </w:p>
    <w:p>
      <w:pPr>
        <w:pStyle w:val="FirstParagraph"/>
      </w:pPr>
      <w:r>
        <w:t xml:space="preserve">Về lý thuyết, chuyên đề đóng góp khung tích hợp 4 tầng kết hợp Foundational Digital Adoption Framework, chưa có khung tương đương trong các nghiên cứu IB cho khu vực 47 nền kinh tế bao gồm cả quốc đảo nhỏ Thái Bình Dương. CDCM làm sắc nét sự phân biệt giữa TCI như nguồn lực nâng mặt bằng và DAI như năng lực phụ thuộc bối cảnh.</w:t>
      </w:r>
    </w:p>
    <w:p>
      <w:pPr>
        <w:pStyle w:val="BodyText"/>
      </w:pPr>
      <w:r>
        <w:t xml:space="preserve">Về mô hình, tám mô hình M0-M7 với điều tiết ba chiều (M7) là chuỗi mô hình đầu tiên trong các nghiên cứu châu Á kiểm định đồng thời phi tuyến I-P và điều tiết đa tầng trên pool vi mô lớn nhất từ trước đến nay.</w:t>
      </w:r>
    </w:p>
    <w:p>
      <w:pPr>
        <w:pStyle w:val="BodyText"/>
      </w:pPr>
      <w:r>
        <w:t xml:space="preserve">Về thực tiễn, kết quả cung cấp hàm ý chính sách cho doanh nghiệp Việt Nam và châu Á mới nổi (emerging Asia) về cách tận dụng quốc tế hóa kết hợp năng lực công nghệ và số hóa, đặc biệt trong giai đoạn AI bùng nổ.</w:t>
      </w:r>
    </w:p>
    <w:p>
      <w:r>
        <w:pict>
          <v:rect style="width:0;height:1.5pt" o:hralign="center" o:hrstd="t" o:hr="t"/>
        </w:pict>
      </w:r>
    </w:p>
    <w:bookmarkEnd w:id="31"/>
    <w:bookmarkEnd w:id="32"/>
    <w:bookmarkStart w:id="33" w:name="phương-pháp-nghiên-cứu"/>
    <w:p>
      <w:pPr>
        <w:pStyle w:val="Heading3"/>
      </w:pPr>
      <w:r>
        <w:t xml:space="preserve">2.2 Phương pháp nghiên cứu</w:t>
      </w:r>
    </w:p>
    <w:p>
      <w:pPr>
        <w:pStyle w:val="FirstParagraph"/>
      </w:pPr>
      <w:r>
        <w:t xml:space="preserve">Chuyên đề tiếp cận theo lối tổng quan tài liệu tích hợp (Torraco, 2005) cho khung lý thuyết và phát triển giả thuyết suy diễn (deductive hypothesis development) cho hệ giả thuyết. Đặc tả mô hình thực nghiệm tuân theo Wooldridge (2010) và Long &amp; Ervin (2000). Thiết kế nhận dạng và kiểm định độ vững theo Greene (2018). Hệ giả thuyết được neo đậu vào bằng chứng thực nghiệm từ các phân tích quốc gia của luận án (Việt Nam, Singapore, Trung Quốc) theo nguyên tắc nghiên cứu dựa trên hiện tượng (Meyer et al., 2017).</w:t>
      </w:r>
    </w:p>
    <w:p>
      <w:pPr>
        <w:pStyle w:val="BodyText"/>
      </w:pPr>
      <w:r>
        <w:t xml:space="preserve">Phương pháp ước lượng chính: OLS với sai số chuẩn vững HC1 (robust standard errors; Long &amp; Ervin, 2000) làm chuẩn, hiệu ứng cố định hai chiều (fixed effects, quốc gia × năm), và biến công cụ (2SLS) để nhận dạng nhân quả cho TCI và DAI. Kiểm định phi tuyến áp dụng kiểm định U Lind-Mehlum (2010) (U-test) để xác nhận chữ U ngược thực sự và kiểm định Paternoster để so sánh điểm uốn giữa các nhóm ICRV và giai đoạn thời gian. Phần mềm: Stata 18 (OLS, IV, margins) kết hợp R (LOWESS, ggplot2, CI điểm uốn).</w:t>
      </w:r>
    </w:p>
    <w:p>
      <w:r>
        <w:pict>
          <v:rect style="width:0;height:1.5pt" o:hralign="center" o:hrstd="t" o:hr="t"/>
        </w:pict>
      </w:r>
    </w:p>
    <w:bookmarkEnd w:id="33"/>
    <w:bookmarkStart w:id="85" w:name="kết-quả-và-thảo-luận"/>
    <w:p>
      <w:pPr>
        <w:pStyle w:val="Heading3"/>
      </w:pPr>
      <w:r>
        <w:t xml:space="preserve">2.3 Kết quả và thảo luận</w:t>
      </w:r>
    </w:p>
    <w:bookmarkStart w:id="37" w:name="X738edd18734ed39dd3ad1441b2baf3f5818c8a1"/>
    <w:p>
      <w:pPr>
        <w:pStyle w:val="Heading4"/>
      </w:pPr>
      <w:r>
        <w:t xml:space="preserve">2.3.1 Tổng quan tài liệu về quan hệ quốc tế hóa và hiệu quả kinh doanh</w:t>
      </w:r>
    </w:p>
    <w:bookmarkStart w:id="34" w:name="năm-dạng-hàm-của-quan-hệ-i-p"/>
    <w:p>
      <w:pPr>
        <w:pStyle w:val="Heading5"/>
      </w:pPr>
      <w:r>
        <w:t xml:space="preserve">Năm dạng hàm của quan hệ I-P</w:t>
      </w:r>
    </w:p>
    <w:p>
      <w:pPr>
        <w:pStyle w:val="FirstParagraph"/>
      </w:pPr>
      <w:r>
        <w:t xml:space="preserve">Các nghiên cứu IB không hội tụ về một dạng hàm duy nhất cho quan hệ I-P mà ghi nhận ít nhất năm dạng riêng biệt. Chính sự tồn tại song song của năm dạng này, chứ không phải bản thân từng dạng, mới là dữ kiện cần được giải thích: chúng phản ánh việc hiệu ứng quốc tế hóa thay đổi theo bối cảnh năng lực, thể chế, và giai đoạn số hóa.</w:t>
      </w:r>
    </w:p>
    <w:p>
      <w:pPr>
        <w:pStyle w:val="BodyText"/>
      </w:pPr>
      <w:r>
        <w:t xml:space="preserve">Dạng hàm thứ nhất, tuyến tính. Các nghiên cứu sớm như Hsu và Boggs (2003) và Geringer và cộng sự (1989) tìm thấy mối quan hệ tuyến tính dương: hiệu quả tăng đơn điệu theo mức độ quốc tế hóa. Logic nền tảng là lợi ích quy mô, đa dạng hóa doanh thu, và tiếp cận thị trường lớn hơn. Đây là kết quả đặc thù của các mẫu với FSTS thấp hoặc phân tán hẹp.</w:t>
      </w:r>
    </w:p>
    <w:p>
      <w:pPr>
        <w:pStyle w:val="BodyText"/>
      </w:pPr>
      <w:r>
        <w:t xml:space="preserve">Dạng hàm thứ hai, chữ U ngược. Hitt, Hoskisson và Kim (1997) và Gomes và Ramaswamy (1999) đề xuất mô hình chữ U ngược: hiệu quả tăng ở giai đoạn quốc tế hóa ban đầu đến trung bình do lợi ích quy mô và học hỏi, nhưng giảm sau điểm uốn tối ưu do chi phí điều phối đa thị trường vượt lợi ích. Điểm uốn thực nghiệm thường nằm trong khoảng 30-60% FSTS (Marano et al., 2016). Đây là dạng hàm phổ biến nhất trong các tổng quan định lượng.</w:t>
      </w:r>
    </w:p>
    <w:p>
      <w:pPr>
        <w:pStyle w:val="BodyText"/>
      </w:pPr>
      <w:r>
        <w:t xml:space="preserve">Dạng hàm thứ ba, S-curve ba giai đoạn. Lu và Beamish (2004) và Contractor, Kundu và Hsu (2003) phát triển lý thuyết ba giai đoạn: giai đoạn đầu hiệu quả giảm do chi phí học tập và thiết lập; giai đoạn giữa hiệu quả tăng do lợi ích quy mô và đa dạng hóa; giai đoạn quá mức hiệu quả giảm do chi phí phối hợp. Dạng S-curve có hệ số</w:t>
      </w:r>
      <w:r>
        <w:t xml:space="preserve"> </w:t>
      </w:r>
      <m:oMath>
        <m:sSub>
          <m:e>
            <m:r>
              <m:t>β</m:t>
            </m:r>
          </m:e>
          <m:sub>
            <m:r>
              <m:t>1</m:t>
            </m:r>
          </m:sub>
        </m:sSub>
      </m:oMath>
      <w:r>
        <w:t xml:space="preserve">(FSTS) &gt; 0,</w:t>
      </w:r>
      <w:r>
        <w:t xml:space="preserve"> </w:t>
      </w:r>
      <m:oMath>
        <m:sSub>
          <m:e>
            <m:r>
              <m:t>β</m:t>
            </m:r>
          </m:e>
          <m:sub>
            <m:r>
              <m:t>2</m:t>
            </m:r>
          </m:sub>
        </m:sSub>
      </m:oMath>
      <w:r>
        <w:t xml:space="preserve">(</w:t>
      </w:r>
      <m:oMath>
        <m:sSup>
          <m:e>
            <m:r>
              <m:rPr>
                <m:nor/>
                <m:sty m:val="p"/>
              </m:rPr>
              <m:t>FSTS</m:t>
            </m:r>
          </m:e>
          <m:sup>
            <m:r>
              <m:t>2</m:t>
            </m:r>
          </m:sup>
        </m:sSup>
      </m:oMath>
      <w:r>
        <w:t xml:space="preserve">) &lt; 0,</w:t>
      </w:r>
      <w:r>
        <w:t xml:space="preserve"> </w:t>
      </w:r>
      <m:oMath>
        <m:sSub>
          <m:e>
            <m:r>
              <m:t>β</m:t>
            </m:r>
          </m:e>
          <m:sub>
            <m:r>
              <m:t>3</m:t>
            </m:r>
          </m:sub>
        </m:sSub>
      </m:oMath>
      <w:r>
        <w:t xml:space="preserve">(</w:t>
      </w:r>
      <m:oMath>
        <m:sSup>
          <m:e>
            <m:r>
              <m:rPr>
                <m:nor/>
                <m:sty m:val="p"/>
              </m:rPr>
              <m:t>FSTS</m:t>
            </m:r>
          </m:e>
          <m:sup>
            <m:r>
              <m:t>3</m:t>
            </m:r>
          </m:sup>
        </m:sSup>
      </m:oMath>
      <w:r>
        <w:t xml:space="preserve">) &gt; 0. Bằng chứng hỗ trợ mạnh từ các MNE lớn, nhưng kém ổn định hơn với doanh nghiệp vừa và nhỏ.</w:t>
      </w:r>
    </w:p>
    <w:p>
      <w:pPr>
        <w:pStyle w:val="BodyText"/>
      </w:pPr>
      <w:r>
        <w:t xml:space="preserve">Dạng hàm thứ tư, M-curve. Riahi-Belkaoui (1998) đề xuất dạng M-curve với hai điểm uốn, phản ánh tính không đồng nhất trong lợi ích quốc tế hóa theo loại thị trường. Bằng chứng thực nghiệm hạn chế và khó tái lập.</w:t>
      </w:r>
    </w:p>
    <w:p>
      <w:pPr>
        <w:pStyle w:val="BodyText"/>
      </w:pPr>
      <w:r>
        <w:t xml:space="preserve">Dạng hàm thứ năm, forced penalty. Glaum và Oesterle (2007) ghi nhận dạng hàm tuyến tính âm trong các nền kinh tế bắt buộc phải quốc tế hóa do thị trường nội địa quá nhỏ (Briguglio, 1995; Bertram, 2006). Đây là hình thái đặc thù của các quốc đảo nhỏ Thái Bình Dương: các doanh nghiệp phải xuất khẩu để tồn tại nhưng thiếu năng lực cạnh tranh, tạo ra gánh nặng bắt buộc, hiệu quả không tăng theo cường độ xuất khẩu.</w:t>
      </w:r>
    </w:p>
    <w:p>
      <w:pPr>
        <w:pStyle w:val="BodyText"/>
      </w:pPr>
      <w:r>
        <w:t xml:space="preserve">Tất cả năm dạng hàm có thể được thống nhất dưới khung chi phí-lợi ích (Contractor, 2012): P(FSTS) = B(FSTS) − C(FSTS), trong đó B(, ) là hàm lợi ích và C(, ) là hàm chi phí. Sự khác biệt giữa các dạng hàm nằm ở hình dạng của B(, ) và C(, ) tùy theo ngữ cảnh thể chế, năng lực doanh nghiệp, và giai đoạn số hóa.</w:t>
      </w:r>
    </w:p>
    <w:p>
      <w:pPr>
        <w:pStyle w:val="BodyText"/>
      </w:pPr>
      <w:r>
        <w:t xml:space="preserve">Bảng 2.2. Năm dạng hàm I-P, cơ chế, và bối cảnh xuất hiện.</w:t>
      </w:r>
    </w:p>
    <w:tbl>
      <w:tblPr>
        <w:tblStyle w:val="Table"/>
        <w:tblW w:type="pct" w:w="5000"/>
        <w:tblLook w:firstRow="1" w:lastRow="0" w:firstColumn="0" w:lastColumn="0" w:noHBand="0" w:noVBand="0" w:val="0020"/>
        <w:jc w:val="start"/>
      </w:tblPr>
      <w:tblGrid>
        <w:gridCol w:w="1523"/>
        <w:gridCol w:w="2893"/>
        <w:gridCol w:w="1218"/>
        <w:gridCol w:w="2284"/>
      </w:tblGrid>
      <w:tr>
        <w:trPr>
          <w:tblHeader w:val="true"/>
        </w:trPr>
        <w:tc>
          <w:tcPr/>
          <w:p>
            <w:pPr>
              <w:pStyle w:val="Compact"/>
              <w:jc w:val="left"/>
            </w:pPr>
            <w:r>
              <w:t xml:space="preserve">Dạng hàm</w:t>
            </w:r>
          </w:p>
        </w:tc>
        <w:tc>
          <w:tcPr/>
          <w:p>
            <w:pPr>
              <w:pStyle w:val="Compact"/>
              <w:jc w:val="left"/>
            </w:pPr>
            <w:r>
              <w:t xml:space="preserve">Tác giả tiêu biểu</w:t>
            </w:r>
          </w:p>
        </w:tc>
        <w:tc>
          <w:tcPr/>
          <w:p>
            <w:pPr>
              <w:pStyle w:val="Compact"/>
              <w:jc w:val="left"/>
            </w:pPr>
            <w:r>
              <w:t xml:space="preserve">Cơ chế</w:t>
            </w:r>
          </w:p>
        </w:tc>
        <w:tc>
          <w:tcPr/>
          <w:p>
            <w:pPr>
              <w:pStyle w:val="Compact"/>
              <w:jc w:val="left"/>
            </w:pPr>
            <w:r>
              <w:t xml:space="preserve">Bối cảnh ICRV</w:t>
            </w:r>
          </w:p>
        </w:tc>
      </w:tr>
      <w:tr>
        <w:tc>
          <w:tcPr/>
          <w:p>
            <w:pPr>
              <w:pStyle w:val="Compact"/>
              <w:jc w:val="left"/>
            </w:pPr>
            <w:r>
              <w:t xml:space="preserve">Tuyến tính (+)</w:t>
            </w:r>
          </w:p>
        </w:tc>
        <w:tc>
          <w:tcPr/>
          <w:p>
            <w:pPr>
              <w:pStyle w:val="Compact"/>
              <w:jc w:val="left"/>
            </w:pPr>
            <w:r>
              <w:t xml:space="preserve">Hsu &amp; Boggs (2003)</w:t>
            </w:r>
          </w:p>
        </w:tc>
        <w:tc>
          <w:tcPr/>
          <w:p>
            <w:pPr>
              <w:pStyle w:val="Compact"/>
              <w:jc w:val="left"/>
            </w:pPr>
            <w:r>
              <w:t xml:space="preserve">Quy mô + học hỏi</w:t>
            </w:r>
          </w:p>
        </w:tc>
        <w:tc>
          <w:tcPr/>
          <w:p>
            <w:pPr>
              <w:pStyle w:val="Compact"/>
              <w:jc w:val="left"/>
            </w:pPr>
            <w:r>
              <w:t xml:space="preserve">FSTS thấp, tất cả nhóm</w:t>
            </w:r>
          </w:p>
        </w:tc>
      </w:tr>
      <w:tr>
        <w:tc>
          <w:tcPr/>
          <w:p>
            <w:pPr>
              <w:pStyle w:val="Compact"/>
              <w:jc w:val="left"/>
            </w:pPr>
            <w:r>
              <w:t xml:space="preserve">Chữ U ngược</w:t>
            </w:r>
          </w:p>
        </w:tc>
        <w:tc>
          <w:tcPr/>
          <w:p>
            <w:pPr>
              <w:pStyle w:val="Compact"/>
              <w:jc w:val="left"/>
            </w:pPr>
            <w:r>
              <w:t xml:space="preserve">Hitt et al. (1997); Gomes &amp; Ramaswamy (1999)</w:t>
            </w:r>
          </w:p>
        </w:tc>
        <w:tc>
          <w:tcPr/>
          <w:p>
            <w:pPr>
              <w:pStyle w:val="Compact"/>
              <w:jc w:val="left"/>
            </w:pPr>
            <w:r>
              <w:t xml:space="preserve">Chi phí điều phối &gt; lợi ích ở FSTS cao</w:t>
            </w:r>
          </w:p>
        </w:tc>
        <w:tc>
          <w:tcPr/>
          <w:p>
            <w:pPr>
              <w:pStyle w:val="Compact"/>
              <w:jc w:val="left"/>
            </w:pPr>
            <w:r>
              <w:t xml:space="preserve">Nhóm III-IV</w:t>
            </w:r>
          </w:p>
        </w:tc>
      </w:tr>
      <w:tr>
        <w:tc>
          <w:tcPr/>
          <w:p>
            <w:pPr>
              <w:pStyle w:val="Compact"/>
              <w:jc w:val="left"/>
            </w:pPr>
            <w:r>
              <w:t xml:space="preserve">S-curve ba giai đoạn</w:t>
            </w:r>
          </w:p>
        </w:tc>
        <w:tc>
          <w:tcPr/>
          <w:p>
            <w:pPr>
              <w:pStyle w:val="Compact"/>
              <w:jc w:val="left"/>
            </w:pPr>
            <w:r>
              <w:t xml:space="preserve">Lu &amp; Beamish (2004); Contractor et al. (2003)</w:t>
            </w:r>
          </w:p>
        </w:tc>
        <w:tc>
          <w:tcPr/>
          <w:p>
            <w:pPr>
              <w:pStyle w:val="Compact"/>
              <w:jc w:val="left"/>
            </w:pPr>
            <w:r>
              <w:t xml:space="preserve">Ba giai đoạn: học tập, quy mô, quá mức</w:t>
            </w:r>
          </w:p>
        </w:tc>
        <w:tc>
          <w:tcPr/>
          <w:p>
            <w:pPr>
              <w:pStyle w:val="Compact"/>
              <w:jc w:val="left"/>
            </w:pPr>
            <w:r>
              <w:t xml:space="preserve">MNE lớn, tất cả nhóm</w:t>
            </w:r>
          </w:p>
        </w:tc>
      </w:tr>
      <w:tr>
        <w:tc>
          <w:tcPr/>
          <w:p>
            <w:pPr>
              <w:pStyle w:val="Compact"/>
              <w:jc w:val="left"/>
            </w:pPr>
            <w:r>
              <w:t xml:space="preserve">M-curve</w:t>
            </w:r>
          </w:p>
        </w:tc>
        <w:tc>
          <w:tcPr/>
          <w:p>
            <w:pPr>
              <w:pStyle w:val="Compact"/>
              <w:jc w:val="left"/>
            </w:pPr>
            <w:r>
              <w:t xml:space="preserve">Riahi-Belkaoui (1998)</w:t>
            </w:r>
          </w:p>
        </w:tc>
        <w:tc>
          <w:tcPr/>
          <w:p>
            <w:pPr>
              <w:pStyle w:val="Compact"/>
              <w:jc w:val="left"/>
            </w:pPr>
            <w:r>
              <w:t xml:space="preserve">Lợi ích không đồng nhất</w:t>
            </w:r>
          </w:p>
        </w:tc>
        <w:tc>
          <w:tcPr/>
          <w:p>
            <w:pPr>
              <w:pStyle w:val="Compact"/>
              <w:jc w:val="left"/>
            </w:pPr>
            <w:r>
              <w:t xml:space="preserve">Bằng chứng hạn chế</w:t>
            </w:r>
          </w:p>
        </w:tc>
      </w:tr>
      <w:tr>
        <w:tc>
          <w:tcPr/>
          <w:p>
            <w:pPr>
              <w:pStyle w:val="Compact"/>
              <w:jc w:val="left"/>
            </w:pPr>
            <w:r>
              <w:t xml:space="preserve">Forced penalty</w:t>
            </w:r>
          </w:p>
        </w:tc>
        <w:tc>
          <w:tcPr/>
          <w:p>
            <w:pPr>
              <w:pStyle w:val="Compact"/>
              <w:jc w:val="left"/>
            </w:pPr>
            <w:r>
              <w:t xml:space="preserve">Glaum &amp; Oesterle (2007)</w:t>
            </w:r>
          </w:p>
        </w:tc>
        <w:tc>
          <w:tcPr/>
          <w:p>
            <w:pPr>
              <w:pStyle w:val="Compact"/>
              <w:jc w:val="left"/>
            </w:pPr>
            <w:r>
              <w:t xml:space="preserve">Bắt buộc quốc tế hóa, thiếu năng lực</w:t>
            </w:r>
          </w:p>
        </w:tc>
        <w:tc>
          <w:tcPr/>
          <w:p>
            <w:pPr>
              <w:pStyle w:val="Compact"/>
              <w:jc w:val="left"/>
            </w:pPr>
            <w:r>
              <w:t xml:space="preserve">Nhóm VI (SIDS)</w:t>
            </w:r>
          </w:p>
        </w:tc>
      </w:tr>
    </w:tbl>
    <w:bookmarkEnd w:id="34"/>
    <w:bookmarkStart w:id="35" w:name="năm-tổng-quan-định-lượng-lớn-1980-2024"/>
    <w:p>
      <w:pPr>
        <w:pStyle w:val="Heading5"/>
      </w:pPr>
      <w:r>
        <w:t xml:space="preserve">Năm tổng quan định lượng lớn (1980-2024)</w:t>
      </w:r>
    </w:p>
    <w:p>
      <w:pPr>
        <w:pStyle w:val="FirstParagraph"/>
      </w:pPr>
      <w:r>
        <w:t xml:space="preserve">Năm tổng quan định lượng quy mô lớn trải dài giai đoạn 1980-2024 hội tụ về một kết luận chung, hiệu ứng I-P dương nhưng nhỏ và dị biệt cao, song mỗi tổng quan đều để lại đúng những khoảng trống mà chuyên đề này nhắm tới.</w:t>
      </w:r>
    </w:p>
    <w:p>
      <w:pPr>
        <w:pStyle w:val="BodyText"/>
      </w:pPr>
      <w:r>
        <w:t xml:space="preserve">Bausch và Krist (2007) phân tích 68 nghiên cứu (1980-2005) và tìm thấy trung bình r = 0,045 (không đáng kể), nhưng với biến động cao (SD = 0,21), cho thấy các biến điều tiết quan trọng hơn hiệu ứng trung bình. Phương pháp: meta-regression với 8 biến điều tiết gồm quy mô doanh nghiệp, cường độ R&amp;D, loại ngành, GDP quốc gia, khoảng cách văn hóa, phạm vi địa lý, và hai thước đo hiệu quả. Phát hiện chính: không tồn tại một hiệu ứng trung bình đơn nhất; các biến điều tiết thể chế và văn hóa giải thích lượng phương sai lớn hơn đáng kể so với biến điều tiết cấp doanh nghiệp. Hạn chế: thiếu đại diện châu Á (chỉ 8/68 nghiên cứu), không kiểm định phi tuyến có hệ thống.</w:t>
      </w:r>
    </w:p>
    <w:p>
      <w:pPr>
        <w:pStyle w:val="BodyText"/>
      </w:pPr>
      <w:r>
        <w:t xml:space="preserve">Kirca và cộng sự (2012) tổng hợp 180 nghiên cứu với 824 cỡ hiệu ứng, tìm thấy mối quan hệ dương trung bình nhưng với điều tiết đáng kể từ loại hình quốc tế hóa, thước đo hiệu quả, và thuộc tính doanh nghiệp. Cường độ R&amp;D là biến điều tiết cấp doanh nghiệp mạnh nhất (β_meta = +0,12, p &lt; 0,001). Hạn chế: thiếu bằng chứng từ châu Á và thị trường mới nổi; không có biến số; không bao gồm SIDS hay nền kinh tế cận biên.</w:t>
      </w:r>
    </w:p>
    <w:p>
      <w:pPr>
        <w:pStyle w:val="BodyText"/>
      </w:pPr>
      <w:r>
        <w:t xml:space="preserve">Marano và cộng sự (2016) phân tích 333 nghiên cứu với cách tiếp cận tập trung vào thể chế. Phát hiện chính: bối cảnh thể chế quốc gia xuất xứ điều tiết đáng kể mối quan hệ I-P, củng cố cơ sở cho H5 (điều tiết theo chế độ thể chế ICRV), trong nghiên cứu này được vận hành hóa như sự thay đổi</w:t>
      </w:r>
      <w:r>
        <w:t xml:space="preserve"> </w:t>
      </w:r>
      <w:r>
        <w:rPr>
          <w:iCs/>
          <w:i/>
        </w:rPr>
        <w:t xml:space="preserve">độ cong (concavity)</w:t>
      </w:r>
      <w:r>
        <w:t xml:space="preserve"> </w:t>
      </w:r>
      <w:r>
        <w:t xml:space="preserve">của đường cong theo chất lượng thể chế, chứ không phải sự dịch chuyển đơn điệu của điểm uốn. Hạn chế: không phân tách TCI và DAI; không có dữ liệu sau 2015; không bao gồm quốc đảo nhỏ.</w:t>
      </w:r>
    </w:p>
    <w:p>
      <w:pPr>
        <w:pStyle w:val="BodyText"/>
      </w:pPr>
      <w:r>
        <w:t xml:space="preserve">Wu, Wood và Khan (2022) tổng hợp 20 năm bằng chứng từ doanh nghiệp đa quốc gia thị trường mới nổi, tìm thấy điểm uốn thấp hơn so với doanh nghiệp từ nền kinh tế phát triển khoảng 12-18% FSTS do khoảng cách năng lực hấp thụ. Hạn chế: không kiểm định giai đoạn số hóa; không sử dụng dữ liệu vi mô WBES; không phân biệt TCI và DAI.</w:t>
      </w:r>
    </w:p>
    <w:p>
      <w:pPr>
        <w:pStyle w:val="BodyText"/>
      </w:pPr>
      <w:r>
        <w:t xml:space="preserve">Schwens và cộng sự (2018) tập trung vào doanh nghiệp vừa và nhỏ và tìm thấy dạng U (không phải chữ U ngược) trong một số bối cảnh, chi phí quốc tế hóa ban đầu lớn so với năng lực, nhưng phục hồi sau khi vượt ngưỡng thiết lập. Hạn chế: mẫu nhỏ (87 nghiên cứu); không bao phủ châu Á Thái Bình Dương đầy đủ; không kiểm định DAI như biến điều tiết.</w:t>
      </w:r>
    </w:p>
    <w:p>
      <w:pPr>
        <w:pStyle w:val="BodyText"/>
      </w:pPr>
      <w:r>
        <w:t xml:space="preserve">Kết luận tổng quan: hiệu ứng trung bình I-P là dương nhỏ (r khoảng 0,04-0,07) nhưng có mức dị biệt cao (SD = 0,15-0,21). Cả năm tổng quan đều thiếu: (i) bao phủ đầy đủ châu Á và Thái Bình Dương; (ii) kiểm định đồng thời phi tuyến và điều tiết đa tầng; (iii) phân tách TCI và DAI; (iv) bao gồm quốc đảo nhỏ Thái Bình Dương; (v) dữ liệu sau 2020. Chuyên đề này lấp đầy tất cả năm khoảng trống với pool 101.185 doanh nghiệp và khung CDCM.</w:t>
      </w:r>
    </w:p>
    <w:p>
      <w:pPr>
        <w:pStyle w:val="BodyText"/>
      </w:pPr>
      <w:r>
        <w:t xml:space="preserve">Bảng 2.13. So sánh đặc điểm phương pháp và phạm vi lý thuyết của các khung tham chiếu chính và CĐ2.</w:t>
      </w:r>
    </w:p>
    <w:tbl>
      <w:tblPr>
        <w:tblStyle w:val="Table"/>
        <w:tblW w:type="pct" w:w="5000"/>
        <w:tblLook w:firstRow="1" w:lastRow="0" w:firstColumn="0" w:lastColumn="0" w:noHBand="0" w:noVBand="0" w:val="0020"/>
        <w:jc w:val="start"/>
      </w:tblPr>
      <w:tblGrid>
        <w:gridCol w:w="630"/>
        <w:gridCol w:w="1260"/>
        <w:gridCol w:w="450"/>
        <w:gridCol w:w="450"/>
        <w:gridCol w:w="1170"/>
        <w:gridCol w:w="1530"/>
        <w:gridCol w:w="900"/>
        <w:gridCol w:w="990"/>
        <w:gridCol w:w="540"/>
      </w:tblGrid>
      <w:tr>
        <w:trPr>
          <w:tblHeader w:val="true"/>
        </w:trPr>
        <w:tc>
          <w:tcPr/>
          <w:p>
            <w:pPr>
              <w:pStyle w:val="Compact"/>
              <w:jc w:val="left"/>
            </w:pPr>
            <w:r>
              <w:t xml:space="preserve">Khung</w:t>
            </w:r>
          </w:p>
        </w:tc>
        <w:tc>
          <w:tcPr/>
          <w:p>
            <w:pPr>
              <w:pStyle w:val="Compact"/>
              <w:jc w:val="left"/>
            </w:pPr>
            <w:r>
              <w:t xml:space="preserve">Phi tuyến I-P</w:t>
            </w:r>
          </w:p>
        </w:tc>
        <w:tc>
          <w:tcPr/>
          <w:p>
            <w:pPr>
              <w:pStyle w:val="Compact"/>
              <w:jc w:val="left"/>
            </w:pPr>
            <w:r>
              <w:t xml:space="preserve">TCI</w:t>
            </w:r>
          </w:p>
        </w:tc>
        <w:tc>
          <w:tcPr/>
          <w:p>
            <w:pPr>
              <w:pStyle w:val="Compact"/>
              <w:jc w:val="left"/>
            </w:pPr>
            <w:r>
              <w:t xml:space="preserve">DAI</w:t>
            </w:r>
          </w:p>
        </w:tc>
        <w:tc>
          <w:tcPr/>
          <w:p>
            <w:pPr>
              <w:pStyle w:val="Compact"/>
              <w:jc w:val="left"/>
            </w:pPr>
            <w:r>
              <w:t xml:space="preserve">Đặc điểm QL</w:t>
            </w:r>
          </w:p>
        </w:tc>
        <w:tc>
          <w:tcPr/>
          <w:p>
            <w:pPr>
              <w:pStyle w:val="Compact"/>
              <w:jc w:val="left"/>
            </w:pPr>
            <w:r>
              <w:t xml:space="preserve">Thể chế (Inst.)</w:t>
            </w:r>
          </w:p>
        </w:tc>
        <w:tc>
          <w:tcPr/>
          <w:p>
            <w:pPr>
              <w:pStyle w:val="Compact"/>
              <w:jc w:val="left"/>
            </w:pPr>
            <w:r>
              <w:t xml:space="preserve">Temporal</w:t>
            </w:r>
          </w:p>
        </w:tc>
        <w:tc>
          <w:tcPr/>
          <w:p>
            <w:pPr>
              <w:pStyle w:val="Compact"/>
              <w:jc w:val="left"/>
            </w:pPr>
            <w:r>
              <w:t xml:space="preserve">Phân nhóm</w:t>
            </w:r>
          </w:p>
        </w:tc>
        <w:tc>
          <w:tcPr/>
          <w:p>
            <w:pPr>
              <w:pStyle w:val="Compact"/>
              <w:jc w:val="left"/>
            </w:pPr>
            <w:r>
              <w:t xml:space="preserve">SIDS</w:t>
            </w:r>
          </w:p>
        </w:tc>
      </w:tr>
      <w:tr>
        <w:tc>
          <w:tcPr/>
          <w:p>
            <w:pPr>
              <w:pStyle w:val="Compact"/>
              <w:jc w:val="left"/>
            </w:pPr>
            <w:r>
              <w:t xml:space="preserve">Bausch &amp; Krist (2007)</w:t>
            </w:r>
          </w:p>
        </w:tc>
        <w:tc>
          <w:tcPr/>
          <w:p>
            <w:pPr>
              <w:pStyle w:val="Compact"/>
              <w:jc w:val="left"/>
            </w:pPr>
            <w:r>
              <w:t xml:space="preserve">Không (không kiểm định hệ thống)</w:t>
            </w:r>
          </w:p>
        </w:tc>
        <w:tc>
          <w:tcPr/>
          <w:p>
            <w:pPr>
              <w:pStyle w:val="Compact"/>
              <w:jc w:val="left"/>
            </w:pPr>
            <w:r>
              <w:t xml:space="preserve">Partial (R&amp;D proxy)</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Có (GDP, văn hóa)</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r>
      <w:tr>
        <w:tc>
          <w:tcPr/>
          <w:p>
            <w:pPr>
              <w:pStyle w:val="Compact"/>
              <w:jc w:val="left"/>
            </w:pPr>
            <w:r>
              <w:t xml:space="preserve">Kirca et al. (2012)</w:t>
            </w:r>
          </w:p>
        </w:tc>
        <w:tc>
          <w:tcPr/>
          <w:p>
            <w:pPr>
              <w:pStyle w:val="Compact"/>
              <w:jc w:val="left"/>
            </w:pPr>
            <w:r>
              <w:t xml:space="preserve">Không</w:t>
            </w:r>
          </w:p>
        </w:tc>
        <w:tc>
          <w:tcPr/>
          <w:p>
            <w:pPr>
              <w:pStyle w:val="Compact"/>
              <w:jc w:val="left"/>
            </w:pPr>
            <w:r>
              <w:t xml:space="preserve">Có (R&amp;D proxy)</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Partial</w:t>
            </w:r>
          </w:p>
        </w:tc>
        <w:tc>
          <w:tcPr/>
          <w:p>
            <w:pPr>
              <w:pStyle w:val="Compact"/>
              <w:jc w:val="left"/>
            </w:pPr>
            <w:r>
              <w:t xml:space="preserve">Không</w:t>
            </w:r>
          </w:p>
        </w:tc>
        <w:tc>
          <w:tcPr/>
          <w:p>
            <w:pPr>
              <w:pStyle w:val="Compact"/>
              <w:jc w:val="left"/>
            </w:pPr>
            <w:r>
              <w:t xml:space="preserve">Partial (ngành)</w:t>
            </w:r>
          </w:p>
        </w:tc>
        <w:tc>
          <w:tcPr/>
          <w:p>
            <w:pPr>
              <w:pStyle w:val="Compact"/>
              <w:jc w:val="left"/>
            </w:pPr>
            <w:r>
              <w:t xml:space="preserve">Không</w:t>
            </w:r>
          </w:p>
        </w:tc>
      </w:tr>
      <w:tr>
        <w:tc>
          <w:tcPr/>
          <w:p>
            <w:pPr>
              <w:pStyle w:val="Compact"/>
              <w:jc w:val="left"/>
            </w:pPr>
            <w:r>
              <w:t xml:space="preserve">Marano et al. (2016)</w:t>
            </w:r>
          </w:p>
        </w:tc>
        <w:tc>
          <w:tcPr/>
          <w:p>
            <w:pPr>
              <w:pStyle w:val="Compact"/>
              <w:jc w:val="left"/>
            </w:pPr>
            <w:r>
              <w:t xml:space="preserve">Có (TP $</w:t>
            </w:r>
            <w:r>
              <w:t xml:space="preserve">$15% FSTS)</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Có (cốt lõi)</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r>
      <w:tr>
        <w:tc>
          <w:tcPr/>
          <w:p>
            <w:pPr>
              <w:pStyle w:val="Compact"/>
              <w:jc w:val="left"/>
            </w:pPr>
            <w:r>
              <w:t xml:space="preserve">Banalieva &amp; Dhanaraj (2019)</w:t>
            </w:r>
          </w:p>
        </w:tc>
        <w:tc>
          <w:tcPr/>
          <w:p>
            <w:pPr>
              <w:pStyle w:val="Compact"/>
              <w:jc w:val="left"/>
            </w:pPr>
            <w:r>
              <w:t xml:space="preserve">Partial</w:t>
            </w:r>
          </w:p>
        </w:tc>
        <w:tc>
          <w:tcPr/>
          <w:p>
            <w:pPr>
              <w:pStyle w:val="Compact"/>
              <w:jc w:val="left"/>
            </w:pPr>
            <w:r>
              <w:t xml:space="preserve">Không</w:t>
            </w:r>
          </w:p>
        </w:tc>
        <w:tc>
          <w:tcPr/>
          <w:p>
            <w:pPr>
              <w:pStyle w:val="Compact"/>
              <w:jc w:val="left"/>
            </w:pPr>
            <w:r>
              <w:t xml:space="preserve">Có (cốt lõi)</w:t>
            </w:r>
          </w:p>
        </w:tc>
        <w:tc>
          <w:tcPr/>
          <w:p>
            <w:pPr>
              <w:pStyle w:val="Compact"/>
              <w:jc w:val="left"/>
            </w:pPr>
            <w:r>
              <w:t xml:space="preserve">Không</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Không</w:t>
            </w:r>
          </w:p>
        </w:tc>
        <w:tc>
          <w:tcPr/>
          <w:p>
            <w:pPr>
              <w:pStyle w:val="Compact"/>
              <w:jc w:val="left"/>
            </w:pPr>
            <w:r>
              <w:t xml:space="preserve">Không</w:t>
            </w:r>
          </w:p>
        </w:tc>
      </w:tr>
      <w:tr>
        <w:tc>
          <w:tcPr/>
          <w:p>
            <w:pPr>
              <w:pStyle w:val="Compact"/>
              <w:jc w:val="left"/>
            </w:pPr>
            <w:r>
              <w:t xml:space="preserve">Wu, Wood &amp; Khan (2022)</w:t>
            </w:r>
          </w:p>
        </w:tc>
        <w:tc>
          <w:tcPr/>
          <w:p>
            <w:pPr>
              <w:pStyle w:val="Compact"/>
              <w:jc w:val="left"/>
            </w:pPr>
            <w:r>
              <w:t xml:space="preserve">Có (TP thấp hơn EMNE)</w:t>
            </w:r>
          </w:p>
        </w:tc>
        <w:tc>
          <w:tcPr/>
          <w:p>
            <w:pPr>
              <w:pStyle w:val="Compact"/>
              <w:jc w:val="left"/>
            </w:pPr>
            <w:r>
              <w:t xml:space="preserve">Partial (absorptive capacity)</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Có</w:t>
            </w:r>
          </w:p>
        </w:tc>
        <w:tc>
          <w:tcPr/>
          <w:p>
            <w:pPr>
              <w:pStyle w:val="Compact"/>
              <w:jc w:val="left"/>
            </w:pPr>
            <w:r>
              <w:t xml:space="preserve">Có (20 năm)</w:t>
            </w:r>
          </w:p>
        </w:tc>
        <w:tc>
          <w:tcPr/>
          <w:p>
            <w:pPr>
              <w:pStyle w:val="Compact"/>
              <w:jc w:val="left"/>
            </w:pPr>
            <w:r>
              <w:t xml:space="preserve">Có (EMNE/DMNE)</w:t>
            </w:r>
          </w:p>
        </w:tc>
        <w:tc>
          <w:tcPr/>
          <w:p>
            <w:pPr>
              <w:pStyle w:val="Compact"/>
              <w:jc w:val="left"/>
            </w:pPr>
            <w:r>
              <w:t xml:space="preserve">Không</w:t>
            </w:r>
          </w:p>
        </w:tc>
      </w:tr>
      <w:tr>
        <w:tc>
          <w:tcPr/>
          <w:p>
            <w:pPr>
              <w:pStyle w:val="Compact"/>
              <w:jc w:val="left"/>
            </w:pPr>
            <w:r>
              <w:t xml:space="preserve">Đỗ &amp; Phan (2026, JFAR)</w:t>
            </w:r>
          </w:p>
        </w:tc>
        <w:tc>
          <w:tcPr/>
          <w:p>
            <w:pPr>
              <w:pStyle w:val="Compact"/>
              <w:jc w:val="left"/>
            </w:pPr>
            <w:r>
              <w:t xml:space="preserve">Có (bậc ba / S-curve)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CĐ2 (luận án này)</w:t>
            </w:r>
          </w:p>
        </w:tc>
        <w:tc>
          <w:tcPr/>
          <w:p>
            <w:pPr>
              <w:pStyle w:val="Compact"/>
              <w:jc w:val="left"/>
            </w:pPr>
            <w:r>
              <w:rPr>
                <w:bCs/>
                <w:b/>
              </w:rPr>
              <w:t xml:space="preserve">Có (H1: chữ U ngược + S-curve)</w:t>
            </w:r>
          </w:p>
        </w:tc>
        <w:tc>
          <w:tcPr/>
          <w:p>
            <w:pPr>
              <w:pStyle w:val="Compact"/>
              <w:jc w:val="left"/>
            </w:pPr>
            <w:r>
              <w:rPr>
                <w:bCs/>
                <w:b/>
              </w:rPr>
              <w:t xml:space="preserve">Có (H2: nhân quả IV)</w:t>
            </w:r>
          </w:p>
        </w:tc>
        <w:tc>
          <w:tcPr/>
          <w:p>
            <w:pPr>
              <w:pStyle w:val="Compact"/>
              <w:jc w:val="left"/>
            </w:pPr>
            <w:r>
              <w:rPr>
                <w:bCs/>
                <w:b/>
              </w:rPr>
              <w:t xml:space="preserve">Có (H3: CDCM phân biệt)</w:t>
            </w:r>
          </w:p>
        </w:tc>
        <w:tc>
          <w:tcPr/>
          <w:p>
            <w:pPr>
              <w:pStyle w:val="Compact"/>
              <w:jc w:val="left"/>
            </w:pPr>
            <w:r>
              <w:rPr>
                <w:bCs/>
                <w:b/>
              </w:rPr>
              <w:t xml:space="preserve">Kiểm soát (H4: kiểm soát quản trị nội sinh)</w:t>
            </w:r>
          </w:p>
        </w:tc>
        <w:tc>
          <w:tcPr/>
          <w:p>
            <w:pPr>
              <w:pStyle w:val="Compact"/>
              <w:jc w:val="left"/>
            </w:pPr>
            <w:r>
              <w:rPr>
                <w:bCs/>
                <w:b/>
              </w:rPr>
              <w:t xml:space="preserve">Có (H5: ICRV 6 nhóm)</w:t>
            </w:r>
          </w:p>
        </w:tc>
        <w:tc>
          <w:tcPr/>
          <w:p>
            <w:pPr>
              <w:pStyle w:val="Compact"/>
              <w:jc w:val="left"/>
            </w:pPr>
            <w:r>
              <w:rPr>
                <w:bCs/>
                <w:b/>
              </w:rPr>
              <w:t xml:space="preserve">Có (H6: 3 giai đoạn)</w:t>
            </w:r>
          </w:p>
        </w:tc>
        <w:tc>
          <w:tcPr/>
          <w:p>
            <w:pPr>
              <w:pStyle w:val="Compact"/>
              <w:jc w:val="left"/>
            </w:pPr>
            <w:r>
              <w:rPr>
                <w:bCs/>
                <w:b/>
              </w:rPr>
              <w:t xml:space="preserve">Có (Nhóm I đến VI)</w:t>
            </w:r>
          </w:p>
        </w:tc>
        <w:tc>
          <w:tcPr/>
          <w:p>
            <w:pPr>
              <w:pStyle w:val="Compact"/>
              <w:jc w:val="left"/>
            </w:pPr>
            <w:r>
              <w:rPr>
                <w:bCs/>
                <w:b/>
              </w:rPr>
              <w:t xml:space="preserve">Có (Nhóm VI FIP)</w:t>
            </w:r>
          </w:p>
        </w:tc>
      </w:tr>
    </w:tbl>
    <w:p>
      <w:pPr>
        <w:pStyle w:val="BodyText"/>
      </w:pPr>
      <w:r>
        <w:rPr>
          <w:iCs/>
          <w:i/>
        </w:rPr>
        <w:t xml:space="preserve">Ghi chú: Có = kiểm định chính thức hoặc đóng góp lý thuyết rõ ràng; Partial = đề cập nhưng không phải trọng tâm; Không = không bao gồm; - = không áp dụng. FIP = Forced Internationalization Penalty. TCI và DAI được phân tách theo tiêu chí CDCM; nghiên cứu SMEs Trung Quốc của Đỗ &amp; Phan (2026, JFAR) không kiểm định CDCM (pre-framework) nhưng cung cấp bằng chứng phi tuyến cubic tiền thân.</w:t>
      </w:r>
    </w:p>
    <w:bookmarkEnd w:id="35"/>
    <w:bookmarkStart w:id="36" w:name="X87876e758b6f1bc3610c3cd7a165503b53f90f4"/>
    <w:p>
      <w:pPr>
        <w:pStyle w:val="Heading5"/>
      </w:pPr>
      <w:r>
        <w:t xml:space="preserve">Bằng chứng châu Á từ ba phân tích quốc gia đồng hành</w:t>
      </w:r>
    </w:p>
    <w:p>
      <w:pPr>
        <w:pStyle w:val="FirstParagraph"/>
      </w:pPr>
      <w:r>
        <w:t xml:space="preserve">Phân tích Việt Nam của luận án: trên 2.958 doanh nghiệp WBES ba sóng (2009, 2015, 2023), kết quả xác nhận chữ U ngược trong cả ba sóng với kiểm định Lind-Mehlum p &lt; 0,001 (tổng hợp). Điểm uốn: 46,2% (2009), 39,3% (2015), 41,6% (2023), 39,7% (tổng hợp). Phân tích này tách H1 thành hai mệnh đề: bước nhảy từ không xuất khẩu sang xuất khẩu là biên năng suất chính; trong mẫu chỉ gồm doanh nghiệp xuất khẩu, đường cong gần phẳng. TCI (b8+e6) dương bền vững (β = 0,179 tổng hợp, p &lt; 0,001); biến công cụ cho TCI nhân quả (β = 1,639, F bậc một = 22,1). DAI phụ thuộc giai đoạn, dương năm 2009 (β = 0,175), null năm 2015, có tương tác âm năm 2023 (FSTS_c×DAI_z = −0,912, p = 0,043); biến công cụ cho DAI null (β = 0,018, p = 0,942, F bậc một = 34,6), phụ thuộc chọn lựa, không nhân quả.</w:t>
      </w:r>
    </w:p>
    <w:p>
      <w:pPr>
        <w:pStyle w:val="BodyText"/>
      </w:pPr>
      <w:r>
        <w:rPr>
          <w:iCs/>
          <w:i/>
        </w:rPr>
        <w:t xml:space="preserve">Lưu ý về đặc tả mô hình của phân tích Việt Nam: phân tích Việt Nam của luận án sử dụng chuỗi M0-M8 riêng, trong đó M8 là mô hình đầy đủ: lnLP_it = α +</w:t>
      </w:r>
      <w:r>
        <w:rPr>
          <w:iCs/>
          <w:i/>
        </w:rPr>
        <w:t xml:space="preserve"> </w:t>
      </w:r>
      <m:oMath>
        <m:sSub>
          <m:e>
            <m:r>
              <m:t>β</m:t>
            </m:r>
          </m:e>
          <m:sub>
            <m:r>
              <m:t>1</m:t>
            </m:r>
          </m:sub>
        </m:sSub>
      </m:oMath>
      <w:r>
        <w:rPr>
          <w:iCs/>
          <w:i/>
        </w:rPr>
        <w:t xml:space="preserve"> </w:t>
      </w:r>
      <w:r>
        <w:rPr>
          <w:iCs/>
          <w:i/>
        </w:rPr>
        <w:t xml:space="preserve">FSTS_c +</w:t>
      </w:r>
      <w:r>
        <w:rPr>
          <w:iCs/>
          <w:i/>
        </w:rPr>
        <w:t xml:space="preserve"> </w:t>
      </w:r>
      <m:oMath>
        <m:sSub>
          <m:e>
            <m:r>
              <m:t>β</m:t>
            </m:r>
          </m:e>
          <m:sub>
            <m:r>
              <m:t>2</m:t>
            </m:r>
          </m:sub>
        </m:sSub>
      </m:oMath>
      <w:r>
        <w:rPr>
          <w:iCs/>
          <w:i/>
        </w:rPr>
        <w:t xml:space="preserve"> </w:t>
      </w:r>
      <m:oMath>
        <m:sSubSup>
          <m:e>
            <m:r>
              <m:rPr>
                <m:nor/>
                <m:sty m:val="p"/>
              </m:rPr>
              <m:t>FSTS</m:t>
            </m:r>
          </m:e>
          <m:sub>
            <m:r>
              <m:t>c</m:t>
            </m:r>
          </m:sub>
          <m:sup>
            <m:r>
              <m:t>2</m:t>
            </m:r>
          </m:sup>
        </m:sSubSup>
      </m:oMath>
      <w:r>
        <w:rPr>
          <w:iCs/>
          <w:i/>
        </w:rPr>
        <w:t xml:space="preserve"> </w:t>
      </w:r>
      <w:r>
        <w:rPr>
          <w:iCs/>
          <w:i/>
        </w:rPr>
        <w:t xml:space="preserve">+</w:t>
      </w:r>
      <w:r>
        <w:rPr>
          <w:iCs/>
          <w:i/>
        </w:rPr>
        <w:t xml:space="preserve"> </w:t>
      </w:r>
      <m:oMath>
        <m:sSub>
          <m:e>
            <m:r>
              <m:t>β</m:t>
            </m:r>
          </m:e>
          <m:sub>
            <m:r>
              <m:t>3</m:t>
            </m:r>
          </m:sub>
        </m:sSub>
      </m:oMath>
      <w:r>
        <w:rPr>
          <w:iCs/>
          <w:i/>
        </w:rPr>
        <w:t xml:space="preserve"> </w:t>
      </w:r>
      <w:r>
        <w:rPr>
          <w:iCs/>
          <w:i/>
        </w:rPr>
        <w:t xml:space="preserve">TCI_z +</w:t>
      </w:r>
      <w:r>
        <w:rPr>
          <w:iCs/>
          <w:i/>
        </w:rPr>
        <w:t xml:space="preserve"> </w:t>
      </w:r>
      <m:oMath>
        <m:sSub>
          <m:e>
            <m:r>
              <m:t>β</m:t>
            </m:r>
          </m:e>
          <m:sub>
            <m:r>
              <m:t>4</m:t>
            </m:r>
          </m:sub>
        </m:sSub>
      </m:oMath>
      <w:r>
        <w:rPr>
          <w:iCs/>
          <w:i/>
        </w:rPr>
        <w:t xml:space="preserve"> </w:t>
      </w:r>
      <w:r>
        <w:rPr>
          <w:iCs/>
          <w:i/>
        </w:rPr>
        <w:t xml:space="preserve">DAI_z +</w:t>
      </w:r>
      <w:r>
        <w:rPr>
          <w:iCs/>
          <w:i/>
        </w:rPr>
        <w:t xml:space="preserve"> </w:t>
      </w:r>
      <m:oMath>
        <m:sSub>
          <m:e>
            <m:r>
              <m:t>β</m:t>
            </m:r>
          </m:e>
          <m:sub>
            <m:r>
              <m:t>5</m:t>
            </m:r>
          </m:sub>
        </m:sSub>
      </m:oMath>
      <w:r>
        <w:rPr>
          <w:iCs/>
          <w:i/>
        </w:rPr>
        <w:t xml:space="preserve">(FSTS_c × DAI_z) +</w:t>
      </w:r>
      <w:r>
        <w:rPr>
          <w:iCs/>
          <w:i/>
        </w:rPr>
        <w:t xml:space="preserve"> </w:t>
      </w:r>
      <m:oMath>
        <m:sSub>
          <m:e>
            <m:r>
              <m:t>β</m:t>
            </m:r>
          </m:e>
          <m:sub>
            <m:r>
              <m:t>6</m:t>
            </m:r>
          </m:sub>
        </m:sSub>
      </m:oMath>
      <w:r>
        <w:rPr>
          <w:iCs/>
          <w:i/>
        </w:rPr>
        <w:t xml:space="preserve">(</w:t>
      </w:r>
      <m:oMath>
        <m:sSubSup>
          <m:e>
            <m:r>
              <m:rPr>
                <m:nor/>
                <m:sty m:val="p"/>
              </m:rPr>
              <m:t>FSTS</m:t>
            </m:r>
          </m:e>
          <m:sub>
            <m:r>
              <m:t>c</m:t>
            </m:r>
          </m:sub>
          <m:sup>
            <m:r>
              <m:t>2</m:t>
            </m:r>
          </m:sup>
        </m:sSubSup>
      </m:oMath>
      <w:r>
        <w:rPr>
          <w:iCs/>
          <w:i/>
        </w:rPr>
        <w:t xml:space="preserve"> </w:t>
      </w:r>
      <w:r>
        <w:rPr>
          <w:iCs/>
          <w:i/>
        </w:rPr>
        <w:t xml:space="preserve">× DAI_z) + γ, X + δ_s + [λ_t] + ε_it. Đặc tả đầy đủ M0-M8 và bảng định nghĩa biến của phân tích Việt Nam được trình bày trong luận án (Mục 4.5.1). Chuỗi M0-M7 trong Chuyên đề 2 là các mô hình cấp độ pool 47 quốc gia, khác với đặc tả cấp độ quốc gia của phân tích Việt Nam.</w:t>
      </w:r>
    </w:p>
    <w:p>
      <w:pPr>
        <w:pStyle w:val="BodyText"/>
      </w:pPr>
      <w:r>
        <w:t xml:space="preserve">Phân tích Singapore của luận án: trên 623 doanh nghiệp WBES 2023, trong nền kinh tế số bão hòa, đường cong I-P chủ yếu dương, điểm uốn hàm ý ở FSTS khoảng 82% (vùng thưa dữ liệu; kiểm định Lind-Mehlum p = 0,303). DAI×</w:t>
      </w:r>
      <m:oMath>
        <m:sSup>
          <m:e>
            <m:r>
              <m:rPr>
                <m:nor/>
                <m:sty m:val="p"/>
              </m:rPr>
              <m:t>FSTS</m:t>
            </m:r>
          </m:e>
          <m:sup>
            <m:r>
              <m:t>2</m:t>
            </m:r>
          </m:sup>
        </m:sSup>
      </m:oMath>
      <w:r>
        <w:t xml:space="preserve"> </w:t>
      </w:r>
      <w:r>
        <w:t xml:space="preserve">= +3,119 (p = 0,005), DAI là năng lực phụ thuộc bối cảnh, chỉ phát huy ở FSTS cao nơi nhu cầu điều phối xuyên biên giới dày đặc. TCI dương trực tiếp (β = 0,153).</w:t>
      </w:r>
    </w:p>
    <w:p>
      <w:pPr>
        <w:pStyle w:val="BodyText"/>
      </w:pPr>
      <w:r>
        <w:t xml:space="preserve">Phân tích Trung Quốc của luận án: trên 4.559 doanh nghiệp WBES hai sóng (2012, 2024), kết quả cho thấy chữ U ngược bền vững cấu trúc, điểm uốn 49,4% (2012), 47,2% (2024), kiểm định Paternoster cho hệ số</w:t>
      </w:r>
      <w:r>
        <w:t xml:space="preserve"> </w:t>
      </w:r>
      <m:oMath>
        <m:sSup>
          <m:e>
            <m:r>
              <m:rPr>
                <m:nor/>
                <m:sty m:val="p"/>
              </m:rPr>
              <m:t>FSTS</m:t>
            </m:r>
          </m:e>
          <m:sup>
            <m:r>
              <m:t>2</m:t>
            </m:r>
          </m:sup>
        </m:sSup>
      </m:oMath>
      <w:r>
        <w:t xml:space="preserve"> </w:t>
      </w:r>
      <w:r>
        <w:t xml:space="preserve">không có sự khác biệt đáng kể (p = 0,545). TCI tăng cường theo thời gian (+0,260 lên +0,426, Paternoster p = 0,011).</w:t>
      </w:r>
    </w:p>
    <w:p>
      <w:pPr>
        <w:pStyle w:val="BodyText"/>
      </w:pPr>
      <w:r>
        <w:t xml:space="preserve">Bảng 2.3. So sánh bằng chứng bốn phân tích quốc gia đồng hành.</w:t>
      </w:r>
    </w:p>
    <w:tbl>
      <w:tblPr>
        <w:tblStyle w:val="Table"/>
        <w:tblW w:type="pct" w:w="5000"/>
        <w:tblLook w:firstRow="1" w:lastRow="0" w:firstColumn="0" w:lastColumn="0" w:noHBand="0" w:noVBand="0" w:val="0020"/>
        <w:jc w:val="start"/>
      </w:tblPr>
      <w:tblGrid>
        <w:gridCol w:w="513"/>
        <w:gridCol w:w="2273"/>
        <w:gridCol w:w="1613"/>
        <w:gridCol w:w="1613"/>
        <w:gridCol w:w="1906"/>
      </w:tblGrid>
      <w:tr>
        <w:trPr>
          <w:tblHeader w:val="true"/>
        </w:trPr>
        <w:tc>
          <w:tcPr/>
          <w:p>
            <w:pPr>
              <w:pStyle w:val="Compact"/>
              <w:jc w:val="left"/>
            </w:pPr>
            <w:r>
              <w:t xml:space="preserve">Chiều</w:t>
            </w:r>
          </w:p>
        </w:tc>
        <w:tc>
          <w:tcPr/>
          <w:p>
            <w:pPr>
              <w:pStyle w:val="Compact"/>
              <w:jc w:val="left"/>
            </w:pPr>
            <w:r>
              <w:t xml:space="preserve">SMEs Trung Quốc (Nhóm III)</w:t>
            </w:r>
          </w:p>
        </w:tc>
        <w:tc>
          <w:tcPr/>
          <w:p>
            <w:pPr>
              <w:pStyle w:val="Compact"/>
              <w:jc w:val="left"/>
            </w:pPr>
            <w:r>
              <w:t xml:space="preserve">Việt Nam (Nhóm IV)</w:t>
            </w:r>
          </w:p>
        </w:tc>
        <w:tc>
          <w:tcPr/>
          <w:p>
            <w:pPr>
              <w:pStyle w:val="Compact"/>
              <w:jc w:val="left"/>
            </w:pPr>
            <w:r>
              <w:t xml:space="preserve">Singapore (Nhóm I)</w:t>
            </w:r>
          </w:p>
        </w:tc>
        <w:tc>
          <w:tcPr/>
          <w:p>
            <w:pPr>
              <w:pStyle w:val="Compact"/>
              <w:jc w:val="left"/>
            </w:pPr>
            <w:r>
              <w:t xml:space="preserve">Trung Quốc (Nhóm III)</w:t>
            </w:r>
          </w:p>
        </w:tc>
      </w:tr>
      <w:tr>
        <w:tc>
          <w:tcPr/>
          <w:p>
            <w:pPr>
              <w:pStyle w:val="Compact"/>
              <w:jc w:val="left"/>
            </w:pPr>
            <w:r>
              <w:t xml:space="preserve">Nguồn</w:t>
            </w:r>
          </w:p>
        </w:tc>
        <w:tc>
          <w:tcPr/>
          <w:p>
            <w:pPr>
              <w:pStyle w:val="Compact"/>
              <w:jc w:val="left"/>
            </w:pPr>
            <w:r>
              <w:t xml:space="preserve">Đỗ &amp; Phan (JFAR, đã công bố 2026)</w:t>
            </w:r>
          </w:p>
        </w:tc>
        <w:tc>
          <w:tcPr/>
          <w:p>
            <w:pPr>
              <w:pStyle w:val="Compact"/>
              <w:jc w:val="left"/>
            </w:pPr>
            <w:r>
              <w:t xml:space="preserve">Phân tích Việt Nam của luận án</w:t>
            </w:r>
          </w:p>
        </w:tc>
        <w:tc>
          <w:tcPr/>
          <w:p>
            <w:pPr>
              <w:pStyle w:val="Compact"/>
              <w:jc w:val="left"/>
            </w:pPr>
            <w:r>
              <w:t xml:space="preserve">Phân tích Singapore của luận án</w:t>
            </w:r>
          </w:p>
        </w:tc>
        <w:tc>
          <w:tcPr/>
          <w:p>
            <w:pPr>
              <w:pStyle w:val="Compact"/>
              <w:jc w:val="left"/>
            </w:pPr>
            <w:r>
              <w:t xml:space="preserve">Phân tích Trung Quốc của luận án</w:t>
            </w:r>
          </w:p>
        </w:tc>
      </w:tr>
      <w:tr>
        <w:tc>
          <w:tcPr/>
          <w:p>
            <w:pPr>
              <w:pStyle w:val="Compact"/>
              <w:jc w:val="left"/>
            </w:pPr>
            <w:r>
              <w:t xml:space="preserve">Dạng I-P</w:t>
            </w:r>
          </w:p>
        </w:tc>
        <w:tc>
          <w:tcPr/>
          <w:p>
            <w:pPr>
              <w:pStyle w:val="Compact"/>
              <w:jc w:val="left"/>
            </w:pPr>
            <w:r>
              <w:rPr>
                <w:bCs/>
                <w:b/>
              </w:rPr>
              <w:t xml:space="preserve">Bậc ba / cubic</w:t>
            </w:r>
            <w:r>
              <w:t xml:space="preserve"> </w:t>
            </w:r>
            <w:r>
              <w:t xml:space="preserve">(S-curve ba giai đoạn)</w:t>
            </w:r>
          </w:p>
        </w:tc>
        <w:tc>
          <w:tcPr/>
          <w:p>
            <w:pPr>
              <w:pStyle w:val="Compact"/>
              <w:jc w:val="left"/>
            </w:pPr>
            <w:r>
              <w:t xml:space="preserve">Chữ U ngược xác nhận</w:t>
            </w:r>
          </w:p>
        </w:tc>
        <w:tc>
          <w:tcPr/>
          <w:p>
            <w:pPr>
              <w:pStyle w:val="Compact"/>
              <w:jc w:val="left"/>
            </w:pPr>
            <w:r>
              <w:t xml:space="preserve">Chủ yếu dương, TP ~82%</w:t>
            </w:r>
          </w:p>
        </w:tc>
        <w:tc>
          <w:tcPr/>
          <w:p>
            <w:pPr>
              <w:pStyle w:val="Compact"/>
              <w:jc w:val="left"/>
            </w:pPr>
            <w:r>
              <w:t xml:space="preserve">Chữ U ngược bền vững</w:t>
            </w:r>
          </w:p>
        </w:tc>
      </w:tr>
      <w:tr>
        <w:tc>
          <w:tcPr/>
          <w:p>
            <w:pPr>
              <w:pStyle w:val="Compact"/>
              <w:jc w:val="left"/>
            </w:pPr>
            <w:r>
              <w:t xml:space="preserve">Điểm uốn</w:t>
            </w:r>
          </w:p>
        </w:tc>
        <w:tc>
          <w:tcPr/>
          <w:p>
            <w:pPr>
              <w:pStyle w:val="Compact"/>
              <w:jc w:val="left"/>
            </w:pPr>
            <w:r>
              <w:t xml:space="preserve">Hai điểm uốn (cubic)</w:t>
            </w:r>
          </w:p>
        </w:tc>
        <w:tc>
          <w:tcPr/>
          <w:p>
            <w:pPr>
              <w:pStyle w:val="Compact"/>
              <w:jc w:val="left"/>
            </w:pPr>
            <w:r>
              <w:t xml:space="preserve">39-46% FSTS</w:t>
            </w:r>
          </w:p>
        </w:tc>
        <w:tc>
          <w:tcPr/>
          <w:p>
            <w:pPr>
              <w:pStyle w:val="Compact"/>
              <w:jc w:val="left"/>
            </w:pPr>
            <w:r>
              <w:t xml:space="preserve">~82% (thưa dữ liệu)</w:t>
            </w:r>
          </w:p>
        </w:tc>
        <w:tc>
          <w:tcPr/>
          <w:p>
            <w:pPr>
              <w:pStyle w:val="Compact"/>
              <w:jc w:val="left"/>
            </w:pPr>
            <w:r>
              <w:t xml:space="preserve">47-49% FSTS</w:t>
            </w:r>
          </w:p>
        </w:tc>
      </w:tr>
      <w:tr>
        <w:tc>
          <w:tcPr/>
          <w:p>
            <w:pPr>
              <w:pStyle w:val="Compact"/>
              <w:jc w:val="left"/>
            </w:pPr>
            <w:r>
              <w:t xml:space="preserve">TCI</w:t>
            </w:r>
          </w:p>
        </w:tc>
        <w:tc>
          <w:tcPr/>
          <w:p>
            <w:pPr>
              <w:pStyle w:val="Compact"/>
              <w:jc w:val="left"/>
            </w:pPr>
            <w:r>
              <w:t xml:space="preserve">Dương; RBV xác nhận</w:t>
            </w:r>
          </w:p>
        </w:tc>
        <w:tc>
          <w:tcPr/>
          <w:p>
            <w:pPr>
              <w:pStyle w:val="Compact"/>
              <w:jc w:val="left"/>
            </w:pPr>
            <w:r>
              <w:t xml:space="preserve">Dương bền vững, nhân quả (IV)</w:t>
            </w:r>
          </w:p>
        </w:tc>
        <w:tc>
          <w:tcPr/>
          <w:p>
            <w:pPr>
              <w:pStyle w:val="Compact"/>
              <w:jc w:val="left"/>
            </w:pPr>
            <w:r>
              <w:t xml:space="preserve">Dương trực tiếp</w:t>
            </w:r>
          </w:p>
        </w:tc>
        <w:tc>
          <w:tcPr/>
          <w:p>
            <w:pPr>
              <w:pStyle w:val="Compact"/>
              <w:jc w:val="left"/>
            </w:pPr>
            <w:r>
              <w:t xml:space="preserve">Dương, tăng theo thời gian</w:t>
            </w:r>
          </w:p>
        </w:tc>
      </w:tr>
      <w:tr>
        <w:tc>
          <w:tcPr/>
          <w:p>
            <w:pPr>
              <w:pStyle w:val="Compact"/>
              <w:jc w:val="left"/>
            </w:pPr>
            <w:r>
              <w:t xml:space="preserve">DAI</w:t>
            </w:r>
          </w:p>
        </w:tc>
        <w:tc>
          <w:tcPr/>
          <w:p>
            <w:pPr>
              <w:pStyle w:val="Compact"/>
              <w:jc w:val="left"/>
            </w:pPr>
            <w:r>
              <w:t xml:space="preserve">Không kiểm định (pre-CDCM)</w:t>
            </w:r>
          </w:p>
        </w:tc>
        <w:tc>
          <w:tcPr/>
          <w:p>
            <w:pPr>
              <w:pStyle w:val="Compact"/>
              <w:jc w:val="left"/>
            </w:pPr>
            <w:r>
              <w:t xml:space="preserve">Phụ thuộc giai đoạn; IV null</w:t>
            </w:r>
          </w:p>
        </w:tc>
        <w:tc>
          <w:tcPr/>
          <w:p>
            <w:pPr>
              <w:pStyle w:val="Compact"/>
              <w:jc w:val="left"/>
            </w:pPr>
            <w:r>
              <w:t xml:space="preserve">Mở rộng tình huống (+3,119)</w:t>
            </w:r>
          </w:p>
        </w:tc>
        <w:tc>
          <w:tcPr/>
          <w:p>
            <w:pPr>
              <w:pStyle w:val="Compact"/>
              <w:jc w:val="left"/>
            </w:pPr>
            <w:r>
              <w:t xml:space="preserve">Kiểm soát (Tier 1 bão hòa)</w:t>
            </w:r>
          </w:p>
        </w:tc>
      </w:tr>
      <w:tr>
        <w:tc>
          <w:tcPr/>
          <w:p>
            <w:pPr>
              <w:pStyle w:val="Compact"/>
              <w:jc w:val="left"/>
            </w:pPr>
            <w:r>
              <w:t xml:space="preserve">Temporal</w:t>
            </w:r>
          </w:p>
        </w:tc>
        <w:tc>
          <w:tcPr/>
          <w:p>
            <w:pPr>
              <w:pStyle w:val="Compact"/>
              <w:jc w:val="left"/>
            </w:pPr>
            <w:r>
              <w:t xml:space="preserve">Cắt ngang (không temporal)</w:t>
            </w:r>
          </w:p>
        </w:tc>
        <w:tc>
          <w:tcPr/>
          <w:p>
            <w:pPr>
              <w:pStyle w:val="Compact"/>
              <w:jc w:val="left"/>
            </w:pPr>
            <w:r>
              <w:t xml:space="preserve">Paternoster p &lt; 0,001 (dịch chuyển)</w:t>
            </w:r>
          </w:p>
        </w:tc>
        <w:tc>
          <w:tcPr/>
          <w:p>
            <w:pPr>
              <w:pStyle w:val="Compact"/>
              <w:jc w:val="left"/>
            </w:pPr>
            <w:r>
              <w:t xml:space="preserve">Cắt ngang 2023</w:t>
            </w:r>
          </w:p>
        </w:tc>
        <w:tc>
          <w:tcPr/>
          <w:p>
            <w:pPr>
              <w:pStyle w:val="Compact"/>
              <w:jc w:val="left"/>
            </w:pPr>
            <w:r>
              <w:t xml:space="preserve">Paternoster p = 0,545 (ổn định)</w:t>
            </w:r>
          </w:p>
        </w:tc>
      </w:tr>
      <w:tr>
        <w:tc>
          <w:tcPr/>
          <w:p>
            <w:pPr>
              <w:pStyle w:val="Compact"/>
              <w:jc w:val="left"/>
            </w:pPr>
            <w:r>
              <w:t xml:space="preserve">Mô hình CDCM</w:t>
            </w:r>
          </w:p>
        </w:tc>
        <w:tc>
          <w:tcPr/>
          <w:p>
            <w:pPr>
              <w:pStyle w:val="Compact"/>
              <w:jc w:val="left"/>
            </w:pPr>
            <w:r>
              <w:t xml:space="preserve">Tiền thân (chưa tách TCI/DAI)</w:t>
            </w:r>
          </w:p>
        </w:tc>
        <w:tc>
          <w:tcPr/>
          <w:p>
            <w:pPr>
              <w:pStyle w:val="Compact"/>
              <w:jc w:val="left"/>
            </w:pPr>
            <w:r>
              <w:t xml:space="preserve">Nhóm IV, trung gian</w:t>
            </w:r>
          </w:p>
        </w:tc>
        <w:tc>
          <w:tcPr/>
          <w:p>
            <w:pPr>
              <w:pStyle w:val="Compact"/>
              <w:jc w:val="left"/>
            </w:pPr>
            <w:r>
              <w:t xml:space="preserve">Nhóm I, bão hòa số</w:t>
            </w:r>
          </w:p>
        </w:tc>
        <w:tc>
          <w:tcPr/>
          <w:p>
            <w:pPr>
              <w:pStyle w:val="Compact"/>
              <w:jc w:val="left"/>
            </w:pPr>
            <w:r>
              <w:t xml:space="preserve">Nhóm III, đang trưởng thành</w:t>
            </w:r>
          </w:p>
        </w:tc>
      </w:tr>
    </w:tbl>
    <w:p>
      <w:pPr>
        <w:pStyle w:val="BodyText"/>
      </w:pPr>
      <w:r>
        <w:rPr>
          <w:iCs/>
          <w:i/>
        </w:rPr>
        <w:t xml:space="preserve">Ghi chú: nghiên cứu SMEs Trung Quốc của Đỗ &amp; Phan (2026, JFAR) là công trình tiền thân đã công bố, tìm thấy bậc ba (cubic nonlinearity) trong mẫu SMEs Trung Quốc, bằng chứng quan trọng cho dạng S-curve trong H1. Nghiên cứu này không kiểm định CDCM, được đưa vào đây để làm rõ sự tiến hóa phương pháp từ mẫu SMEs Trung Quốc sang phân tích Trung Quốc hai sóng của luận án.</w:t>
      </w:r>
    </w:p>
    <w:p>
      <w:pPr>
        <w:pStyle w:val="BodyText"/>
      </w:pPr>
      <w:r>
        <w:t xml:space="preserve">Bốn phân tích cùng xác nhận ba dự đoán cốt lõi của CDCM: TCI là nhân quả và bền vững qua ba nền kinh tế khác nhau; DAI là phụ thuộc ngữ cảnh, không đồng nhất; chữ U ngược (hoặc S-curve cubic trong nghiên cứu SMEs Trung Quốc đã công bố) là dạng hàm phổ biến nhất cho doanh nghiệp vừa và nhỏ châu Á với điểm uốn phụ thuộc vào ICRV.</w:t>
      </w:r>
    </w:p>
    <w:bookmarkEnd w:id="36"/>
    <w:bookmarkEnd w:id="37"/>
    <w:bookmarkStart w:id="44" w:name="khung-lý-thuyết-tích-hợp-4-tầng"/>
    <w:p>
      <w:pPr>
        <w:pStyle w:val="Heading4"/>
      </w:pPr>
      <w:r>
        <w:t xml:space="preserve">2.3.2 Khung lý thuyết tích hợp 4 tầng</w:t>
      </w:r>
    </w:p>
    <w:bookmarkStart w:id="38" w:name="tầng-1-lý-thuyết-quốc-tế-hóa-uppsala"/>
    <w:p>
      <w:pPr>
        <w:pStyle w:val="Heading5"/>
      </w:pPr>
      <w:r>
        <w:t xml:space="preserve">Tầng 1, Lý thuyết quốc tế hóa Uppsala</w:t>
      </w:r>
    </w:p>
    <w:p>
      <w:pPr>
        <w:pStyle w:val="FirstParagraph"/>
      </w:pPr>
      <w:r>
        <w:t xml:space="preserve">Mô hình Uppsala (Johanson &amp; Vahlne, 1977) đề xuất quá trình quốc tế hóa của doanh nghiệp diễn ra tăng dần thông qua tích lũy kinh nghiệm và giảm dần khoảng cách tâm lý giữa thị trường nội địa và thị trường nước ngoài. Doanh nghiệp khởi đầu xuất khẩu sang các thị trường gần về văn hóa, ngôn ngữ, thể chế trước khi mở rộng sang các thị trường xa hơn. Mô hình ban đầu (1977) tập trung vào ba cơ chế: cam kết thị trường, tri thức thị trường, và quyết định cam kết hiện tại.</w:t>
      </w:r>
    </w:p>
    <w:p>
      <w:pPr>
        <w:pStyle w:val="BodyText"/>
      </w:pPr>
      <w:r>
        <w:t xml:space="preserve">Johanson và Vahlne (2009) tái định vị mô hình từ gánh nặng do là người nước ngoài sang gánh nặng do không thuộc mạng lưới. Phiên bản này nhấn mạnh vai trò mạng lưới quan hệ kinh doanh trong quá trình quốc tế hóa.</w:t>
      </w:r>
    </w:p>
    <w:p>
      <w:pPr>
        <w:pStyle w:val="BodyText"/>
      </w:pPr>
      <w:r>
        <w:t xml:space="preserve">Mô hình Uppsala chậm áp dụng cho ba hiện tượng: doanh nghiệp quốc tế hóa ngay từ khi thành lập (Knight &amp; Cavusgil, 2004); doanh nghiệp đa quốc gia từ thị trường mới nổi với quy trình quốc tế hóa khác biệt (Mathews, 2002; Luo &amp; Tung, 2007); và bối cảnh số nơi Internet và nền tảng số giảm khoảng cách tâm lý đến mức tối thiểu (Banalieva &amp; Dhanaraj, 2019; Stallkamp &amp; Schotter, 2021).</w:t>
      </w:r>
    </w:p>
    <w:p>
      <w:pPr>
        <w:pStyle w:val="BodyText"/>
      </w:pPr>
      <w:r>
        <w:t xml:space="preserve">Vai trò trong mô hình đề xuất: Uppsala cung cấp lập luận cho hiệu ứng phi tuyến trong H1. Doanh nghiệp tăng cường độ xuất khẩu đối mặt với chi phí học tập ban đầu, sau đó thu được lợi ích quy mô, nhưng vượt quá ngưỡng nhất định lại chịu chi phí phối hợp. Bằng chứng từ phân tích Việt Nam của luận án (điểm uốn 39-46%) và phân tích Trung Quốc của luận án (điểm uốn 47-49%) neo đậu thực nghiệm cho H1.</w:t>
      </w:r>
    </w:p>
    <w:bookmarkEnd w:id="38"/>
    <w:bookmarkStart w:id="39" w:name="X2c85e26e6ba3228bf003793c40503d5a193d2b2"/>
    <w:p>
      <w:pPr>
        <w:pStyle w:val="Heading5"/>
      </w:pPr>
      <w:r>
        <w:t xml:space="preserve">Tầng 2, Lý thuyết doanh nghiệp dựa trên nguồn lực (RBV)</w:t>
      </w:r>
    </w:p>
    <w:p>
      <w:pPr>
        <w:pStyle w:val="FirstParagraph"/>
      </w:pPr>
      <w:r>
        <w:t xml:space="preserve">Resource-Based View (Wernerfelt, 1984; Barney, 1991) cho rằng lợi thế cạnh tranh bền vững xuất phát từ nguồn lực có giá trị, hiếm, khó bắt chước, và không thay thế (VRIN). Doanh nghiệp khác nhau về hiệu quả vì sở hữu các bộ nguồn lực khác nhau.</w:t>
      </w:r>
    </w:p>
    <w:p>
      <w:pPr>
        <w:pStyle w:val="BodyText"/>
      </w:pPr>
      <w:r>
        <w:t xml:space="preserve">Teece, Pisano và Shuen (1997) phát triển khái niệm năng lực động, khả năng tích hợp, xây dựng, và tái cấu trúc nguồn lực để thích ứng với môi trường thay đổi. Trong bối cảnh quốc tế hóa, năng lực động đặc biệt quan trọng để hấp thụ tri thức từ thị trường nước ngoài và tái phân bổ nguồn lực qua các thị trường.</w:t>
      </w:r>
    </w:p>
    <w:p>
      <w:pPr>
        <w:pStyle w:val="BodyText"/>
      </w:pPr>
      <w:r>
        <w:t xml:space="preserve">Cohen và Levinthal (1990) đề xuất khái niệm năng lực hấp thụ, khả năng doanh nghiệp nhận diện, đồng hóa, và áp dụng kiến thức bên ngoài. Doanh nghiệp có R&amp;D nội tại cao có năng lực hấp thụ cao và do đó hấp thụ tri thức từ quốc tế hóa hiệu quả hơn.</w:t>
      </w:r>
    </w:p>
    <w:p>
      <w:pPr>
        <w:pStyle w:val="BodyText"/>
      </w:pPr>
      <w:r>
        <w:t xml:space="preserve">Vai trò trong mô hình đề xuất: RBV cung cấp lý thuyết cho H2 (TCI điều tiết tích cực). Doanh nghiệp có năng lực công nghệ (R&amp;D, ISO, máy nhập khẩu) cao hấp thụ lợi ích quốc tế hóa tốt hơn. TCI là biến điều tiết cấp doanh nghiệp. Bằng chứng từ phân tích Việt Nam của luận án (TCI trực tiếp β = 0,179, nhân quả từ IV) và phân tích Trung Quốc của luận án (TCI tăng cường +0,260 lên +0,426) ủng hộ TCI là nguồn lực VRIN bền vững.</w:t>
      </w:r>
    </w:p>
    <w:bookmarkEnd w:id="39"/>
    <w:bookmarkStart w:id="40" w:name="Xec688ca77214a2d5de44d607882fad31cddc4c4"/>
    <w:p>
      <w:pPr>
        <w:pStyle w:val="Heading5"/>
      </w:pPr>
      <w:r>
        <w:t xml:space="preserve">Tầng 3, Lý thuyết thể chế (Institutional Theory)</w:t>
      </w:r>
    </w:p>
    <w:p>
      <w:pPr>
        <w:pStyle w:val="FirstParagraph"/>
      </w:pPr>
      <w:r>
        <w:t xml:space="preserve">North (1990) định nghĩa thể chế là các quy tắc của trò chơi, chính thức (luật pháp, hợp đồng, quyền sở hữu) và phi chính thức (chuẩn mực, văn hóa, mạng lưới), quy định chi phí giao dịch và rủi ro kinh doanh. Kim, Kumar, Ramalho và Russell (2026) bổ sung khung đo lường năng lực thể chế (institutional capacity) theo hai chiều: chiều tổ chức (nhân sự, nguồn lực tài chính, hệ thống thông tin, quản lý) và chiều quản trị (minh bạch, độc lập, trách nhiệm giải trình). Nghiên cứu đa quốc gia này xác nhận mối tương quan dương vững chắc giữa năng lực thể chế và phát triển kinh tế, cung cấp nền tảng thực nghiệm cho phân loại sáu nhóm ICRV theo năng lực và nguồn lực thể chế được sử dụng trong mô hình đề xuất.</w:t>
      </w:r>
    </w:p>
    <w:p>
      <w:pPr>
        <w:pStyle w:val="BodyText"/>
      </w:pPr>
      <w:r>
        <w:t xml:space="preserve">Khanna và Palepu (2010) áp dụng lý thuyết thể chế cho thị trường mới nổi, đề xuất khái niệm khoảng trống thể chế, các thiếu hụt trong hệ thống thể chế (thiếu thị trường vốn phát triển, thiếu hệ thống tư pháp hiệu quả, thiếu chuẩn kế toán minh bạch). Doanh nghiệp ở thị trường mới nổi phải xây dựng giải pháp nội bộ để bù đắp.</w:t>
      </w:r>
    </w:p>
    <w:p>
      <w:pPr>
        <w:pStyle w:val="BodyText"/>
      </w:pPr>
      <w:r>
        <w:t xml:space="preserve">Peng (2003) và Peng, Wang, Jiang (2008) đề xuất cặp chiến lược ba chân, chiến lược doanh nghiệp được hình thành bởi ba lực: ngành, nguồn lực, và thể chế. Trong các nền kinh tế đang nổi và cận biên, vai trò của thể chế đặc biệt nổi bật.</w:t>
      </w:r>
    </w:p>
    <w:p>
      <w:pPr>
        <w:pStyle w:val="BodyText"/>
      </w:pPr>
      <w:r>
        <w:t xml:space="preserve">Vai trò trong mô hình đề xuất: Lý thuyết thể chế cung cấp cơ sở lập luận cho H5 (thể chế ICRV điều tiết theo dải biến thiên, gradient). Cùng một mức quốc tế hóa, doanh nghiệp ở Nhóm I thu được hiệu quả khác doanh nghiệp ở Nhóm V do khác biệt về chi phí giao dịch, chất lượng thể chế, và tiếp cận thị trường. Sáu nhóm ICRV là biến điều tiết cấp quốc gia.</w:t>
      </w:r>
    </w:p>
    <w:bookmarkEnd w:id="40"/>
    <w:bookmarkStart w:id="41" w:name="tầng-4-lý-thuyết-upper-echelons"/>
    <w:p>
      <w:pPr>
        <w:pStyle w:val="Heading5"/>
      </w:pPr>
      <w:r>
        <w:t xml:space="preserve">Tầng 4, Lý thuyết Upper Echelons</w:t>
      </w:r>
    </w:p>
    <w:p>
      <w:pPr>
        <w:pStyle w:val="FirstParagraph"/>
      </w:pPr>
      <w:r>
        <w:t xml:space="preserve">Hambrick và Mason (1984) đề xuất Upper Echelons Theory với luận điểm trung tâm: các quyết định chiến lược của doanh nghiệp phản ánh đặc điểm nhân khẩu học của nhà quản trị cấp cao. Các đặc điểm này gồm tuổi, giáo dục, kinh nghiệm chức năng, thâm niên, kinh nghiệm quốc tế, giới tính.</w:t>
      </w:r>
    </w:p>
    <w:p>
      <w:pPr>
        <w:pStyle w:val="BodyText"/>
      </w:pPr>
      <w:r>
        <w:t xml:space="preserve">Hambrick (2007) bổ sung hai khái niệm quan trọng: mức độ tự do của nhà quản trị trong việc đưa ra quyết định, và áp lực công việc ảnh hưởng đến chất lượng quyết định. Cannella, Park và Lee (2008) cho thấy đa dạng chức năng của đội quản lý cấp cao tương quan dương với hiệu quả ở các môi trường thay đổi nhanh.</w:t>
      </w:r>
    </w:p>
    <w:p>
      <w:pPr>
        <w:pStyle w:val="BodyText"/>
      </w:pPr>
      <w:r>
        <w:t xml:space="preserve">Vai trò trong mô hình đề xuất: Upper Echelons cung cấp cơ sở lý thuyết cho khối kiểm soát quản trị nội sinh H4 (kinh nghiệm, học vấn, giới tính nhà quản trị). Để bảo vệ tính nhân quả thuần khiết của tương tác Thể chế × Công nghệ vốn là thông điệp vĩ mô của khung, nghiên cứu khóa chặt các thiên lệch nội sinh phát sinh từ năng lực và sự đa dạng giới của nhà quản trị: kinh nghiệm, học vấn và giới tính nhà quản trị được đưa vào như biến kiểm soát quản trị nội sinh, không phải nhân tố điều tiết trọng tâm. Các đặc điểm này tác động qua hai kênh, chất lượng quyết định (tránh quốc tế hóa sớm) và năng lực điều phối (quản lý phức tạp đa thị trường); việc kiểm soát chúng, thay vì đặt chúng làm trục điều tiết, tránh thiên lệch biến bị bỏ sót (omitted-variable bias) và ngăn hiện tượng</w:t>
      </w:r>
      <w:r>
        <w:t xml:space="preserve"> </w:t>
      </w:r>
      <w:r>
        <w:t xml:space="preserve">“</w:t>
      </w:r>
      <w:r>
        <w:t xml:space="preserve">Kitchen Sink Modeling</w:t>
      </w:r>
      <w:r>
        <w:t xml:space="preserve">”</w:t>
      </w:r>
      <w:r>
        <w:t xml:space="preserve"> </w:t>
      </w:r>
      <w:r>
        <w:t xml:space="preserve">làm loãng thông điệp vĩ mô Institution × Technology. Đặc điểm nhà quản trị vẫn được ước lượng trong các mô hình thực nghiệm, song với tư cách biến kiểm soát. Lý do giữ Upper Echelons như một trụ lý thuyết, thay vì loại bỏ hoàn toàn, là kép: (i) nó cung cấp nền tảng lý thuyết biện minh cho việc đưa khối biến kiểm soát quản trị vào mô hình, bởi nếu thiếu thì việc kiểm soát kinh nghiệm, học vấn và giới tính nhà quản trị sẽ không có cơ sở lý thuyết rõ ràng; (ii) các dự đoán cấp doanh nghiệp của nó vẫn được kiểm định và cho một phát hiện thứ cấp có giá trị xã hội, là phần bù năng suất của nhà quản trị nữ (khoảng 20%, β = +0,185, p &lt; 0,001 ở phân tích đa quốc gia). Như vậy, Upper Echelons không phải là</w:t>
      </w:r>
      <w:r>
        <w:t xml:space="preserve"> </w:t>
      </w:r>
      <w:r>
        <w:t xml:space="preserve">“</w:t>
      </w:r>
      <w:r>
        <w:t xml:space="preserve">trang trí lý thuyết</w:t>
      </w:r>
      <w:r>
        <w:t xml:space="preserve">”</w:t>
      </w:r>
      <w:r>
        <w:t xml:space="preserve"> </w:t>
      </w:r>
      <w:r>
        <w:t xml:space="preserve">mà là một trụ được kiểm định, với hiệu ứng cấp độ (level effect) được xác nhận và vai trò điều tiết hình dạng đường cong bị bác bỏ.</w:t>
      </w:r>
    </w:p>
    <w:bookmarkEnd w:id="41"/>
    <w:bookmarkStart w:id="42" w:name="X779d21652c68b5127bf6de7b7bac06c339791f2"/>
    <w:p>
      <w:pPr>
        <w:pStyle w:val="Heading5"/>
      </w:pPr>
      <w:r>
        <w:t xml:space="preserve">Foundational Digital Adoption Framework và CDCM</w:t>
      </w:r>
    </w:p>
    <w:p>
      <w:pPr>
        <w:pStyle w:val="FirstParagraph"/>
      </w:pPr>
      <w:r>
        <w:t xml:space="preserve">Banalieva và Dhanaraj (2019) phát triển lý thuyết nội hóa cho nền kinh tế số, đề xuất rằng nền tảng số làm thay đổi căn bản ba yếu tố cốt lõi của lý thuyết IB: khoảng cách tâm lý giảm đến mức tối thiểu; chuỗi giá trị phân mảnh ở quy mô chưa từng có; doanh nghiệp quốc tế hóa ngay từ ngày đầu thành lập trở thành chuẩn mới.</w:t>
      </w:r>
    </w:p>
    <w:p>
      <w:pPr>
        <w:pStyle w:val="BodyText"/>
      </w:pPr>
      <w:r>
        <w:t xml:space="preserve">Verhoef và cộng sự (2021) đề xuất phân biệt rõ giữa hai loại năng lực: năng lực công nghệ nội tại (TCI) gồm R&amp;D doanh nghiệp, đổi mới sản phẩm, chứng nhận chất lượng ISO, bằng sáng chế, đo lường bằng đầu vào và đầu ra của hoạt động đổi mới (Tier 3-4); và áp dụng số nền tảng (DAI) gồm sử dụng hạ tầng số cơ bản (website, e-commerce, e-payment), đo lường bằng Tier 1-2.</w:t>
      </w:r>
    </w:p>
    <w:p>
      <w:pPr>
        <w:pStyle w:val="BodyText"/>
      </w:pPr>
      <w:r>
        <w:t xml:space="preserve">Stallkamp và Schotter (2021) cung cấp bằng chứng rằng nền tảng số cho phép doanh nghiệp nhỏ ở thị trường mới nổi quốc tế hóa với chi phí gần bằng zero, thay đổi căn bản lập luận Uppsala.</w:t>
      </w:r>
    </w:p>
    <w:p>
      <w:pPr>
        <w:pStyle w:val="BodyText"/>
      </w:pPr>
      <w:r>
        <w:t xml:space="preserve">CDCM, Mô hình Áp dụng số và Năng lực phụ thuộc bối cảnh, được phát hiện qua phân tích đa mẫu trong Chuyên đề Tiến sĩ số 1 cho thấy tác động của DAI lên hiệu quả không đồng nhất mà phụ thuộc đồng thời vào ba chiều ngữ cảnh.</w:t>
      </w:r>
    </w:p>
    <w:p>
      <w:pPr>
        <w:pStyle w:val="BodyText"/>
      </w:pPr>
      <w:r>
        <w:t xml:space="preserve">Chiều thứ nhất là chế độ thể chế (ICRV): ở Nhóm I nơi Tier 1-2 đã bão hòa, DAI không tạo phần thưởng đồng nhất mà chỉ phát huy qua kênh phụ thuộc xuất khẩu (nghịch lý bão hòa số, phân tích Singapore của luận án). Ở Nhóm IV, DAI dương nhưng phụ thuộc giai đoạn và chịu thiên lệch chọn lựa (phân tích Việt Nam của luận án).</w:t>
      </w:r>
    </w:p>
    <w:p>
      <w:pPr>
        <w:pStyle w:val="BodyText"/>
      </w:pPr>
      <w:r>
        <w:t xml:space="preserve">Chiều thứ hai là mức độ quốc tế hóa (FSTS): DAI là năng lực phụ thuộc bối cảnh, hiệu quả hơn ở FSTS cao nơi nhu cầu điều phối xuyên biên giới dày đặc (phân tích Singapore của luận án: DAI×</w:t>
      </w:r>
      <m:oMath>
        <m:sSup>
          <m:e>
            <m:r>
              <m:rPr>
                <m:nor/>
                <m:sty m:val="p"/>
              </m:rPr>
              <m:t>FSTS</m:t>
            </m:r>
          </m:e>
          <m:sup>
            <m:r>
              <m:t>2</m:t>
            </m:r>
          </m:sup>
        </m:sSup>
      </m:oMath>
      <w:r>
        <w:t xml:space="preserve"> </w:t>
      </w:r>
      <w:r>
        <w:t xml:space="preserve">= +3,119, p = 0,005).</w:t>
      </w:r>
    </w:p>
    <w:p>
      <w:pPr>
        <w:pStyle w:val="BodyText"/>
      </w:pPr>
      <w:r>
        <w:t xml:space="preserve">Chiều thứ ba là mức độ bão hòa số: khi nền kinh tế đạt bão hòa Tier 1-2, DAI mất tác dụng phân biệt cấp doanh nghiệp (Singapore: tỉ lệ có website 67%); khi chưa bão hòa, DAI vẫn có tín hiệu phân biệt (Việt Nam 2023: 49,8%).</w:t>
      </w:r>
    </w:p>
    <w:p>
      <w:pPr>
        <w:pStyle w:val="BodyText"/>
      </w:pPr>
      <w:r>
        <w:t xml:space="preserve">Yang, Zhao và Wei (2025) tổng hợp bằng chứng từ Trung Quốc, Ấn Độ, Việt Nam cho thấy năng lực số là biến điều tiết mạnh nhất cho quan hệ I-P trong giai đoạn 2018 trở đi, nhưng chỉ khi phân tách đúng cấp độ năng lực.</w:t>
      </w:r>
    </w:p>
    <w:bookmarkEnd w:id="42"/>
    <w:bookmarkStart w:id="43" w:name="tổng-hợp-4-tầng-lý-thuyết"/>
    <w:p>
      <w:pPr>
        <w:pStyle w:val="Heading5"/>
      </w:pPr>
      <w:r>
        <w:t xml:space="preserve">Tổng hợp 4 tầng lý thuyết</w:t>
      </w:r>
    </w:p>
    <w:p>
      <w:pPr>
        <w:pStyle w:val="FirstParagraph"/>
      </w:pPr>
      <w:r>
        <w:t xml:space="preserve">Bảng 2.1. Mỗi tầng lý thuyết, câu hỏi phụ, biến số, giả thuyết, bằng chứng neo đậu.</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Tầng</w:t>
            </w:r>
          </w:p>
        </w:tc>
        <w:tc>
          <w:tcPr/>
          <w:p>
            <w:pPr>
              <w:pStyle w:val="Compact"/>
              <w:jc w:val="left"/>
            </w:pPr>
            <w:r>
              <w:t xml:space="preserve">Lý thuyết</w:t>
            </w:r>
          </w:p>
        </w:tc>
        <w:tc>
          <w:tcPr/>
          <w:p>
            <w:pPr>
              <w:pStyle w:val="Compact"/>
              <w:jc w:val="left"/>
            </w:pPr>
            <w:r>
              <w:t xml:space="preserve">Câu hỏi phụ</w:t>
            </w:r>
          </w:p>
        </w:tc>
        <w:tc>
          <w:tcPr/>
          <w:p>
            <w:pPr>
              <w:pStyle w:val="Compact"/>
              <w:jc w:val="left"/>
            </w:pPr>
            <w:r>
              <w:t xml:space="preserve">Biến số chính</w:t>
            </w:r>
          </w:p>
        </w:tc>
        <w:tc>
          <w:tcPr/>
          <w:p>
            <w:pPr>
              <w:pStyle w:val="Compact"/>
              <w:jc w:val="left"/>
            </w:pPr>
            <w:r>
              <w:t xml:space="preserve">Giả thuyết</w:t>
            </w:r>
          </w:p>
        </w:tc>
        <w:tc>
          <w:tcPr/>
          <w:p>
            <w:pPr>
              <w:pStyle w:val="Compact"/>
              <w:jc w:val="left"/>
            </w:pPr>
            <w:r>
              <w:t xml:space="preserve">Bằng chứng từ các phân tích quốc gia của luận án</w:t>
            </w:r>
          </w:p>
        </w:tc>
      </w:tr>
      <w:tr>
        <w:tc>
          <w:tcPr/>
          <w:p>
            <w:pPr>
              <w:pStyle w:val="Compact"/>
              <w:jc w:val="left"/>
            </w:pPr>
            <w:r>
              <w:t xml:space="preserve">1</w:t>
            </w:r>
          </w:p>
        </w:tc>
        <w:tc>
          <w:tcPr/>
          <w:p>
            <w:pPr>
              <w:pStyle w:val="Compact"/>
              <w:jc w:val="left"/>
            </w:pPr>
            <w:r>
              <w:t xml:space="preserve">Uppsala</w:t>
            </w:r>
          </w:p>
        </w:tc>
        <w:tc>
          <w:tcPr/>
          <w:p>
            <w:pPr>
              <w:pStyle w:val="Compact"/>
              <w:jc w:val="left"/>
            </w:pPr>
            <w:r>
              <w:t xml:space="preserve">Cường độ QTH có hiệu ứng phi tuyến không?</w:t>
            </w:r>
          </w:p>
        </w:tc>
        <w:tc>
          <w:tcPr/>
          <w:p>
            <w:pPr>
              <w:pStyle w:val="Compact"/>
              <w:jc w:val="left"/>
            </w:pPr>
            <w:r>
              <w:t xml:space="preserve">I (FSTS,</w:t>
            </w:r>
            <w:r>
              <w:t xml:space="preserve"> </w:t>
            </w:r>
            <m:oMath>
              <m:sSup>
                <m:e>
                  <m:r>
                    <m:rPr>
                      <m:nor/>
                      <m:sty m:val="p"/>
                    </m:rPr>
                    <m:t>FSTS</m:t>
                  </m:r>
                </m:e>
                <m:sup>
                  <m:r>
                    <m:t>2</m:t>
                  </m:r>
                </m:sup>
              </m:sSup>
            </m:oMath>
            <w:r>
              <w:t xml:space="preserve">)</w:t>
            </w:r>
          </w:p>
        </w:tc>
        <w:tc>
          <w:tcPr/>
          <w:p>
            <w:pPr>
              <w:pStyle w:val="Compact"/>
              <w:jc w:val="left"/>
            </w:pPr>
            <w:r>
              <w:t xml:space="preserve">H1 Phi tuyến chữ U ngược</w:t>
            </w:r>
          </w:p>
        </w:tc>
        <w:tc>
          <w:tcPr/>
          <w:p>
            <w:pPr>
              <w:pStyle w:val="Compact"/>
              <w:jc w:val="left"/>
            </w:pPr>
            <w:r>
              <w:t xml:space="preserve">Việt Nam: TP 39-46%; Trung Quốc: TP 47-49%</w:t>
            </w:r>
          </w:p>
        </w:tc>
      </w:tr>
      <w:tr>
        <w:tc>
          <w:tcPr/>
          <w:p>
            <w:pPr>
              <w:pStyle w:val="Compact"/>
              <w:jc w:val="left"/>
            </w:pPr>
            <w:r>
              <w:t xml:space="preserve">2</w:t>
            </w:r>
          </w:p>
        </w:tc>
        <w:tc>
          <w:tcPr/>
          <w:p>
            <w:pPr>
              <w:pStyle w:val="Compact"/>
              <w:jc w:val="left"/>
            </w:pPr>
            <w:r>
              <w:t xml:space="preserve">RBV</w:t>
            </w:r>
          </w:p>
        </w:tc>
        <w:tc>
          <w:tcPr/>
          <w:p>
            <w:pPr>
              <w:pStyle w:val="Compact"/>
              <w:jc w:val="left"/>
            </w:pPr>
            <w:r>
              <w:t xml:space="preserve">Năng lực doanh nghiệp ảnh hưởng thế nào đến hấp thụ lợi ích I?</w:t>
            </w:r>
          </w:p>
        </w:tc>
        <w:tc>
          <w:tcPr/>
          <w:p>
            <w:pPr>
              <w:pStyle w:val="Compact"/>
              <w:jc w:val="left"/>
            </w:pPr>
            <w:r>
              <w:t xml:space="preserve">TCI</w:t>
            </w:r>
          </w:p>
        </w:tc>
        <w:tc>
          <w:tcPr/>
          <w:p>
            <w:pPr>
              <w:pStyle w:val="Compact"/>
              <w:jc w:val="left"/>
            </w:pPr>
            <w:r>
              <w:t xml:space="preserve">H2 TCI điều tiết (+)</w:t>
            </w:r>
          </w:p>
        </w:tc>
        <w:tc>
          <w:tcPr/>
          <w:p>
            <w:pPr>
              <w:pStyle w:val="Compact"/>
              <w:jc w:val="left"/>
            </w:pPr>
            <w:r>
              <w:t xml:space="preserve">Việt Nam: β = 0,179 nhân quả (IV); Trung Quốc: +0,260 lên +0,426</w:t>
            </w:r>
          </w:p>
        </w:tc>
      </w:tr>
      <w:tr>
        <w:tc>
          <w:tcPr/>
          <w:p>
            <w:pPr>
              <w:pStyle w:val="Compact"/>
              <w:jc w:val="left"/>
            </w:pPr>
            <w:r>
              <w:t xml:space="preserve">Digital Adoption Lens</w:t>
            </w:r>
          </w:p>
        </w:tc>
        <w:tc>
          <w:tcPr/>
          <w:p>
            <w:pPr>
              <w:pStyle w:val="Compact"/>
              <w:jc w:val="left"/>
            </w:pPr>
            <w:r>
              <w:t xml:space="preserve">CDCM</w:t>
            </w:r>
          </w:p>
        </w:tc>
        <w:tc>
          <w:tcPr/>
          <w:p>
            <w:pPr>
              <w:pStyle w:val="Compact"/>
              <w:jc w:val="left"/>
            </w:pPr>
            <w:r>
              <w:t xml:space="preserve">Năng lực số có cơ chế khác TCI không?</w:t>
            </w:r>
          </w:p>
        </w:tc>
        <w:tc>
          <w:tcPr/>
          <w:p>
            <w:pPr>
              <w:pStyle w:val="Compact"/>
              <w:jc w:val="left"/>
            </w:pPr>
            <w:r>
              <w:t xml:space="preserve">DAI</w:t>
            </w:r>
          </w:p>
        </w:tc>
        <w:tc>
          <w:tcPr/>
          <w:p>
            <w:pPr>
              <w:pStyle w:val="Compact"/>
              <w:jc w:val="left"/>
            </w:pPr>
            <w:r>
              <w:t xml:space="preserve">H3a-H3b DAI phụ thuộc chế độ thể chế</w:t>
            </w:r>
          </w:p>
        </w:tc>
        <w:tc>
          <w:tcPr/>
          <w:p>
            <w:pPr>
              <w:pStyle w:val="Compact"/>
              <w:jc w:val="left"/>
            </w:pPr>
            <w:r>
              <w:t xml:space="preserve">Singapore: DAI×</w:t>
            </w:r>
            <m:oMath>
              <m:sSup>
                <m:e>
                  <m:r>
                    <m:rPr>
                      <m:nor/>
                      <m:sty m:val="p"/>
                    </m:rPr>
                    <m:t>FSTS</m:t>
                  </m:r>
                </m:e>
                <m:sup>
                  <m:r>
                    <m:t>2</m:t>
                  </m:r>
                </m:sup>
              </m:sSup>
            </m:oMath>
            <w:r>
              <w:t xml:space="preserve"> </w:t>
            </w:r>
            <w:r>
              <w:t xml:space="preserve">= +3,119 (Nhóm I); Việt Nam: IV null (β = 0,018, Nhóm IV)</w:t>
            </w:r>
          </w:p>
        </w:tc>
      </w:tr>
      <w:tr>
        <w:tc>
          <w:tcPr/>
          <w:p>
            <w:pPr>
              <w:pStyle w:val="Compact"/>
              <w:jc w:val="left"/>
            </w:pPr>
            <w:r>
              <w:t xml:space="preserve">4</w:t>
            </w:r>
          </w:p>
        </w:tc>
        <w:tc>
          <w:tcPr/>
          <w:p>
            <w:pPr>
              <w:pStyle w:val="Compact"/>
              <w:jc w:val="left"/>
            </w:pPr>
            <w:r>
              <w:t xml:space="preserve">Upper Echelons</w:t>
            </w:r>
          </w:p>
        </w:tc>
        <w:tc>
          <w:tcPr/>
          <w:p>
            <w:pPr>
              <w:pStyle w:val="Compact"/>
              <w:jc w:val="left"/>
            </w:pPr>
            <w:r>
              <w:t xml:space="preserve">Đặc điểm nhà quản trị tác động thế nào?</w:t>
            </w:r>
          </w:p>
        </w:tc>
        <w:tc>
          <w:tcPr/>
          <w:p>
            <w:pPr>
              <w:pStyle w:val="Compact"/>
              <w:jc w:val="left"/>
            </w:pPr>
            <w:r>
              <w:t xml:space="preserve">Top manager</w:t>
            </w:r>
          </w:p>
        </w:tc>
        <w:tc>
          <w:tcPr/>
          <w:p>
            <w:pPr>
              <w:pStyle w:val="Compact"/>
              <w:jc w:val="left"/>
            </w:pPr>
            <w:r>
              <w:t xml:space="preserve">H4 (kiểm soát quản trị nội sinh, không phải điều tiết trọng tâm)</w:t>
            </w:r>
          </w:p>
        </w:tc>
        <w:tc>
          <w:tcPr/>
          <w:p>
            <w:pPr>
              <w:pStyle w:val="Compact"/>
              <w:jc w:val="left"/>
            </w:pPr>
            <w:r>
              <w:t xml:space="preserve">(đưa vào như kiểm soát nội sinh trong M5, dữ liệu WBES)</w:t>
            </w:r>
          </w:p>
        </w:tc>
      </w:tr>
      <w:tr>
        <w:tc>
          <w:tcPr/>
          <w:p>
            <w:pPr>
              <w:pStyle w:val="Compact"/>
              <w:jc w:val="left"/>
            </w:pPr>
            <w:r>
              <w:t xml:space="preserve">3</w:t>
            </w:r>
          </w:p>
        </w:tc>
        <w:tc>
          <w:tcPr/>
          <w:p>
            <w:pPr>
              <w:pStyle w:val="Compact"/>
              <w:jc w:val="left"/>
            </w:pPr>
            <w:r>
              <w:t xml:space="preserve">Institutional</w:t>
            </w:r>
          </w:p>
        </w:tc>
        <w:tc>
          <w:tcPr/>
          <w:p>
            <w:pPr>
              <w:pStyle w:val="Compact"/>
              <w:jc w:val="left"/>
            </w:pPr>
            <w:r>
              <w:t xml:space="preserve">Thể chế nội địa định hình quan hệ ra sao?</w:t>
            </w:r>
          </w:p>
        </w:tc>
        <w:tc>
          <w:tcPr/>
          <w:p>
            <w:pPr>
              <w:pStyle w:val="Compact"/>
              <w:jc w:val="left"/>
            </w:pPr>
            <w:r>
              <w:t xml:space="preserve">ICRV (6 nhóm)</w:t>
            </w:r>
          </w:p>
        </w:tc>
        <w:tc>
          <w:tcPr/>
          <w:p>
            <w:pPr>
              <w:pStyle w:val="Compact"/>
              <w:jc w:val="left"/>
            </w:pPr>
            <w:r>
              <w:t xml:space="preserve">H5 Dải biến thiên thể chế</w:t>
            </w:r>
          </w:p>
        </w:tc>
        <w:tc>
          <w:tcPr/>
          <w:p>
            <w:pPr>
              <w:pStyle w:val="Compact"/>
              <w:jc w:val="left"/>
            </w:pPr>
            <w:r>
              <w:t xml:space="preserve">Phân tích mô tả CĐ1: phân tán LP tăng theo chế độ</w:t>
            </w:r>
          </w:p>
        </w:tc>
      </w:tr>
      <w:tr>
        <w:tc>
          <w:tcPr/>
          <w:p>
            <w:pPr>
              <w:pStyle w:val="Compact"/>
              <w:jc w:val="left"/>
            </w:pPr>
            <w:r>
              <w:t xml:space="preserve">-</w:t>
            </w:r>
          </w:p>
        </w:tc>
        <w:tc>
          <w:tcPr/>
          <w:p>
            <w:pPr>
              <w:pStyle w:val="Compact"/>
              <w:jc w:val="left"/>
            </w:pPr>
            <w:r>
              <w:t xml:space="preserve">(Thời gian)</w:t>
            </w:r>
          </w:p>
        </w:tc>
        <w:tc>
          <w:tcPr/>
          <w:p>
            <w:pPr>
              <w:pStyle w:val="Compact"/>
              <w:jc w:val="left"/>
            </w:pPr>
            <w:r>
              <w:t xml:space="preserve">Quan hệ thay đổi qua thời gian không?</w:t>
            </w:r>
          </w:p>
        </w:tc>
        <w:tc>
          <w:tcPr/>
          <w:p>
            <w:pPr>
              <w:pStyle w:val="Compact"/>
              <w:jc w:val="left"/>
            </w:pPr>
            <w:r>
              <w:t xml:space="preserve">Year-bucket</w:t>
            </w:r>
          </w:p>
        </w:tc>
        <w:tc>
          <w:tcPr/>
          <w:p>
            <w:pPr>
              <w:pStyle w:val="Compact"/>
              <w:jc w:val="left"/>
            </w:pPr>
            <w:r>
              <w:t xml:space="preserve">H6 Không đồng nhất thời gian</w:t>
            </w:r>
          </w:p>
        </w:tc>
        <w:tc>
          <w:tcPr/>
          <w:p>
            <w:pPr>
              <w:pStyle w:val="Compact"/>
              <w:jc w:val="left"/>
            </w:pPr>
            <w:r>
              <w:t xml:space="preserve">Việt Nam: Paternoster p &lt; 0,001; Trung Quốc: TCI Paternoster p = 0,011</w:t>
            </w:r>
          </w:p>
        </w:tc>
      </w:tr>
    </w:tbl>
    <w:p>
      <w:pPr>
        <w:pStyle w:val="BodyText"/>
      </w:pPr>
      <w:r>
        <w:t xml:space="preserve">Lập luận tích hợp: quốc tế hóa là quyết định chiến lược theo lập luận Uppsala (tầng 1); kết quả phụ thuộc nguồn lực doanh nghiệp, TCI (RBV/Lall, 1992) đóng vai trò nâng mặt bằng nhân quả; được hỗ trợ bởi hạ tầng số có điều kiện, DAI (Foundational Digital Adoption Framework/Verhoef et al., 2021) là năng lực phụ thuộc bối cảnh theo CDCM; phản ánh đặc điểm nhà quản trị (Upper Echelons/Hambrick &amp; Mason, 1984); bị khuôn khổ bởi thể chế nội địa (Institutional Theory/North, 1990), dải biến thiên ICRV 6 nhóm với gánh nặng bắt buộc ở quốc đảo nhỏ; và thay đổi theo bối cảnh thời gian, thiết kế ba giai đoạn.</w:t>
      </w:r>
    </w:p>
    <w:p>
      <w:pPr>
        <w:pStyle w:val="BodyText"/>
      </w:pPr>
      <w:r>
        <w:t xml:space="preserve">Hạn chế của khung tích hợp: khó tách hiệu ứng riêng từng tầng nếu không có dữ liệu panel dài; một số biến quan trọng theo Uppsala (khoảng cách tâm lý, gắn kết mạng lưới) khó đo trong WBES; TCI và DAI có thể tương quan; ICRV và hiệu ứng cố định quốc gia có thể đa cộng; CDCM chỉ đo ở Tier 1-2 do hạn chế WBES.</w:t>
      </w:r>
    </w:p>
    <w:bookmarkEnd w:id="43"/>
    <w:bookmarkEnd w:id="44"/>
    <w:bookmarkStart w:id="54" w:name="X544ac3c1efd6eca36fd2a6dd76d3c4cb20b85eb"/>
    <w:p>
      <w:pPr>
        <w:pStyle w:val="Heading4"/>
      </w:pPr>
      <w:r>
        <w:t xml:space="preserve">2.3.3 Khung khái niệm và mô hình nghiên cứu đề xuất</w:t>
      </w:r>
    </w:p>
    <w:p>
      <w:pPr>
        <w:pStyle w:val="FirstParagraph"/>
      </w:pPr>
      <w:r>
        <w:t xml:space="preserve">Khung khái niệm được xây dựng theo quy trình năm bước (Whetten, 1989; Dubin, 1978): (1) xác định khoảng trống lý thuyết; (2) lựa chọn và biện minh lý thuyết nền; (3) phát triển giả thuyết có cơ chế nhân quả rõ ràng; (4) thiết kế sơ đồ trực quan nhất quán với hệ giả thuyết; (5) kiểm tra tính đồng nhất giữa mô hình, giả thuyết và chiến lược thực nghiệm. Mô hình kết hợp năm tầng lý thuyết, Uppsala Model, Resource-Based View, Institutional Theory, Upper Echelons Theory và Foundational Digital Adoption Framework, vào một cấu trúc nhân quả kiểm định được, nhận diện rõ vai trò của từng biến:</w:t>
      </w:r>
      <w:r>
        <w:t xml:space="preserve"> </w:t>
      </w:r>
      <w:r>
        <w:rPr>
          <w:bCs/>
          <w:b/>
        </w:rPr>
        <w:t xml:space="preserve">biến độc lập</w:t>
      </w:r>
      <w:r>
        <w:t xml:space="preserve"> </w:t>
      </w:r>
      <w:r>
        <w:t xml:space="preserve">(quốc tế hóa, đo bằng FSTS và dạng phi tuyến</w:t>
      </w:r>
      <w:r>
        <w:t xml:space="preserve"> </w:t>
      </w:r>
      <m:oMath>
        <m:sSup>
          <m:e>
            <m:r>
              <m:rPr>
                <m:nor/>
                <m:sty m:val="p"/>
              </m:rPr>
              <m:t>FSTS</m:t>
            </m:r>
          </m:e>
          <m:sup>
            <m:r>
              <m:t>2</m:t>
            </m:r>
          </m:sup>
        </m:sSup>
      </m:oMath>
      <w:r>
        <w:t xml:space="preserve">_c),</w:t>
      </w:r>
      <w:r>
        <w:t xml:space="preserve"> </w:t>
      </w:r>
      <w:r>
        <w:rPr>
          <w:bCs/>
          <w:b/>
        </w:rPr>
        <w:t xml:space="preserve">biến phụ thuộc</w:t>
      </w:r>
      <w:r>
        <w:t xml:space="preserve"> </w:t>
      </w:r>
      <w:r>
        <w:t xml:space="preserve">(hiệu quả, đo bằng ln(Labour Productivity)),</w:t>
      </w:r>
      <w:r>
        <w:t xml:space="preserve"> </w:t>
      </w:r>
      <w:r>
        <w:rPr>
          <w:bCs/>
          <w:b/>
        </w:rPr>
        <w:t xml:space="preserve">biến điều tiết trọng tâm</w:t>
      </w:r>
      <w:r>
        <w:t xml:space="preserve"> </w:t>
      </w:r>
      <w:r>
        <w:t xml:space="preserve">cấp doanh nghiệp (TCI, DAI) và cấp quốc gia (chế độ thể chế ICRV, thời gian), và</w:t>
      </w:r>
      <w:r>
        <w:t xml:space="preserve"> </w:t>
      </w:r>
      <w:r>
        <w:rPr>
          <w:bCs/>
          <w:b/>
        </w:rPr>
        <w:t xml:space="preserve">biến kiểm soát</w:t>
      </w:r>
      <w:r>
        <w:t xml:space="preserve"> </w:t>
      </w:r>
      <w:r>
        <w:t xml:space="preserve">gồm khối kiểm soát quản trị nội sinh (kinh nghiệm, học vấn, giới tính nhà quản trị, H4) cùng các kiểm soát chuẩn (quy mô, tuổi, sở hữu nước ngoài, sector FE, country FE, year FE). Đặc điểm nhà quản trị được đưa vào như biến kiểm soát quản trị nội sinh chứ không phải nhân tố điều tiết trọng tâm; lựa chọn này nhằm khóa chặt thiên lệch nội sinh phát sinh từ năng lực và sự đa dạng giới của nhà quản trị, bảo vệ tính nhân quả thuần khiết của tương tác Thể chế × Công nghệ vốn là thông điệp vĩ mô của khung.</w:t>
      </w:r>
    </w:p>
    <w:bookmarkStart w:id="48" w:name="X554d9a38aa5071c54dd41cf832555f814bf88a4"/>
    <w:p>
      <w:pPr>
        <w:pStyle w:val="Heading5"/>
      </w:pPr>
      <w:r>
        <w:t xml:space="preserve">Hình 2.1, Khung khái niệm tích hợp (tổng quan)</w:t>
      </w:r>
    </w:p>
    <w:p>
      <w:pPr>
        <w:pStyle w:val="CaptionedFigure"/>
      </w:pPr>
      <w:r>
        <w:drawing>
          <wp:inline>
            <wp:extent cx="5753100" cy="3860884"/>
            <wp:effectExtent b="0" l="0" r="0" t="0"/>
            <wp:docPr descr="Hình 2.1: Khung khái niệm tích hợp CĐ2" title="" id="46" name="Picture"/>
            <a:graphic>
              <a:graphicData uri="http://schemas.openxmlformats.org/drawingml/2006/picture">
                <pic:pic>
                  <pic:nvPicPr>
                    <pic:cNvPr descr="figures/hinh_2_1_khung_khai_niem.png" id="47" name="Picture"/>
                    <pic:cNvPicPr>
                      <a:picLocks noChangeArrowheads="1" noChangeAspect="1"/>
                    </pic:cNvPicPr>
                  </pic:nvPicPr>
                  <pic:blipFill>
                    <a:blip r:embed="rId45"/>
                    <a:stretch>
                      <a:fillRect/>
                    </a:stretch>
                  </pic:blipFill>
                  <pic:spPr bwMode="auto">
                    <a:xfrm>
                      <a:off x="0" y="0"/>
                      <a:ext cx="5753100" cy="3860884"/>
                    </a:xfrm>
                    <a:prstGeom prst="rect">
                      <a:avLst/>
                    </a:prstGeom>
                    <a:noFill/>
                    <a:ln w="9525">
                      <a:noFill/>
                      <a:headEnd/>
                      <a:tailEnd/>
                    </a:ln>
                  </pic:spPr>
                </pic:pic>
              </a:graphicData>
            </a:graphic>
          </wp:inline>
        </w:drawing>
      </w:r>
    </w:p>
    <w:p>
      <w:pPr>
        <w:pStyle w:val="ImageCaption"/>
      </w:pPr>
      <w:r>
        <w:t xml:space="preserve">Hình 2.1: Khung khái niệm tích hợp CĐ2</w:t>
      </w:r>
    </w:p>
    <w:p>
      <w:pPr>
        <w:pStyle w:val="BodyText"/>
      </w:pPr>
      <w:r>
        <w:rPr>
          <w:iCs/>
          <w:i/>
        </w:rPr>
        <w:t xml:space="preserve">Hình 2.1.</w:t>
      </w:r>
      <w:r>
        <w:t xml:space="preserve"> </w:t>
      </w:r>
      <w:r>
        <w:t xml:space="preserve">Mô hình khái niệm thống nhất luận án (CDCM — Context-Contingent Digital-and-Capability Model). Hình chữ nhật biểu thị biến quan sát được; hình ellipse biểu thị cấu trúc tiềm ẩn (TCI, ICRV, DAI). H1a (+) và H1b (−) xác định quan hệ phi tuyến chữ U ngược (điểm uốn ≈ 36%; H1b điều kiện biên: SIDS/FIP âm đơn điệu). H2 TCI nâng mặt bằng hiệu quả. H3 DAI tái định hình đường cong phụ thuộc bối cảnh. H5 ICRV chi phối độ cong/biên độ. Mũi tên hai chiều đứt nét biểu thị thay thế số–thể chế (DAI×ICRV,</w:t>
      </w:r>
      <w:r>
        <w:t xml:space="preserve"> </w:t>
      </w:r>
      <m:oMath>
        <m:r>
          <m:t>p</m:t>
        </m:r>
      </m:oMath>
      <w:r>
        <w:t xml:space="preserve"> </w:t>
      </w:r>
      <w:r>
        <w:t xml:space="preserve">= ,049). Kiểm soát Bậc trên (H4) đưa vào như biến kiểm soát quản trị nội sinh.</w:t>
      </w:r>
      <w:r>
        <w:t xml:space="preserve"> </w:t>
      </w:r>
      <w:r>
        <w:rPr>
          <w:iCs/>
          <w:i/>
        </w:rPr>
        <w:t xml:space="preserve">Nguồn: tác giả tự xây dựng.</w:t>
      </w:r>
    </w:p>
    <w:p>
      <w:pPr>
        <w:pStyle w:val="BodyText"/>
      </w:pPr>
      <w:r>
        <w:t xml:space="preserve">Mũi tên liền nét biểu thị tác động trực tiếp (H1: quan hệ phi tuyến I-P). Mũi tên đứt nét biểu thị tác động điều tiết. H1-H6 tương ứng với các giả thuyết phát triển trong Mục 2.3.4. Biến phụ thuộc (ln(Labour Productivity)) được xác định duy nhất ở cực phải. Biến độc lập (FSTS,</w:t>
      </w:r>
      <w:r>
        <w:t xml:space="preserve"> </w:t>
      </w:r>
      <m:oMath>
        <m:sSup>
          <m:e>
            <m:r>
              <m:rPr>
                <m:nor/>
                <m:sty m:val="p"/>
              </m:rPr>
              <m:t>FSTS</m:t>
            </m:r>
          </m:e>
          <m:sup>
            <m:r>
              <m:t>2</m:t>
            </m:r>
          </m:sup>
        </m:sSup>
      </m:oMath>
      <w:r>
        <w:t xml:space="preserve">_c,</w:t>
      </w:r>
      <w:r>
        <w:t xml:space="preserve"> </w:t>
      </w:r>
      <m:oMath>
        <m:sSup>
          <m:e>
            <m:r>
              <m:rPr>
                <m:nor/>
                <m:sty m:val="p"/>
              </m:rPr>
              <m:t>FSTS</m:t>
            </m:r>
          </m:e>
          <m:sup>
            <m:r>
              <m:t>3</m:t>
            </m:r>
          </m:sup>
        </m:sSup>
      </m:oMath>
      <w:r>
        <w:t xml:space="preserve">_c) ở cực trái. Sơ đồ phân biệt rõ hai loại nhân tố. Bốn nhân tố điều tiết trọng tâm (focal moderators) nằm trong tầng điều tiết được giả thuyết hóa, phân theo hai cấp: cấp doanh nghiệp (TCI, H2, và DAI, H3) và cấp quốc gia (chế độ thể chế ICRV, H5, và giai đoạn thời gian, H6). Đặc điểm nhà quản trị (kinh nghiệm, học vấn, giới tính, H4) KHÔNG nằm trong tầng điều tiết trọng tâm mà được trình bày cùng nhóm biến kiểm soát quản trị nội sinh, nhằm khóa chặt thiên lệch nội sinh từ năng lực và sự đa dạng giới của nhà quản trị và bảo vệ tính nhân quả thuần khiết của tương tác Thể chế × Công nghệ. Các biến kiểm soát khác (ln(emp), firm_age, foreign_own, sector/country/year FE) được đưa vào mô hình thực nghiệm nhưng không hiển thị trong sơ đồ để đơn giản hóa trình bày. Mỗi tầng lý thuyết cung cấp cơ chế nhân quả riêng biệt: Uppsala giải thích đường cong I-P; RBV biện minh cho H2 (TCI điều tiết trọng tâm); Foundational Digital Adoption Framework (CDCM) biện minh cho H3 (DAI điều tiết trọng tâm); Institutional Theory biện minh cho H5 (điều tiết trọng tâm); Upper Echelons cung cấp cơ sở cho khối kiểm soát quản trị nội sinh H4. Bằng chứng neo đậu từ phân tích Việt Nam và Singapore và phân tích Trung Quốc của luận án xác nhận tính khả nghiệm trước khi áp dụng cho toàn pool 101.185 doanh nghiệp.</w:t>
      </w:r>
    </w:p>
    <w:bookmarkEnd w:id="48"/>
    <w:bookmarkStart w:id="52" w:name="hình-2.2-cơ-chế-cdcm-chi-tiết"/>
    <w:p>
      <w:pPr>
        <w:pStyle w:val="Heading5"/>
      </w:pPr>
      <w:r>
        <w:t xml:space="preserve">Hình 2.2, Cơ chế CDCM chi tiết</w:t>
      </w:r>
    </w:p>
    <w:p>
      <w:pPr>
        <w:pStyle w:val="CaptionedFigure"/>
      </w:pPr>
      <w:r>
        <w:drawing>
          <wp:inline>
            <wp:extent cx="5753100" cy="3860884"/>
            <wp:effectExtent b="0" l="0" r="0" t="0"/>
            <wp:docPr descr="Hình 2.2: Cơ chế CDCM theo ba nhóm ICRV" title="" id="50" name="Picture"/>
            <a:graphic>
              <a:graphicData uri="http://schemas.openxmlformats.org/drawingml/2006/picture">
                <pic:pic>
                  <pic:nvPicPr>
                    <pic:cNvPr descr="figures/hinh_2_2_cdcm_detail.png" id="51" name="Picture"/>
                    <pic:cNvPicPr>
                      <a:picLocks noChangeArrowheads="1" noChangeAspect="1"/>
                    </pic:cNvPicPr>
                  </pic:nvPicPr>
                  <pic:blipFill>
                    <a:blip r:embed="rId49"/>
                    <a:stretch>
                      <a:fillRect/>
                    </a:stretch>
                  </pic:blipFill>
                  <pic:spPr bwMode="auto">
                    <a:xfrm>
                      <a:off x="0" y="0"/>
                      <a:ext cx="5753100" cy="3860884"/>
                    </a:xfrm>
                    <a:prstGeom prst="rect">
                      <a:avLst/>
                    </a:prstGeom>
                    <a:noFill/>
                    <a:ln w="9525">
                      <a:noFill/>
                      <a:headEnd/>
                      <a:tailEnd/>
                    </a:ln>
                  </pic:spPr>
                </pic:pic>
              </a:graphicData>
            </a:graphic>
          </wp:inline>
        </w:drawing>
      </w:r>
    </w:p>
    <w:p>
      <w:pPr>
        <w:pStyle w:val="ImageCaption"/>
      </w:pPr>
      <w:r>
        <w:t xml:space="preserve">Hình 2.2: Cơ chế CDCM theo ba nhóm ICRV</w:t>
      </w:r>
    </w:p>
    <w:p>
      <w:pPr>
        <w:pStyle w:val="BodyText"/>
      </w:pPr>
      <w:r>
        <w:rPr>
          <w:iCs/>
          <w:i/>
        </w:rPr>
        <w:t xml:space="preserve">Hình 2.2.</w:t>
      </w:r>
      <w:r>
        <w:t xml:space="preserve"> </w:t>
      </w:r>
      <w:r>
        <w:t xml:space="preserve">Cơ chế Context-Contingent Digital-and-Capability Model (CDCM) theo ba nhóm ICRV đại diện.</w:t>
      </w:r>
    </w:p>
    <w:p>
      <w:pPr>
        <w:pStyle w:val="BodyText"/>
      </w:pPr>
      <w:r>
        <w:t xml:space="preserve">DAI (Digital Adoption Index) không phải là nguồn lực đồng nhất mà là</w:t>
      </w:r>
      <w:r>
        <w:t xml:space="preserve"> </w:t>
      </w:r>
      <w:r>
        <w:rPr>
          <w:bCs/>
          <w:b/>
        </w:rPr>
        <w:t xml:space="preserve">nguồn lực phụ thuộc ngữ cảnh</w:t>
      </w:r>
      <w:r>
        <w:t xml:space="preserve"> </w:t>
      </w:r>
      <w:r>
        <w:t xml:space="preserve">(context-contingent resource), vai trò của DAI trong quan hệ I-P thay đổi theo chế độ thể chế và mức bão hòa số của nền kinh tế. Nhóm I (Singapore, Advanced I, bão hòa số cao): DAI Tier-1+2 vận hành như nguồn lực khuếch đại tình huống, tác động chỉ xuất hiện khi cường độ xuất khẩu đạt ngưỡng cao (</w:t>
      </w:r>
      <m:oMath>
        <m:sSup>
          <m:e>
            <m:r>
              <m:rPr>
                <m:nor/>
                <m:sty m:val="p"/>
              </m:rPr>
              <m:t>FSTS</m:t>
            </m:r>
          </m:e>
          <m:sup>
            <m:r>
              <m:t>2</m:t>
            </m:r>
          </m:sup>
        </m:sSup>
      </m:oMath>
      <w:r>
        <w:t xml:space="preserve">×DAI = +3,119; phân tích Singapore của luận án). Nhóm IV (Việt Nam, Lower_mid_transition, bão hòa số thấp; Nhóm IV trong cả hệ phân loại 5 nhóm của phân tích tổng hợp lẫn hệ 6 nhóm của CĐ2): DAI Tier-1 là ràng buộc đo lường; tác động dương theo OLS nhưng biến mất sau hiệu chỉnh nội sinh biến công cụ (β = 0,018, p = 0,942; phân tích Việt Nam của luận án). Nhóm III (Trung Quốc, Upper-Middle/Emerging transition, bão hòa số trung bình): DAI Tier-1 phổ biến &gt;60%, mất khả năng phân biệt, giữ như biến kiểm soát không phải biến điều tiết (phân tích Trung Quốc của luận án). Cơ chế này giải thích tại sao kết quả</w:t>
      </w:r>
      <w:r>
        <w:t xml:space="preserve"> </w:t>
      </w:r>
      <w:r>
        <w:t xml:space="preserve">“</w:t>
      </w:r>
      <w:r>
        <w:t xml:space="preserve">DAI null</w:t>
      </w:r>
      <w:r>
        <w:t xml:space="preserve">”</w:t>
      </w:r>
      <w:r>
        <w:t xml:space="preserve"> </w:t>
      </w:r>
      <w:r>
        <w:t xml:space="preserve">và</w:t>
      </w:r>
      <w:r>
        <w:t xml:space="preserve"> </w:t>
      </w:r>
      <w:r>
        <w:t xml:space="preserve">“</w:t>
      </w:r>
      <w:r>
        <w:t xml:space="preserve">DAI dương</w:t>
      </w:r>
      <w:r>
        <w:t xml:space="preserve">”</w:t>
      </w:r>
      <w:r>
        <w:t xml:space="preserve"> </w:t>
      </w:r>
      <w:r>
        <w:t xml:space="preserve">đều nhất quán với lý thuyết CDCM, khác nhau ở điều kiện bối cảnh, không mâu thuẫn về lý thuyết nền tảng.</w:t>
      </w:r>
    </w:p>
    <w:bookmarkEnd w:id="52"/>
    <w:bookmarkStart w:id="53" w:name="bảng-2.4-mapping-biến-đầy-đủ"/>
    <w:p>
      <w:pPr>
        <w:pStyle w:val="Heading5"/>
      </w:pPr>
      <w:r>
        <w:t xml:space="preserve">Bảng 2.4, Mapping biến đầy đủ</w:t>
      </w:r>
    </w:p>
    <w:p>
      <w:pPr>
        <w:pStyle w:val="FirstParagraph"/>
      </w:pPr>
      <w:r>
        <w:t xml:space="preserve">Bảng 2.4. Mapping biến đầy đủ: khái niệm lý thuyết, biến WBES, kỳ vọng dấu, giả thuyết.</w:t>
      </w:r>
    </w:p>
    <w:tbl>
      <w:tblPr>
        <w:tblStyle w:val="Table"/>
        <w:tblW w:type="pct" w:w="5000"/>
        <w:tblLook w:firstRow="1" w:lastRow="0" w:firstColumn="0" w:lastColumn="0" w:noHBand="0" w:noVBand="0" w:val="0020"/>
        <w:jc w:val="start"/>
      </w:tblPr>
      <w:tblGrid>
        <w:gridCol w:w="819"/>
        <w:gridCol w:w="1502"/>
        <w:gridCol w:w="1228"/>
        <w:gridCol w:w="1502"/>
        <w:gridCol w:w="1228"/>
        <w:gridCol w:w="1638"/>
      </w:tblGrid>
      <w:tr>
        <w:trPr>
          <w:tblHeader w:val="true"/>
        </w:trPr>
        <w:tc>
          <w:tcPr/>
          <w:p>
            <w:pPr>
              <w:pStyle w:val="Compact"/>
              <w:jc w:val="left"/>
            </w:pPr>
            <w:r>
              <w:t xml:space="preserve">Biến</w:t>
            </w:r>
          </w:p>
        </w:tc>
        <w:tc>
          <w:tcPr/>
          <w:p>
            <w:pPr>
              <w:pStyle w:val="Compact"/>
              <w:jc w:val="left"/>
            </w:pPr>
            <w:r>
              <w:t xml:space="preserve">Khái niệm</w:t>
            </w:r>
          </w:p>
        </w:tc>
        <w:tc>
          <w:tcPr/>
          <w:p>
            <w:pPr>
              <w:pStyle w:val="Compact"/>
              <w:jc w:val="left"/>
            </w:pPr>
            <w:r>
              <w:t xml:space="preserve">Mã WBES</w:t>
            </w:r>
          </w:p>
        </w:tc>
        <w:tc>
          <w:tcPr/>
          <w:p>
            <w:pPr>
              <w:pStyle w:val="Compact"/>
              <w:jc w:val="left"/>
            </w:pPr>
            <w:r>
              <w:t xml:space="preserve">Công thức</w:t>
            </w:r>
          </w:p>
        </w:tc>
        <w:tc>
          <w:tcPr/>
          <w:p>
            <w:pPr>
              <w:pStyle w:val="Compact"/>
              <w:jc w:val="left"/>
            </w:pPr>
            <w:r>
              <w:t xml:space="preserve">Kỳ vọng</w:t>
            </w:r>
          </w:p>
        </w:tc>
        <w:tc>
          <w:tcPr/>
          <w:p>
            <w:pPr>
              <w:pStyle w:val="Compact"/>
              <w:jc w:val="left"/>
            </w:pPr>
            <w:r>
              <w:t xml:space="preserve">Giả thuyết</w:t>
            </w:r>
          </w:p>
        </w:tc>
      </w:tr>
      <w:tr>
        <w:tc>
          <w:tcPr/>
          <w:p>
            <w:pPr>
              <w:pStyle w:val="Compact"/>
              <w:jc w:val="left"/>
            </w:pPr>
            <w:r>
              <w:t xml:space="preserve">ln(LP)</w:t>
            </w:r>
          </w:p>
        </w:tc>
        <w:tc>
          <w:tcPr/>
          <w:p>
            <w:pPr>
              <w:pStyle w:val="Compact"/>
              <w:jc w:val="left"/>
            </w:pPr>
            <w:r>
              <w:t xml:space="preserve">Năng suất lao động</w:t>
            </w:r>
          </w:p>
        </w:tc>
        <w:tc>
          <w:tcPr/>
          <w:p>
            <w:pPr>
              <w:pStyle w:val="Compact"/>
              <w:jc w:val="left"/>
            </w:pPr>
            <w:r>
              <w:t xml:space="preserve">d2, l1</w:t>
            </w:r>
          </w:p>
        </w:tc>
        <w:tc>
          <w:tcPr/>
          <w:p>
            <w:pPr>
              <w:pStyle w:val="Compact"/>
              <w:jc w:val="left"/>
            </w:pPr>
            <w:r>
              <w:t xml:space="preserve">ln(d2/l1)</w:t>
            </w:r>
          </w:p>
        </w:tc>
        <w:tc>
          <w:tcPr/>
          <w:p>
            <w:pPr>
              <w:pStyle w:val="Compact"/>
              <w:jc w:val="left"/>
            </w:pPr>
            <w:r>
              <w:t xml:space="preserve">Biến phụ thuộc</w:t>
            </w:r>
          </w:p>
        </w:tc>
        <w:tc>
          <w:tcPr/>
          <w:p>
            <w:pPr>
              <w:pStyle w:val="Compact"/>
              <w:jc w:val="left"/>
            </w:pPr>
            <w:r>
              <w:t xml:space="preserve">-</w:t>
            </w:r>
          </w:p>
        </w:tc>
      </w:tr>
      <w:tr>
        <w:tc>
          <w:tcPr/>
          <w:p>
            <w:pPr>
              <w:pStyle w:val="Compact"/>
              <w:jc w:val="left"/>
            </w:pPr>
            <w:r>
              <w:t xml:space="preserve">FSTS</w:t>
            </w:r>
          </w:p>
        </w:tc>
        <w:tc>
          <w:tcPr/>
          <w:p>
            <w:pPr>
              <w:pStyle w:val="Compact"/>
              <w:jc w:val="left"/>
            </w:pPr>
            <w:r>
              <w:t xml:space="preserve">Cường độ QTH</w:t>
            </w:r>
          </w:p>
        </w:tc>
        <w:tc>
          <w:tcPr/>
          <w:p>
            <w:pPr>
              <w:pStyle w:val="Compact"/>
              <w:jc w:val="left"/>
            </w:pPr>
            <w:r>
              <w:t xml:space="preserve">d3c</w:t>
            </w:r>
          </w:p>
        </w:tc>
        <w:tc>
          <w:tcPr/>
          <w:p>
            <w:pPr>
              <w:pStyle w:val="Compact"/>
              <w:jc w:val="left"/>
            </w:pPr>
            <w:r>
              <w:t xml:space="preserve">d3c/100</w:t>
            </w:r>
          </w:p>
        </w:tc>
        <w:tc>
          <w:tcPr/>
          <w:p>
            <w:pPr>
              <w:pStyle w:val="Compact"/>
              <w:jc w:val="left"/>
            </w:pPr>
            <m:oMath>
              <m:sSub>
                <m:e>
                  <m:r>
                    <m:t>β</m:t>
                  </m:r>
                </m:e>
                <m:sub>
                  <m:r>
                    <m:t>1</m:t>
                  </m:r>
                </m:sub>
              </m:sSub>
            </m:oMath>
            <w:r>
              <w:t xml:space="preserve"> </w:t>
            </w:r>
            <w:r>
              <w:t xml:space="preserve">&gt; 0</w:t>
            </w:r>
          </w:p>
        </w:tc>
        <w:tc>
          <w:tcPr/>
          <w:p>
            <w:pPr>
              <w:pStyle w:val="Compact"/>
              <w:jc w:val="left"/>
            </w:pPr>
            <w:r>
              <w:t xml:space="preserve">H1</w:t>
            </w:r>
          </w:p>
        </w:tc>
      </w:tr>
      <w:tr>
        <w:tc>
          <w:tcPr/>
          <w:p>
            <w:pPr>
              <w:pStyle w:val="Compact"/>
              <w:jc w:val="left"/>
            </w:pPr>
            <m:oMath>
              <m:sSup>
                <m:e>
                  <m:r>
                    <m:rPr>
                      <m:nor/>
                      <m:sty m:val="p"/>
                    </m:rPr>
                    <m:t>FSTS</m:t>
                  </m:r>
                </m:e>
                <m:sup>
                  <m:r>
                    <m:t>2</m:t>
                  </m:r>
                </m:sup>
              </m:sSup>
            </m:oMath>
          </w:p>
        </w:tc>
        <w:tc>
          <w:tcPr/>
          <w:p>
            <w:pPr>
              <w:pStyle w:val="Compact"/>
              <w:jc w:val="left"/>
            </w:pPr>
            <w:r>
              <w:t xml:space="preserve">Phi tuyến</w:t>
            </w:r>
          </w:p>
        </w:tc>
        <w:tc>
          <w:tcPr/>
          <w:p>
            <w:pPr>
              <w:pStyle w:val="Compact"/>
              <w:jc w:val="left"/>
            </w:pPr>
            <w:r>
              <w:t xml:space="preserve">-</w:t>
            </w:r>
          </w:p>
        </w:tc>
        <w:tc>
          <w:tcPr/>
          <w:p>
            <w:pPr>
              <w:pStyle w:val="Compact"/>
              <w:jc w:val="left"/>
            </w:pPr>
            <w:r>
              <w:t xml:space="preserve">(FSTS_c)²</w:t>
            </w:r>
          </w:p>
        </w:tc>
        <w:tc>
          <w:tcPr/>
          <w:p>
            <w:pPr>
              <w:pStyle w:val="Compact"/>
              <w:jc w:val="left"/>
            </w:pPr>
            <m:oMath>
              <m:sSub>
                <m:e>
                  <m:r>
                    <m:t>β</m:t>
                  </m:r>
                </m:e>
                <m:sub>
                  <m:r>
                    <m:t>2</m:t>
                  </m:r>
                </m:sub>
              </m:sSub>
            </m:oMath>
            <w:r>
              <w:t xml:space="preserve"> </w:t>
            </w:r>
            <w:r>
              <w:t xml:space="preserve">&lt; 0</w:t>
            </w:r>
          </w:p>
        </w:tc>
        <w:tc>
          <w:tcPr/>
          <w:p>
            <w:pPr>
              <w:pStyle w:val="Compact"/>
              <w:jc w:val="left"/>
            </w:pPr>
            <w:r>
              <w:t xml:space="preserve">H1</w:t>
            </w:r>
          </w:p>
        </w:tc>
      </w:tr>
      <w:tr>
        <w:tc>
          <w:tcPr/>
          <w:p>
            <w:pPr>
              <w:pStyle w:val="Compact"/>
              <w:jc w:val="left"/>
            </w:pPr>
            <m:oMath>
              <m:sSup>
                <m:e>
                  <m:r>
                    <m:rPr>
                      <m:nor/>
                      <m:sty m:val="p"/>
                    </m:rPr>
                    <m:t>FSTS</m:t>
                  </m:r>
                </m:e>
                <m:sup>
                  <m:r>
                    <m:t>3</m:t>
                  </m:r>
                </m:sup>
              </m:sSup>
            </m:oMath>
          </w:p>
        </w:tc>
        <w:tc>
          <w:tcPr/>
          <w:p>
            <w:pPr>
              <w:pStyle w:val="Compact"/>
              <w:jc w:val="left"/>
            </w:pPr>
            <w:r>
              <w:t xml:space="preserve">S-curve</w:t>
            </w:r>
          </w:p>
        </w:tc>
        <w:tc>
          <w:tcPr/>
          <w:p>
            <w:pPr>
              <w:pStyle w:val="Compact"/>
              <w:jc w:val="left"/>
            </w:pPr>
            <w:r>
              <w:t xml:space="preserve">-</w:t>
            </w:r>
          </w:p>
        </w:tc>
        <w:tc>
          <w:tcPr/>
          <w:p>
            <w:pPr>
              <w:pStyle w:val="Compact"/>
              <w:jc w:val="left"/>
            </w:pPr>
            <w:r>
              <w:t xml:space="preserve">(FSTS_c)³</w:t>
            </w:r>
          </w:p>
        </w:tc>
        <w:tc>
          <w:tcPr/>
          <w:p>
            <w:pPr>
              <w:pStyle w:val="Compact"/>
              <w:jc w:val="left"/>
            </w:pPr>
            <m:oMath>
              <m:sSub>
                <m:e>
                  <m:r>
                    <m:t>β</m:t>
                  </m:r>
                </m:e>
                <m:sub>
                  <m:r>
                    <m:t>3</m:t>
                  </m:r>
                </m:sub>
              </m:sSub>
            </m:oMath>
            <w:r>
              <w:t xml:space="preserve"> </w:t>
            </w:r>
            <w:r>
              <w:t xml:space="preserve">&gt; 0</w:t>
            </w:r>
          </w:p>
        </w:tc>
        <w:tc>
          <w:tcPr/>
          <w:p>
            <w:pPr>
              <w:pStyle w:val="Compact"/>
              <w:jc w:val="left"/>
            </w:pPr>
            <w:r>
              <w:t xml:space="preserve">H1</w:t>
            </w:r>
          </w:p>
        </w:tc>
      </w:tr>
      <w:tr>
        <w:tc>
          <w:tcPr/>
          <w:p>
            <w:pPr>
              <w:pStyle w:val="Compact"/>
              <w:jc w:val="left"/>
            </w:pPr>
            <w:r>
              <w:t xml:space="preserve">TCI</w:t>
            </w:r>
          </w:p>
        </w:tc>
        <w:tc>
          <w:tcPr/>
          <w:p>
            <w:pPr>
              <w:pStyle w:val="Compact"/>
              <w:jc w:val="left"/>
            </w:pPr>
            <w:r>
              <w:t xml:space="preserve">Năng lực CN nội tại</w:t>
            </w:r>
          </w:p>
        </w:tc>
        <w:tc>
          <w:tcPr/>
          <w:p>
            <w:pPr>
              <w:pStyle w:val="Compact"/>
              <w:jc w:val="left"/>
            </w:pPr>
            <w:r>
              <w:t xml:space="preserve">b8, h8, h1, e6</w:t>
            </w:r>
          </w:p>
        </w:tc>
        <w:tc>
          <w:tcPr/>
          <w:p>
            <w:pPr>
              <w:pStyle w:val="Compact"/>
              <w:jc w:val="left"/>
            </w:pPr>
            <w:r>
              <w:t xml:space="preserve">z-mean($</w:t>
            </w:r>
            <w:r>
              <w:t xml:space="preserve">$3/4 items)</w:t>
            </w:r>
          </w:p>
        </w:tc>
        <w:tc>
          <w:tcPr/>
          <w:p>
            <w:pPr>
              <w:pStyle w:val="Compact"/>
              <w:jc w:val="left"/>
            </w:pPr>
            <w:r>
              <w:t xml:space="preserve">β &gt; 0 (trực tiếp)</w:t>
            </w:r>
          </w:p>
        </w:tc>
        <w:tc>
          <w:tcPr/>
          <w:p>
            <w:pPr>
              <w:pStyle w:val="Compact"/>
              <w:jc w:val="left"/>
            </w:pPr>
            <w:r>
              <w:t xml:space="preserve">H2</w:t>
            </w:r>
          </w:p>
        </w:tc>
      </w:tr>
      <w:tr>
        <w:tc>
          <w:tcPr/>
          <w:p>
            <w:pPr>
              <w:pStyle w:val="Compact"/>
              <w:jc w:val="left"/>
            </w:pPr>
            <w:r>
              <w:t xml:space="preserve">DAI</w:t>
            </w:r>
          </w:p>
        </w:tc>
        <w:tc>
          <w:tcPr/>
          <w:p>
            <w:pPr>
              <w:pStyle w:val="Compact"/>
              <w:jc w:val="left"/>
            </w:pPr>
            <w:r>
              <w:t xml:space="preserve">Áp dụng số nền tảng</w:t>
            </w:r>
          </w:p>
        </w:tc>
        <w:tc>
          <w:tcPr/>
          <w:p>
            <w:pPr>
              <w:pStyle w:val="Compact"/>
              <w:jc w:val="left"/>
            </w:pPr>
            <w:r>
              <w:t xml:space="preserve">c22b; k33/k38</w:t>
            </w:r>
          </w:p>
        </w:tc>
        <w:tc>
          <w:tcPr/>
          <w:p>
            <w:pPr>
              <w:pStyle w:val="Compact"/>
              <w:jc w:val="left"/>
            </w:pPr>
            <w:r>
              <w:t xml:space="preserve">z-mean (Tier 1+2)</w:t>
            </w:r>
          </w:p>
        </w:tc>
        <w:tc>
          <w:tcPr/>
          <w:p>
            <w:pPr>
              <w:pStyle w:val="Compact"/>
              <w:jc w:val="left"/>
            </w:pPr>
            <w:r>
              <w:t xml:space="preserve">Phụ thuộc ngữ cảnh</w:t>
            </w:r>
          </w:p>
        </w:tc>
        <w:tc>
          <w:tcPr/>
          <w:p>
            <w:pPr>
              <w:pStyle w:val="Compact"/>
              <w:jc w:val="left"/>
            </w:pPr>
            <w:r>
              <w:t xml:space="preserve">H3</w:t>
            </w:r>
          </w:p>
        </w:tc>
      </w:tr>
      <w:tr>
        <w:tc>
          <w:tcPr/>
          <w:p>
            <w:pPr>
              <w:pStyle w:val="Compact"/>
              <w:jc w:val="left"/>
            </w:pPr>
            <w:r>
              <w:t xml:space="preserve">FSTS×TCI</w:t>
            </w:r>
          </w:p>
        </w:tc>
        <w:tc>
          <w:tcPr/>
          <w:p>
            <w:pPr>
              <w:pStyle w:val="Compact"/>
              <w:jc w:val="left"/>
            </w:pPr>
            <w:r>
              <w:t xml:space="preserve">Điều tiết TCI</w:t>
            </w:r>
          </w:p>
        </w:tc>
        <w:tc>
          <w:tcPr/>
          <w:p>
            <w:pPr>
              <w:pStyle w:val="Compact"/>
              <w:jc w:val="left"/>
            </w:pPr>
            <w:r>
              <w:t xml:space="preserve">-</w:t>
            </w:r>
          </w:p>
        </w:tc>
        <w:tc>
          <w:tcPr/>
          <w:p>
            <w:pPr>
              <w:pStyle w:val="Compact"/>
              <w:jc w:val="left"/>
            </w:pPr>
            <w:r>
              <w:t xml:space="preserve">tương tác</w:t>
            </w:r>
          </w:p>
        </w:tc>
        <w:tc>
          <w:tcPr/>
          <w:p>
            <w:pPr>
              <w:pStyle w:val="Compact"/>
              <w:jc w:val="left"/>
            </w:pPr>
            <w:r>
              <w:t xml:space="preserve">β_mod: phụ thuộc ngữ cảnh</w:t>
            </w:r>
          </w:p>
        </w:tc>
        <w:tc>
          <w:tcPr/>
          <w:p>
            <w:pPr>
              <w:pStyle w:val="Compact"/>
              <w:jc w:val="left"/>
            </w:pPr>
            <w:r>
              <w:t xml:space="preserve">H2</w:t>
            </w:r>
          </w:p>
        </w:tc>
      </w:tr>
      <w:tr>
        <w:tc>
          <w:tcPr/>
          <w:p>
            <w:pPr>
              <w:pStyle w:val="Compact"/>
              <w:jc w:val="left"/>
            </w:pPr>
            <m:oMath>
              <m:sSup>
                <m:e>
                  <m:r>
                    <m:rPr>
                      <m:nor/>
                      <m:sty m:val="p"/>
                    </m:rPr>
                    <m:t>FSTS</m:t>
                  </m:r>
                </m:e>
                <m:sup>
                  <m:r>
                    <m:t>2</m:t>
                  </m:r>
                </m:sup>
              </m:sSup>
            </m:oMath>
            <w:r>
              <w:t xml:space="preserve">×DAI</w:t>
            </w:r>
          </w:p>
        </w:tc>
        <w:tc>
          <w:tcPr/>
          <w:p>
            <w:pPr>
              <w:pStyle w:val="Compact"/>
              <w:jc w:val="left"/>
            </w:pPr>
            <w:r>
              <w:t xml:space="preserve">DAI tình huống</w:t>
            </w:r>
          </w:p>
        </w:tc>
        <w:tc>
          <w:tcPr/>
          <w:p>
            <w:pPr>
              <w:pStyle w:val="Compact"/>
              <w:jc w:val="left"/>
            </w:pPr>
            <w:r>
              <w:t xml:space="preserve">-</w:t>
            </w:r>
          </w:p>
        </w:tc>
        <w:tc>
          <w:tcPr/>
          <w:p>
            <w:pPr>
              <w:pStyle w:val="Compact"/>
              <w:jc w:val="left"/>
            </w:pPr>
            <w:r>
              <w:t xml:space="preserve">tương tác</w:t>
            </w:r>
          </w:p>
        </w:tc>
        <w:tc>
          <w:tcPr/>
          <w:p>
            <w:pPr>
              <w:pStyle w:val="Compact"/>
              <w:jc w:val="left"/>
            </w:pPr>
            <w:r>
              <w:t xml:space="preserve">β &gt; 0 (Nhóm I); null (Nhóm IV, IV)</w:t>
            </w:r>
          </w:p>
        </w:tc>
        <w:tc>
          <w:tcPr/>
          <w:p>
            <w:pPr>
              <w:pStyle w:val="Compact"/>
              <w:jc w:val="left"/>
            </w:pPr>
            <w:r>
              <w:t xml:space="preserve">H3</w:t>
            </w:r>
          </w:p>
        </w:tc>
      </w:tr>
      <w:tr>
        <w:tc>
          <w:tcPr/>
          <w:p>
            <w:pPr>
              <w:pStyle w:val="Compact"/>
              <w:jc w:val="left"/>
            </w:pPr>
            <w:r>
              <w:t xml:space="preserve">exp_manager</w:t>
            </w:r>
          </w:p>
        </w:tc>
        <w:tc>
          <w:tcPr/>
          <w:p>
            <w:pPr>
              <w:pStyle w:val="Compact"/>
              <w:jc w:val="left"/>
            </w:pPr>
            <w:r>
              <w:t xml:space="preserve">Kinh nghiệm QL</w:t>
            </w:r>
          </w:p>
        </w:tc>
        <w:tc>
          <w:tcPr/>
          <w:p>
            <w:pPr>
              <w:pStyle w:val="Compact"/>
              <w:jc w:val="left"/>
            </w:pPr>
            <w:r>
              <w:t xml:space="preserve">b5</w:t>
            </w:r>
          </w:p>
        </w:tc>
        <w:tc>
          <w:tcPr/>
          <w:p>
            <w:pPr>
              <w:pStyle w:val="Compact"/>
              <w:jc w:val="left"/>
            </w:pPr>
            <w:r>
              <w:t xml:space="preserve">năm kinh nghiệm</w:t>
            </w:r>
          </w:p>
        </w:tc>
        <w:tc>
          <w:tcPr/>
          <w:p>
            <w:pPr>
              <w:pStyle w:val="Compact"/>
              <w:jc w:val="left"/>
            </w:pPr>
            <w:r>
              <w:t xml:space="preserve">δ_exp &gt; 0</w:t>
            </w:r>
          </w:p>
        </w:tc>
        <w:tc>
          <w:tcPr/>
          <w:p>
            <w:pPr>
              <w:pStyle w:val="Compact"/>
              <w:jc w:val="left"/>
            </w:pPr>
            <w:r>
              <w:t xml:space="preserve">H4a (kiểm soát quản trị nội sinh)</w:t>
            </w:r>
          </w:p>
        </w:tc>
      </w:tr>
      <w:tr>
        <w:tc>
          <w:tcPr/>
          <w:p>
            <w:pPr>
              <w:pStyle w:val="Compact"/>
              <w:jc w:val="left"/>
            </w:pPr>
            <w:r>
              <w:t xml:space="preserve">educ_manager</w:t>
            </w:r>
          </w:p>
        </w:tc>
        <w:tc>
          <w:tcPr/>
          <w:p>
            <w:pPr>
              <w:pStyle w:val="Compact"/>
              <w:jc w:val="left"/>
            </w:pPr>
            <w:r>
              <w:t xml:space="preserve">Học vấn QL</w:t>
            </w:r>
          </w:p>
        </w:tc>
        <w:tc>
          <w:tcPr/>
          <w:p>
            <w:pPr>
              <w:pStyle w:val="Compact"/>
              <w:jc w:val="left"/>
            </w:pPr>
            <w:r>
              <w:t xml:space="preserve">b7a</w:t>
            </w:r>
          </w:p>
        </w:tc>
        <w:tc>
          <w:tcPr/>
          <w:p>
            <w:pPr>
              <w:pStyle w:val="Compact"/>
              <w:jc w:val="left"/>
            </w:pPr>
            <w:r>
              <w:t xml:space="preserve">thứ tự</w:t>
            </w:r>
          </w:p>
        </w:tc>
        <w:tc>
          <w:tcPr/>
          <w:p>
            <w:pPr>
              <w:pStyle w:val="Compact"/>
              <w:jc w:val="left"/>
            </w:pPr>
            <w:r>
              <w:t xml:space="preserve">δ_educ &gt; 0</w:t>
            </w:r>
          </w:p>
        </w:tc>
        <w:tc>
          <w:tcPr/>
          <w:p>
            <w:pPr>
              <w:pStyle w:val="Compact"/>
              <w:jc w:val="left"/>
            </w:pPr>
            <w:r>
              <w:t xml:space="preserve">H4b (kiểm soát quản trị nội sinh)</w:t>
            </w:r>
          </w:p>
        </w:tc>
      </w:tr>
      <w:tr>
        <w:tc>
          <w:tcPr/>
          <w:p>
            <w:pPr>
              <w:pStyle w:val="Compact"/>
              <w:jc w:val="left"/>
            </w:pPr>
            <w:r>
              <w:t xml:space="preserve">gender_manager</w:t>
            </w:r>
          </w:p>
        </w:tc>
        <w:tc>
          <w:tcPr/>
          <w:p>
            <w:pPr>
              <w:pStyle w:val="Compact"/>
              <w:jc w:val="left"/>
            </w:pPr>
            <w:r>
              <w:t xml:space="preserve">Giới tính QL</w:t>
            </w:r>
          </w:p>
        </w:tc>
        <w:tc>
          <w:tcPr/>
          <w:p>
            <w:pPr>
              <w:pStyle w:val="Compact"/>
              <w:jc w:val="left"/>
            </w:pPr>
            <w:r>
              <w:t xml:space="preserve">b7</w:t>
            </w:r>
          </w:p>
        </w:tc>
        <w:tc>
          <w:tcPr/>
          <w:p>
            <w:pPr>
              <w:pStyle w:val="Compact"/>
              <w:jc w:val="left"/>
            </w:pPr>
            <w:r>
              <w:t xml:space="preserve">binary female=1</w:t>
            </w:r>
          </w:p>
        </w:tc>
        <w:tc>
          <w:tcPr/>
          <w:p>
            <w:pPr>
              <w:pStyle w:val="Compact"/>
              <w:jc w:val="left"/>
            </w:pPr>
            <w:r>
              <w:t xml:space="preserve">two-sided</w:t>
            </w:r>
          </w:p>
        </w:tc>
        <w:tc>
          <w:tcPr/>
          <w:p>
            <w:pPr>
              <w:pStyle w:val="Compact"/>
              <w:jc w:val="left"/>
            </w:pPr>
            <w:r>
              <w:t xml:space="preserve">H4c (kiểm soát đa dạng giới)</w:t>
            </w:r>
          </w:p>
        </w:tc>
      </w:tr>
      <w:tr>
        <w:tc>
          <w:tcPr/>
          <w:p>
            <w:pPr>
              <w:pStyle w:val="Compact"/>
              <w:jc w:val="left"/>
            </w:pPr>
            <w:r>
              <w:t xml:space="preserve">ICRV_j</w:t>
            </w:r>
          </w:p>
        </w:tc>
        <w:tc>
          <w:tcPr/>
          <w:p>
            <w:pPr>
              <w:pStyle w:val="Compact"/>
              <w:jc w:val="left"/>
            </w:pPr>
            <w:r>
              <w:t xml:space="preserve">Chế độ thể chế</w:t>
            </w:r>
          </w:p>
        </w:tc>
        <w:tc>
          <w:tcPr/>
          <w:p>
            <w:pPr>
              <w:pStyle w:val="Compact"/>
              <w:jc w:val="left"/>
            </w:pPr>
            <w:r>
              <w:t xml:space="preserve">-</w:t>
            </w:r>
          </w:p>
        </w:tc>
        <w:tc>
          <w:tcPr/>
          <w:p>
            <w:pPr>
              <w:pStyle w:val="Compact"/>
              <w:jc w:val="left"/>
            </w:pPr>
            <w:r>
              <w:t xml:space="preserve">j = I đến VI dummy</w:t>
            </w:r>
          </w:p>
        </w:tc>
        <w:tc>
          <w:tcPr/>
          <w:p>
            <w:pPr>
              <w:pStyle w:val="Compact"/>
              <w:jc w:val="left"/>
            </w:pPr>
            <w:r>
              <w:t xml:space="preserve">Dải biến thiên H5</w:t>
            </w:r>
          </w:p>
        </w:tc>
        <w:tc>
          <w:tcPr/>
          <w:p>
            <w:pPr>
              <w:pStyle w:val="Compact"/>
              <w:jc w:val="left"/>
            </w:pPr>
            <w:r>
              <w:t xml:space="preserve">H5</w:t>
            </w:r>
          </w:p>
        </w:tc>
      </w:tr>
      <w:tr>
        <w:tc>
          <w:tcPr/>
          <w:p>
            <w:pPr>
              <w:pStyle w:val="Compact"/>
              <w:jc w:val="left"/>
            </w:pPr>
            <w:r>
              <w:t xml:space="preserve">Year_bucket</w:t>
            </w:r>
          </w:p>
        </w:tc>
        <w:tc>
          <w:tcPr/>
          <w:p>
            <w:pPr>
              <w:pStyle w:val="Compact"/>
              <w:jc w:val="left"/>
            </w:pPr>
            <w:r>
              <w:t xml:space="preserve">Thời gian</w:t>
            </w:r>
          </w:p>
        </w:tc>
        <w:tc>
          <w:tcPr/>
          <w:p>
            <w:pPr>
              <w:pStyle w:val="Compact"/>
              <w:jc w:val="left"/>
            </w:pPr>
            <w:r>
              <w:t xml:space="preserve">year</w:t>
            </w:r>
          </w:p>
        </w:tc>
        <w:tc>
          <w:tcPr/>
          <w:p>
            <w:pPr>
              <w:pStyle w:val="Compact"/>
              <w:jc w:val="left"/>
            </w:pPr>
            <w:r>
              <w:t xml:space="preserve">2009-12/13-17/18-25</w:t>
            </w:r>
          </w:p>
        </w:tc>
        <w:tc>
          <w:tcPr/>
          <w:p>
            <w:pPr>
              <w:pStyle w:val="Compact"/>
              <w:jc w:val="left"/>
            </w:pPr>
            <w:r>
              <w:t xml:space="preserve">Dịch chuyển H6</w:t>
            </w:r>
          </w:p>
        </w:tc>
        <w:tc>
          <w:tcPr/>
          <w:p>
            <w:pPr>
              <w:pStyle w:val="Compact"/>
              <w:jc w:val="left"/>
            </w:pPr>
            <w:r>
              <w:t xml:space="preserve">H6</w:t>
            </w:r>
          </w:p>
        </w:tc>
      </w:tr>
      <w:tr>
        <w:tc>
          <w:tcPr/>
          <w:p>
            <w:pPr>
              <w:pStyle w:val="Compact"/>
              <w:jc w:val="left"/>
            </w:pPr>
            <w:r>
              <w:t xml:space="preserve">ln(employees)</w:t>
            </w:r>
          </w:p>
        </w:tc>
        <w:tc>
          <w:tcPr/>
          <w:p>
            <w:pPr>
              <w:pStyle w:val="Compact"/>
              <w:jc w:val="left"/>
            </w:pPr>
            <w:r>
              <w:t xml:space="preserve">Quy mô doanh nghiệp</w:t>
            </w:r>
          </w:p>
        </w:tc>
        <w:tc>
          <w:tcPr/>
          <w:p>
            <w:pPr>
              <w:pStyle w:val="Compact"/>
              <w:jc w:val="left"/>
            </w:pPr>
            <w:r>
              <w:t xml:space="preserve">l1</w:t>
            </w:r>
          </w:p>
        </w:tc>
        <w:tc>
          <w:tcPr/>
          <w:p>
            <w:pPr>
              <w:pStyle w:val="Compact"/>
              <w:jc w:val="left"/>
            </w:pPr>
            <w:r>
              <w:t xml:space="preserve">ln(l1)</w:t>
            </w:r>
          </w:p>
        </w:tc>
        <w:tc>
          <w:tcPr/>
          <w:p>
            <w:pPr>
              <w:pStyle w:val="Compact"/>
              <w:jc w:val="left"/>
            </w:pPr>
            <w:r>
              <w:t xml:space="preserve">β &gt; 0</w:t>
            </w:r>
          </w:p>
        </w:tc>
        <w:tc>
          <w:tcPr/>
          <w:p>
            <w:pPr>
              <w:pStyle w:val="Compact"/>
              <w:jc w:val="left"/>
            </w:pPr>
            <w:r>
              <w:t xml:space="preserve">Kiểm soát</w:t>
            </w:r>
          </w:p>
        </w:tc>
      </w:tr>
      <w:tr>
        <w:tc>
          <w:tcPr/>
          <w:p>
            <w:pPr>
              <w:pStyle w:val="Compact"/>
              <w:jc w:val="left"/>
            </w:pPr>
            <w:r>
              <w:t xml:space="preserve">firm_age</w:t>
            </w:r>
          </w:p>
        </w:tc>
        <w:tc>
          <w:tcPr/>
          <w:p>
            <w:pPr>
              <w:pStyle w:val="Compact"/>
              <w:jc w:val="left"/>
            </w:pPr>
            <w:r>
              <w:t xml:space="preserve">Tuổi doanh nghiệp</w:t>
            </w:r>
          </w:p>
        </w:tc>
        <w:tc>
          <w:tcPr/>
          <w:p>
            <w:pPr>
              <w:pStyle w:val="Compact"/>
              <w:jc w:val="left"/>
            </w:pPr>
            <w:r>
              <w:t xml:space="preserve">b6</w:t>
            </w:r>
          </w:p>
        </w:tc>
        <w:tc>
          <w:tcPr/>
          <w:p>
            <w:pPr>
              <w:pStyle w:val="Compact"/>
              <w:jc w:val="left"/>
            </w:pPr>
            <w:r>
              <w:t xml:space="preserve">năm thành lập</w:t>
            </w:r>
          </w:p>
        </w:tc>
        <w:tc>
          <w:tcPr/>
          <w:p>
            <w:pPr>
              <w:pStyle w:val="Compact"/>
              <w:jc w:val="left"/>
            </w:pPr>
            <w:r>
              <w:t xml:space="preserve">β không xác định</w:t>
            </w:r>
          </w:p>
        </w:tc>
        <w:tc>
          <w:tcPr/>
          <w:p>
            <w:pPr>
              <w:pStyle w:val="Compact"/>
              <w:jc w:val="left"/>
            </w:pPr>
            <w:r>
              <w:t xml:space="preserve">Kiểm soát</w:t>
            </w:r>
          </w:p>
        </w:tc>
      </w:tr>
      <w:tr>
        <w:tc>
          <w:tcPr/>
          <w:p>
            <w:pPr>
              <w:pStyle w:val="Compact"/>
              <w:jc w:val="left"/>
            </w:pPr>
            <w:r>
              <w:t xml:space="preserve">foreign_own</w:t>
            </w:r>
          </w:p>
        </w:tc>
        <w:tc>
          <w:tcPr/>
          <w:p>
            <w:pPr>
              <w:pStyle w:val="Compact"/>
              <w:jc w:val="left"/>
            </w:pPr>
            <w:r>
              <w:t xml:space="preserve">Sở hữu nước ngoài</w:t>
            </w:r>
          </w:p>
        </w:tc>
        <w:tc>
          <w:tcPr/>
          <w:p>
            <w:pPr>
              <w:pStyle w:val="Compact"/>
              <w:jc w:val="left"/>
            </w:pPr>
            <w:r>
              <w:t xml:space="preserve">b2b</w:t>
            </w:r>
          </w:p>
        </w:tc>
        <w:tc>
          <w:tcPr/>
          <w:p>
            <w:pPr>
              <w:pStyle w:val="Compact"/>
              <w:jc w:val="left"/>
            </w:pPr>
            <w:r>
              <w:t xml:space="preserve">$</w:t>
            </w:r>
            <w:r>
              <w:t xml:space="preserve">$10% = 1</w:t>
            </w:r>
          </w:p>
        </w:tc>
        <w:tc>
          <w:tcPr/>
          <w:p>
            <w:pPr>
              <w:pStyle w:val="Compact"/>
              <w:jc w:val="left"/>
            </w:pPr>
            <w:r>
              <w:t xml:space="preserve">β &gt; 0</w:t>
            </w:r>
          </w:p>
        </w:tc>
        <w:tc>
          <w:tcPr/>
          <w:p>
            <w:pPr>
              <w:pStyle w:val="Compact"/>
              <w:jc w:val="left"/>
            </w:pPr>
            <w:r>
              <w:t xml:space="preserve">Kiểm soát</w:t>
            </w:r>
          </w:p>
        </w:tc>
      </w:tr>
    </w:tbl>
    <w:p>
      <w:pPr>
        <w:pStyle w:val="BodyText"/>
      </w:pPr>
      <w:r>
        <w:t xml:space="preserve">Ghi chú đo lường: TCI là tổng hợp formative từ: chứng nhận ISO (b8=1), R&amp;D (h8=1), đổi mới sản phẩm (h1=1), công nghệ nước ngoài có bản quyền (e6=1). Yêu cầu $</w:t>
      </w:r>
      <w:r>
        <w:t xml:space="preserve">$3/4 items không thiếu; z-chuẩn hóa trong mỗi sóng. DAI_z_full (Tier 1+2): z-mean(c22b + k33 + k38) chỉ có trong schema BEE (2019 trở đi). DAI_z_tier1 (Tier 1): z-mean(c22b) có xuyên tất cả schema. FSTS được tính trung tâm theo mean trong mỗi ô quốc gia-sóng trước khi tính</w:t>
      </w:r>
      <w:r>
        <w:t xml:space="preserve"> </w:t>
      </w:r>
      <m:oMath>
        <m:sSup>
          <m:e>
            <m:r>
              <m:rPr>
                <m:nor/>
                <m:sty m:val="p"/>
              </m:rPr>
              <m:t>FSTS</m:t>
            </m:r>
          </m:e>
          <m:sup>
            <m:r>
              <m:t>2</m:t>
            </m:r>
          </m:sup>
        </m:sSup>
      </m:oMath>
      <w:r>
        <w:t xml:space="preserve"> </w:t>
      </w:r>
      <w:r>
        <w:t xml:space="preserve">để giảm đa cộng tuyến.</w:t>
      </w:r>
    </w:p>
    <w:bookmarkEnd w:id="53"/>
    <w:bookmarkEnd w:id="54"/>
    <w:bookmarkStart w:id="63" w:name="hệ-giả-thuyết-nghiên-cứu-h1-h6"/>
    <w:p>
      <w:pPr>
        <w:pStyle w:val="Heading4"/>
      </w:pPr>
      <w:r>
        <w:t xml:space="preserve">2.3.4 Hệ giả thuyết nghiên cứu (H1-H6)</w:t>
      </w:r>
    </w:p>
    <w:bookmarkStart w:id="55" w:name="Xd5c539f936b2f6d69143bfcced0f271bd85d296"/>
    <w:p>
      <w:pPr>
        <w:pStyle w:val="Heading5"/>
      </w:pPr>
      <w:r>
        <w:t xml:space="preserve">Tổng quan và lập luận phát triển giả thuyết</w:t>
      </w:r>
    </w:p>
    <w:p>
      <w:pPr>
        <w:pStyle w:val="FirstParagraph"/>
      </w:pPr>
      <w:r>
        <w:t xml:space="preserve">Hệ giả thuyết H1-H6 được phát triển từ khung lý thuyết tích hợp và bằng chứng thực nghiệm từ các nghiên cứu, với neo đậu trong ba phân tích quốc gia đồng hành (Việt Nam, Singapore, Trung Quốc) của luận án. Bốn nguyên tắc phát triển giả thuyết: cụ thể hóa dự đoán dấu; neo đậu thực nghiệm từ ít nhất một bằng chứng từ các phân tích quốc gia của luận án hoặc tổng quan định lượng; phân biệt giả thuyết xác nhận và khám phá; liên kết với CDCM.</w:t>
      </w:r>
    </w:p>
    <w:p>
      <w:pPr>
        <w:pStyle w:val="BodyText"/>
      </w:pPr>
      <w:r>
        <w:t xml:space="preserve">H1-H3 và H5 là các giả thuyết điều tiết trọng tâm có tính xác nhận (dấu rõ, $</w:t>
      </w:r>
      <w:r>
        <w:t xml:space="preserve">$2 bằng chứng neo đậu từ phân tích Việt Nam, Singapore và Trung Quốc); H6 là hỗn hợp xác nhận/khám phá (hướng rõ nhưng magnitude khám phá). Bốn nhân tố điều tiết trọng tâm của khung là TCI (H2), DAI (H3), chế độ thể chế ICRV (H5), và thời gian (H6). Khác với chúng, H4 (kiểm soát quản trị nội sinh) không còn là giả thuyết điều tiết trọng tâm: đặc điểm nhà quản trị (kinh nghiệm b5, học vấn b7a, giới tính b7) được đưa vào như nhóm biến kiểm soát quản trị nội sinh nhằm khóa chặt thiên lệch nội sinh phát sinh từ năng lực và sự đa dạng giới của nhà quản trị, qua đó bảo vệ tính nhân quả thuần khiết của tương tác Thể chế × Công nghệ. H4 vẫn giữ ký hiệu H4a-H4c để tương thích với các bản thảo đồng hành (phân tích Việt Nam, Singapore và Trung Quốc), song được diễn giải như tập kiểm soát chứ không phải trục điều tiết.</w:t>
      </w:r>
    </w:p>
    <w:bookmarkEnd w:id="55"/>
    <w:bookmarkStart w:id="56" w:name="h1-phi-tuyến-trong-quan-hệ-i-p"/>
    <w:p>
      <w:pPr>
        <w:pStyle w:val="Heading5"/>
      </w:pPr>
      <w:r>
        <w:t xml:space="preserve">H1, Phi tuyến trong quan hệ I-P</w:t>
      </w:r>
    </w:p>
    <w:p>
      <w:pPr>
        <w:pStyle w:val="FirstParagraph"/>
      </w:pPr>
      <w:r>
        <w:t xml:space="preserve">Cơ sở lý thuyết: Mô hình Uppsala (Johanson &amp; Vahlne, 1977) đề xuất quốc tế hóa diễn ra theo ba giai đoạn với tốc độ và đặc điểm chi phí-lợi ích khác nhau. Contractor và cộng sự (2003) và Lu và Beamish (2004) hình thức hóa ba giai đoạn thành S-curve: giai đoạn học tập tốn kém; giai đoạn hái quả; giai đoạn quá mức. Với các doanh nghiệp vừa và nhỏ châu Á trong WBES, giai đoạn đầu ngắn, do đó dạng chữ U ngược (H1 bậc hai, M1) có thể mạnh hơn S-curve đầy đủ (H1 bậc ba, M2).</w:t>
      </w:r>
    </w:p>
    <w:p>
      <w:pPr>
        <w:pStyle w:val="BodyText"/>
      </w:pPr>
      <w:r>
        <w:t xml:space="preserve">Điều mà chế độ thể chế chi phối một cách có hệ thống là</w:t>
      </w:r>
      <w:r>
        <w:t xml:space="preserve"> </w:t>
      </w:r>
      <w:r>
        <w:rPr>
          <w:bCs/>
          <w:b/>
        </w:rPr>
        <w:t xml:space="preserve">độ cong (concavity / biên độ)</w:t>
      </w:r>
      <w:r>
        <w:t xml:space="preserve"> </w:t>
      </w:r>
      <w:r>
        <w:t xml:space="preserve">của hình chữ U ngược, chứ không phải một dải biến thiên điểm uốn đơn điệu: độ cong sâu dần khi chất lượng thể chế suy giảm, làm hình phạt sau đỉnh gay gắt hơn ở các chế độ thể chế yếu và phẳng dần về gần tuyến tính ở chế độ tiên tiến (Nhóm I). Điểm uốn theo nhóm là không đồng nhất (khoảng 16–50% FSTS, cụm quanh ~40%) và không dịch chuyển đơn điệu; ở cấp đơn quốc gia, các neo đậu quan sát được gồm Nhóm III (47-49%) và Nhóm IV (39-46%), còn Nhóm VI có hình thái gánh nặng bắt buộc, không có chữ U ngược điển hình. Lưu ý: phân tích Singapore (TP ~82%) là ngoại lệ đơn quốc gia với LM p = 0,303 (không có ý nghĩa), không đại diện cho mẫu Nhóm I trong phân tích đa quốc gia.</w:t>
      </w:r>
    </w:p>
    <w:p>
      <w:pPr>
        <w:pStyle w:val="BodyText"/>
      </w:pPr>
      <w:r>
        <w:t xml:space="preserve">Bằng chứng neo đậu: phân tích Việt Nam (Nhóm IV): Lind-Mehlum p &lt; 0,001 (tổng hợp), điểm uốn 39-46%. phân tích Trung Quốc (Nhóm III): Lind-Mehlum xác nhận hai sóng, điểm uốn 47-49%. phân tích Singapore (Nhóm I): Lind-Mehlum p = 0,303, chủ yếu dương, điểm uốn ~82% (gần trần).</w:t>
      </w:r>
    </w:p>
    <w:p>
      <w:pPr>
        <w:pStyle w:val="BodyText"/>
      </w:pPr>
      <w:r>
        <w:t xml:space="preserve">H1: Quan hệ giữa cường độ quốc tế hóa (FSTS) và hiệu quả doanh nghiệp (ln LP) có dạng phi tuyến, với</w:t>
      </w:r>
      <w:r>
        <w:t xml:space="preserve"> </w:t>
      </w:r>
      <m:oMath>
        <m:sSub>
          <m:e>
            <m:r>
              <m:t>β</m:t>
            </m:r>
          </m:e>
          <m:sub>
            <m:r>
              <m:t>1</m:t>
            </m:r>
          </m:sub>
        </m:sSub>
      </m:oMath>
      <w:r>
        <w:t xml:space="preserve">(FSTS) &gt; 0 và</w:t>
      </w:r>
      <w:r>
        <w:t xml:space="preserve"> </w:t>
      </w:r>
      <m:oMath>
        <m:sSub>
          <m:e>
            <m:r>
              <m:t>β</m:t>
            </m:r>
          </m:e>
          <m:sub>
            <m:r>
              <m:t>2</m:t>
            </m:r>
          </m:sub>
        </m:sSub>
      </m:oMath>
      <w:r>
        <w:t xml:space="preserve">(</w:t>
      </w:r>
      <m:oMath>
        <m:sSup>
          <m:e>
            <m:r>
              <m:rPr>
                <m:nor/>
                <m:sty m:val="p"/>
              </m:rPr>
              <m:t>FSTS</m:t>
            </m:r>
          </m:e>
          <m:sup>
            <m:r>
              <m:t>2</m:t>
            </m:r>
          </m:sup>
        </m:sSup>
      </m:oMath>
      <w:r>
        <w:t xml:space="preserve">) &lt; 0, phản ánh chữ U ngược ở phần lớn các chế độ ICRV.</w:t>
      </w:r>
      <w:r>
        <w:t xml:space="preserve"> </w:t>
      </w:r>
      <w:r>
        <w:rPr>
          <w:bCs/>
          <w:b/>
        </w:rPr>
        <w:t xml:space="preserve">Độ cong (concavity / biên độ)</w:t>
      </w:r>
      <w:r>
        <w:t xml:space="preserve"> </w:t>
      </w:r>
      <w:r>
        <w:t xml:space="preserve">sâu dần theo dải biến thiên ICRV khi chất lượng thể chế suy giảm: gần tuyến tính ở Nhóm I và cong sâu hơn ở các nhóm thể chế yếu, với Nhóm VI có hình thái (pattern) gánh nặng bắt buộc (không có điểm uốn). Điểm uốn theo nhóm là không đồng nhất (cụm quanh ~40%) và không dịch chuyển đơn điệu; thể chế càng yếu, hình phạt sau đỉnh cho quốc tế hóa quá mức càng gay gắt.</w:t>
      </w:r>
    </w:p>
    <w:p>
      <w:pPr>
        <w:pStyle w:val="BodyText"/>
      </w:pPr>
      <w:r>
        <w:t xml:space="preserve">H1a (</w:t>
      </w:r>
      <w:r>
        <w:t xml:space="preserve">“</w:t>
      </w:r>
      <w:r>
        <w:t xml:space="preserve">Vách gia nhập</w:t>
      </w:r>
      <w:r>
        <w:t xml:space="preserve">”</w:t>
      </w:r>
      <w:r>
        <w:t xml:space="preserve">, biên tham gia): Bước chuyển rời rạc từ không xuất khẩu (FSTS = 0) sang có xuất khẩu (FSTS &gt; 0) tạo ra một bậc nhảy năng suất lao động dương và đáng kể, đây mới là động lực chính của hiệu ứng I-P. Cơ chế là sự hấp thụ chi phí cố định (fixed-cost absorption): doanh nghiệp vượt được ngưỡng đầu tư ban đầu để tham gia thị trường xuất khẩu (tuân thủ tiêu chuẩn, kênh phân phối, năng lực ngoại thương) sẽ phân bổ chi phí cố định đó lên một nền doanh thu rộng hơn và tự chọn lọc về nhóm doanh nghiệp năng suất cao hơn theo lập luận Melitz (2003). Phần lớn lợi ích I-P do đó được hiện thực hóa ngay tại biên tham gia, chứ không phải dọc theo biên cường độ.</w:t>
      </w:r>
    </w:p>
    <w:p>
      <w:pPr>
        <w:pStyle w:val="BodyText"/>
      </w:pPr>
      <w:r>
        <w:t xml:space="preserve">H1b (biên cường độ, gần phẳng/gần tuyến tính): Trong mẫu chỉ gồm doanh nghiệp đã xuất khẩu, quỹ đạo I-P gần như phẳng; thành phần bậc hai mất ý nghĩa thống kê. Bằng chứng neo đậu trực tiếp là kết quả trong nội bộ nhóm xuất khẩu (within-exporter) của phân tích Việt Nam, nơi số hạng</w:t>
      </w:r>
      <w:r>
        <w:t xml:space="preserve"> </w:t>
      </w:r>
      <m:oMath>
        <m:sSup>
          <m:e>
            <m:r>
              <m:rPr>
                <m:nor/>
                <m:sty m:val="p"/>
              </m:rPr>
              <m:t>FSTS</m:t>
            </m:r>
          </m:e>
          <m:sup>
            <m:r>
              <m:t>2</m:t>
            </m:r>
          </m:sup>
        </m:sSup>
      </m:oMath>
      <w:r>
        <w:t xml:space="preserve"> </w:t>
      </w:r>
      <w:r>
        <w:t xml:space="preserve">trong mẫu con doanh nghiệp xuất khẩu cho p = 0,660 (không có ý nghĩa), cho thấy độ cong chữ U ngược quan sát ở mẫu đầy đủ chủ yếu được dẫn dắt bởi vách gia nhập H1a chứ không phải bởi sự suy giảm hiệu suất ở cường độ cao trong nội bộ nhóm xuất khẩu. Hệ quả: sau khi đã gia nhập, việc tăng tỉ lệ xuất khẩu tiếp theo chỉ tạo thêm năng suất khi được hậu thuẫn bởi năng lực công nghệ lõi (TCI) hoặc, trong những chế độ phù hợp, bởi năng lực số (DAI); bản thân cường độ xuất khẩu không tự sinh lợi.</w:t>
      </w:r>
    </w:p>
    <w:bookmarkEnd w:id="56"/>
    <w:bookmarkStart w:id="57" w:name="h2-tci-điều-tiết-tích-cực-nâng-mặt-bằng"/>
    <w:p>
      <w:pPr>
        <w:pStyle w:val="Heading5"/>
      </w:pPr>
      <w:r>
        <w:t xml:space="preserve">H2, TCI điều tiết tích cực (nâng mặt bằng)</w:t>
      </w:r>
    </w:p>
    <w:p>
      <w:pPr>
        <w:pStyle w:val="FirstParagraph"/>
      </w:pPr>
      <w:r>
        <w:t xml:space="preserve">Cơ sở lý thuyết: RBV (Barney, 1991) cho rằng nguồn lực VRIN tạo lợi thế cạnh tranh bền vững. TCI, năng lực công nghệ nội tại, là nguồn lực VRIN theo Lall (1992) và tích lũy năng lực hấp thụ theo Cohen và Levinthal (1990). Doanh nghiệp có TCI cao: hấp thụ tri thức từ thị trường nước ngoài hiệu quả hơn; có công nghệ sản xuất tiên tiến hơn, năng suất cao hơn ở mọi mức FSTS; và có thể duy trì hiệu quả ở FSTS cao hơn. Cơ chế chính là nâng mặt bằng (level-shift), nâng toàn bộ đường cong LP, không nhất thiết thay đổi vị trí điểm uốn.</w:t>
      </w:r>
    </w:p>
    <w:p>
      <w:pPr>
        <w:pStyle w:val="BodyText"/>
      </w:pPr>
      <w:r>
        <w:t xml:space="preserve">Bằng chứng neo đậu: phân tích Việt Nam: β(TCI) = 0,179 (p &lt; 0,001) bền vững 3 sóng; biến công cụ cho β(TCI) = 1,639 (p &lt; 0,001, F bậc một = 22,1), TCI là nhân quả. phân tích Trung Quốc: β_z(TCI) tăng từ +0,260 (2012) lên +0,426 (2024), Paternoster z = −2,55 (p = 0,011), TCI nâng mặt bằng tăng cường theo thời gian. phân tích Singapore: β(TCI) = +0,153 (p &lt; 0,01), không điều tiết độ cong, TCI là nâng mặt bằng thuần túy trong Nhóm I.</w:t>
      </w:r>
    </w:p>
    <w:p>
      <w:pPr>
        <w:pStyle w:val="BodyText"/>
      </w:pPr>
      <w:r>
        <w:t xml:space="preserve">H2: Technological Capability Index (TCI) có mối quan hệ dương trực tiếp với hiệu quả doanh nghiệp (β(TCI) &gt; 0) và nâng mặt bằng ln(LP) của toàn bộ đường cong I-P (hiệu ứng nâng mặt bằng). Tác động điều tiết của TCI lên độ cong của đường cong là câu hỏi thực nghiệm mở và được kiểm định như H2 khám phá trong M3.</w:t>
      </w:r>
    </w:p>
    <w:bookmarkEnd w:id="57"/>
    <w:bookmarkStart w:id="58" w:name="Xf726aff41a886fb83bbce40f5451eaeea259ac9"/>
    <w:p>
      <w:pPr>
        <w:pStyle w:val="Heading5"/>
      </w:pPr>
      <w:r>
        <w:t xml:space="preserve">H3a-H3b, DAI điều tiết phụ thuộc chế độ thể chế (CDCM)</w:t>
      </w:r>
    </w:p>
    <w:p>
      <w:pPr>
        <w:pStyle w:val="FirstParagraph"/>
      </w:pPr>
      <w:r>
        <w:t xml:space="preserve">Cơ sở lý thuyết: Banalieva và Dhanaraj (2019) và Verhoef và cộng sự (2021) đề xuất DAI làm giảm khoảng cách tâm lý và chi phí giao dịch xuyên biên giới. Tuy nhiên, CDCM cho thấy tác động này không đồng nhất mà phụ thuộc vào ba chiều ngữ cảnh đã mô tả.</w:t>
      </w:r>
    </w:p>
    <w:p>
      <w:pPr>
        <w:pStyle w:val="BodyText"/>
      </w:pPr>
      <w:r>
        <w:t xml:space="preserve">Sự phân biệt cơ chế giữa TCI và DAI là trục lý thuyết cốt lõi của khung và cần được phát biểu sắc nét. TCI là nguồn lực</w:t>
      </w:r>
      <w:r>
        <w:t xml:space="preserve"> </w:t>
      </w:r>
      <w:r>
        <w:t xml:space="preserve">“</w:t>
      </w:r>
      <w:r>
        <w:t xml:space="preserve">nâng mặt bằng</w:t>
      </w:r>
      <w:r>
        <w:t xml:space="preserve">”</w:t>
      </w:r>
      <w:r>
        <w:t xml:space="preserve"> </w:t>
      </w:r>
      <w:r>
        <w:t xml:space="preserve">(level-shifter) mang tính nhân quả: nội tại, tích lũy theo thời gian, khó bắt chước (VRIN), nó nâng toàn bộ đường cong năng suất một cách đồng nhất qua mọi mức FSTS và mọi chế độ thể chế, đúng như bằng chứng nhân quả từ biến công cụ ở phân tích Việt Nam (β_IV = 1,639) và xu hướng tăng cường theo thời gian ở phân tích Trung Quốc. Ngược lại, DAI là năng lực phụ thuộc bối cảnh (curve-reshaper / situational), mang tính ngoại tại và phụ thuộc hệ sinh thái số: tác động của nó không cố định mà bật/tắt theo bối cảnh, chỉ phát huy khi nhu cầu điều phối xuyên biên giới đủ dày (FSTS cao, phân tích Singapore) hoặc khi nó bù đắp khoảng trống thể chế (chế độ yếu, Lá chắn số). Một cách ngắn gọn: TCI dịch chuyển mặt bằng lợi nhuận, còn DAI mở rộng vùng điều kiện mà ở đó quốc tế hóa vẫn sinh lợi. Coltman và cộng sự (2008) xác nhận hai cấu trúc thỏa mãn tiêu chí tổng hợp formative riêng biệt, củng cố rằng đây là hai nguồn lực phân biệt chứ không phải hai thước đo của cùng một năng lực.</w:t>
      </w:r>
    </w:p>
    <w:p>
      <w:pPr>
        <w:pStyle w:val="BodyText"/>
      </w:pPr>
      <w:r>
        <w:t xml:space="preserve">Bằng chứng neo đậu: phân tích Singapore:</w:t>
      </w:r>
      <w:r>
        <w:t xml:space="preserve"> </w:t>
      </w:r>
      <m:oMath>
        <m:sSup>
          <m:e>
            <m:r>
              <m:rPr>
                <m:nor/>
                <m:sty m:val="p"/>
              </m:rPr>
              <m:t>FSTS</m:t>
            </m:r>
          </m:e>
          <m:sup>
            <m:r>
              <m:t>2</m:t>
            </m:r>
          </m:sup>
        </m:sSup>
      </m:oMath>
      <w:r>
        <w:t xml:space="preserve">×DAI = +3,119 (p = 0,005), DAI điều tiết theo bối cảnh có điều kiện. phân tích Việt Nam: biến công cụ null β = 0,018 (p = 0,942), OLS dương = phụ thuộc chọn lựa, không nhân quả. phân tích Trung Quốc: không điều tiết độ cong.</w:t>
      </w:r>
    </w:p>
    <w:p>
      <w:pPr>
        <w:pStyle w:val="BodyText"/>
      </w:pPr>
      <w:r>
        <w:t xml:space="preserve">Bảng 2.6. CDCM, Dự đoán tác động DAI theo 3 chiều ngữ cảnh.</w:t>
      </w:r>
    </w:p>
    <w:tbl>
      <w:tblPr>
        <w:tblStyle w:val="Table"/>
        <w:tblW w:type="pct" w:w="5000"/>
        <w:tblLook w:firstRow="1" w:lastRow="0" w:firstColumn="0" w:lastColumn="0" w:noHBand="0" w:noVBand="0" w:val="0020"/>
        <w:jc w:val="start"/>
      </w:tblPr>
      <w:tblGrid>
        <w:gridCol w:w="1627"/>
        <w:gridCol w:w="1084"/>
        <w:gridCol w:w="1193"/>
        <w:gridCol w:w="976"/>
        <w:gridCol w:w="2169"/>
        <w:gridCol w:w="867"/>
      </w:tblGrid>
      <w:tr>
        <w:trPr>
          <w:tblHeader w:val="true"/>
        </w:trPr>
        <w:tc>
          <w:tcPr/>
          <w:p>
            <w:pPr>
              <w:pStyle w:val="Compact"/>
              <w:jc w:val="left"/>
            </w:pPr>
            <w:r>
              <w:t xml:space="preserve">Chế độ (ICRV)</w:t>
            </w:r>
          </w:p>
        </w:tc>
        <w:tc>
          <w:tcPr/>
          <w:p>
            <w:pPr>
              <w:pStyle w:val="Compact"/>
              <w:jc w:val="left"/>
            </w:pPr>
            <w:r>
              <w:t xml:space="preserve">Mức FSTS</w:t>
            </w:r>
          </w:p>
        </w:tc>
        <w:tc>
          <w:tcPr/>
          <w:p>
            <w:pPr>
              <w:pStyle w:val="Compact"/>
              <w:jc w:val="left"/>
            </w:pPr>
            <w:r>
              <w:t xml:space="preserve">Bão hòa số</w:t>
            </w:r>
          </w:p>
        </w:tc>
        <w:tc>
          <w:tcPr/>
          <w:p>
            <w:pPr>
              <w:pStyle w:val="Compact"/>
              <w:jc w:val="left"/>
            </w:pPr>
            <w:r>
              <w:t xml:space="preserve">DAI OLS</w:t>
            </w:r>
          </w:p>
        </w:tc>
        <w:tc>
          <w:tcPr/>
          <w:p>
            <w:pPr>
              <w:pStyle w:val="Compact"/>
              <w:jc w:val="left"/>
            </w:pPr>
            <w:r>
              <w:t xml:space="preserve">DAI nhân quả (IV)</w:t>
            </w:r>
          </w:p>
        </w:tc>
        <w:tc>
          <w:tcPr/>
          <w:p>
            <w:pPr>
              <w:pStyle w:val="Compact"/>
              <w:jc w:val="left"/>
            </w:pPr>
            <w:r>
              <w:t xml:space="preserve">Cơ chế</w:t>
            </w:r>
          </w:p>
        </w:tc>
      </w:tr>
      <w:tr>
        <w:tc>
          <w:tcPr/>
          <w:p>
            <w:pPr>
              <w:pStyle w:val="Compact"/>
              <w:jc w:val="left"/>
            </w:pPr>
            <w:r>
              <w:t xml:space="preserve">Nhóm I (Singapore)</w:t>
            </w:r>
          </w:p>
        </w:tc>
        <w:tc>
          <w:tcPr/>
          <w:p>
            <w:pPr>
              <w:pStyle w:val="Compact"/>
              <w:jc w:val="left"/>
            </w:pPr>
            <w:r>
              <w:t xml:space="preserve">Cao (&gt;50%)</w:t>
            </w:r>
          </w:p>
        </w:tc>
        <w:tc>
          <w:tcPr/>
          <w:p>
            <w:pPr>
              <w:pStyle w:val="Compact"/>
              <w:jc w:val="left"/>
            </w:pPr>
            <w:r>
              <w:t xml:space="preserve">Bão hòa (&gt;65%)</w:t>
            </w:r>
          </w:p>
        </w:tc>
        <w:tc>
          <w:tcPr/>
          <w:p>
            <w:pPr>
              <w:pStyle w:val="Compact"/>
              <w:jc w:val="left"/>
            </w:pPr>
            <w:r>
              <w:t xml:space="preserve">Null trực tiếp;</w:t>
            </w:r>
            <w:r>
              <w:t xml:space="preserve"> </w:t>
            </w:r>
            <m:oMath>
              <m:sSup>
                <m:e>
                  <m:r>
                    <m:rPr>
                      <m:nor/>
                      <m:sty m:val="p"/>
                    </m:rPr>
                    <m:t>FSTS</m:t>
                  </m:r>
                </m:e>
                <m:sup>
                  <m:r>
                    <m:t>2</m:t>
                  </m:r>
                </m:sup>
              </m:sSup>
            </m:oMath>
            <w:r>
              <w:t xml:space="preserve">×DAI = +3,119</w:t>
            </w:r>
          </w:p>
        </w:tc>
        <w:tc>
          <w:tcPr/>
          <w:p>
            <w:pPr>
              <w:pStyle w:val="Compact"/>
              <w:jc w:val="left"/>
            </w:pPr>
            <w:r>
              <w:t xml:space="preserve">(không cần IV)</w:t>
            </w:r>
          </w:p>
        </w:tc>
        <w:tc>
          <w:tcPr/>
          <w:p>
            <w:pPr>
              <w:pStyle w:val="Compact"/>
              <w:jc w:val="left"/>
            </w:pPr>
            <w:r>
              <w:t xml:space="preserve">Mở rộng tình huống ở nhu cầu điều phối cao</w:t>
            </w:r>
          </w:p>
        </w:tc>
      </w:tr>
      <w:tr>
        <w:tc>
          <w:tcPr/>
          <w:p>
            <w:pPr>
              <w:pStyle w:val="Compact"/>
              <w:jc w:val="left"/>
            </w:pPr>
            <w:r>
              <w:t xml:space="preserve">Nhóm III (Trung Quốc)</w:t>
            </w:r>
          </w:p>
        </w:tc>
        <w:tc>
          <w:tcPr/>
          <w:p>
            <w:pPr>
              <w:pStyle w:val="Compact"/>
              <w:jc w:val="left"/>
            </w:pPr>
            <w:r>
              <w:t xml:space="preserve">Trung bình (20-50%)</w:t>
            </w:r>
          </w:p>
        </w:tc>
        <w:tc>
          <w:tcPr/>
          <w:p>
            <w:pPr>
              <w:pStyle w:val="Compact"/>
              <w:jc w:val="left"/>
            </w:pPr>
            <w:r>
              <w:t xml:space="preserve">Trung bình-cao (&gt;55%)</w:t>
            </w:r>
          </w:p>
        </w:tc>
        <w:tc>
          <w:tcPr/>
          <w:p>
            <w:pPr>
              <w:pStyle w:val="Compact"/>
              <w:jc w:val="left"/>
            </w:pPr>
            <w:r>
              <w:t xml:space="preserve">Null/kiểm soát</w:t>
            </w:r>
          </w:p>
        </w:tc>
        <w:tc>
          <w:tcPr/>
          <w:p>
            <w:pPr>
              <w:pStyle w:val="Compact"/>
              <w:jc w:val="left"/>
            </w:pPr>
            <w:r>
              <w:t xml:space="preserve">Null (Tier 1 mất tín hiệu phân biệt)</w:t>
            </w:r>
          </w:p>
        </w:tc>
        <w:tc>
          <w:tcPr/>
          <w:p>
            <w:pPr>
              <w:pStyle w:val="Compact"/>
              <w:jc w:val="left"/>
            </w:pPr>
            <w:r>
              <w:t xml:space="preserve">Tier 1 bão hòa</w:t>
            </w:r>
          </w:p>
        </w:tc>
      </w:tr>
      <w:tr>
        <w:tc>
          <w:tcPr/>
          <w:p>
            <w:pPr>
              <w:pStyle w:val="Compact"/>
              <w:jc w:val="left"/>
            </w:pPr>
            <w:r>
              <w:t xml:space="preserve">Nhóm IV (Việt Nam)</w:t>
            </w:r>
          </w:p>
        </w:tc>
        <w:tc>
          <w:tcPr/>
          <w:p>
            <w:pPr>
              <w:pStyle w:val="Compact"/>
              <w:jc w:val="left"/>
            </w:pPr>
            <w:r>
              <w:t xml:space="preserve">Thấp-trung bình (&lt;40%)</w:t>
            </w:r>
          </w:p>
        </w:tc>
        <w:tc>
          <w:tcPr/>
          <w:p>
            <w:pPr>
              <w:pStyle w:val="Compact"/>
              <w:jc w:val="left"/>
            </w:pPr>
            <w:r>
              <w:t xml:space="preserve">Trung bình (&lt;55%)</w:t>
            </w:r>
          </w:p>
        </w:tc>
        <w:tc>
          <w:tcPr/>
          <w:p>
            <w:pPr>
              <w:pStyle w:val="Compact"/>
              <w:jc w:val="left"/>
            </w:pPr>
            <w:r>
              <w:t xml:space="preserve">Dương nhỏ (0,095-0,175)</w:t>
            </w:r>
          </w:p>
        </w:tc>
        <w:tc>
          <w:tcPr/>
          <w:p>
            <w:pPr>
              <w:pStyle w:val="Compact"/>
              <w:jc w:val="left"/>
            </w:pPr>
            <w:r>
              <w:t xml:space="preserve">Null (β = 0,018; F bậc một = 34,6)</w:t>
            </w:r>
          </w:p>
        </w:tc>
        <w:tc>
          <w:tcPr/>
          <w:p>
            <w:pPr>
              <w:pStyle w:val="Compact"/>
              <w:jc w:val="left"/>
            </w:pPr>
            <w:r>
              <w:t xml:space="preserve">Phụ thuộc chọn lựa</w:t>
            </w:r>
          </w:p>
        </w:tc>
      </w:tr>
      <w:tr>
        <w:tc>
          <w:tcPr/>
          <w:p>
            <w:pPr>
              <w:pStyle w:val="Compact"/>
              <w:jc w:val="left"/>
            </w:pPr>
            <w:r>
              <w:t xml:space="preserve">Nhóm V (Cận biên)</w:t>
            </w:r>
          </w:p>
        </w:tc>
        <w:tc>
          <w:tcPr/>
          <w:p>
            <w:pPr>
              <w:pStyle w:val="Compact"/>
              <w:jc w:val="left"/>
            </w:pPr>
            <w:r>
              <w:t xml:space="preserve">Thấp (&lt;20%)</w:t>
            </w:r>
          </w:p>
        </w:tc>
        <w:tc>
          <w:tcPr/>
          <w:p>
            <w:pPr>
              <w:pStyle w:val="Compact"/>
              <w:jc w:val="left"/>
            </w:pPr>
            <w:r>
              <w:t xml:space="preserve">Thấp (&lt;30%)</w:t>
            </w:r>
          </w:p>
        </w:tc>
        <w:tc>
          <w:tcPr/>
          <w:p>
            <w:pPr>
              <w:pStyle w:val="Compact"/>
              <w:jc w:val="left"/>
            </w:pPr>
            <w:r>
              <w:t xml:space="preserve">Không xác định</w:t>
            </w:r>
          </w:p>
        </w:tc>
        <w:tc>
          <w:tcPr/>
          <w:p>
            <w:pPr>
              <w:pStyle w:val="Compact"/>
              <w:jc w:val="left"/>
            </w:pPr>
            <w:r>
              <w:t xml:space="preserve">Cần IV</w:t>
            </w:r>
          </w:p>
        </w:tc>
        <w:tc>
          <w:tcPr/>
          <w:p>
            <w:pPr>
              <w:pStyle w:val="Compact"/>
              <w:jc w:val="left"/>
            </w:pPr>
            <w:r>
              <w:t xml:space="preserve">Hạ tầng số thiếu</w:t>
            </w:r>
          </w:p>
        </w:tc>
      </w:tr>
      <w:tr>
        <w:tc>
          <w:tcPr/>
          <w:p>
            <w:pPr>
              <w:pStyle w:val="Compact"/>
              <w:jc w:val="left"/>
            </w:pPr>
            <w:r>
              <w:t xml:space="preserve">Nhóm VI (SIDS)</w:t>
            </w:r>
          </w:p>
        </w:tc>
        <w:tc>
          <w:tcPr/>
          <w:p>
            <w:pPr>
              <w:pStyle w:val="Compact"/>
              <w:jc w:val="left"/>
            </w:pPr>
            <w:r>
              <w:t xml:space="preserve">Cao do bắt buộc (&gt;40%)</w:t>
            </w:r>
          </w:p>
        </w:tc>
        <w:tc>
          <w:tcPr/>
          <w:p>
            <w:pPr>
              <w:pStyle w:val="Compact"/>
              <w:jc w:val="left"/>
            </w:pPr>
            <w:r>
              <w:t xml:space="preserve">Thấp-trung</w:t>
            </w:r>
          </w:p>
        </w:tc>
        <w:tc>
          <w:tcPr/>
          <w:p>
            <w:pPr>
              <w:pStyle w:val="Compact"/>
              <w:jc w:val="left"/>
            </w:pPr>
            <w:r>
              <w:t xml:space="preserve">Gánh nặng bắt buộc trội</w:t>
            </w:r>
          </w:p>
        </w:tc>
        <w:tc>
          <w:tcPr/>
          <w:p>
            <w:pPr>
              <w:pStyle w:val="Compact"/>
              <w:jc w:val="left"/>
            </w:pPr>
            <w:r>
              <w:t xml:space="preserve">-</w:t>
            </w:r>
          </w:p>
        </w:tc>
        <w:tc>
          <w:tcPr/>
          <w:p>
            <w:pPr>
              <w:pStyle w:val="Compact"/>
              <w:jc w:val="left"/>
            </w:pPr>
            <w:r>
              <w:t xml:space="preserve">I-P gánh nặng bắt buộc che lấp tín hiệu DAI</w:t>
            </w:r>
          </w:p>
        </w:tc>
      </w:tr>
    </w:tbl>
    <w:p>
      <w:pPr>
        <w:pStyle w:val="BodyText"/>
      </w:pPr>
      <w:r>
        <w:t xml:space="preserve">H3: Mức độ áp dụng số (DAI) có cơ chế điều tiết</w:t>
      </w:r>
      <w:r>
        <w:t xml:space="preserve"> </w:t>
      </w:r>
      <w:r>
        <w:rPr>
          <w:bCs/>
          <w:b/>
        </w:rPr>
        <w:t xml:space="preserve">phụ thuộc chế độ thể chế</w:t>
      </w:r>
      <w:r>
        <w:t xml:space="preserve"> </w:t>
      </w:r>
      <w:r>
        <w:t xml:space="preserve">trong quan hệ I-P. DAI không hoạt động như một phần thưởng năng suất đồng nhất mà như một năng lực phụ thuộc bối cảnh theo CDCM, với hướng và cường độ khác nhau rõ ràng giữa nhóm đang nổi/cận biên (Emerging/Frontier) và nhóm tiên tiến (Advanced). Hai giả thuyết con (sub-hypothesis) phân biệt dấu kỳ vọng:</w:t>
      </w:r>
    </w:p>
    <w:p>
      <w:pPr>
        <w:pStyle w:val="BodyText"/>
      </w:pPr>
      <w:r>
        <w:rPr>
          <w:bCs/>
          <w:b/>
        </w:rPr>
        <w:t xml:space="preserve">H3a</w:t>
      </w:r>
      <w:r>
        <w:t xml:space="preserve"> </w:t>
      </w:r>
      <w:r>
        <w:t xml:space="preserve">(Emerging và Frontier, Nhóm III-V): Trong các nền kinh tế đang nổi và cận biên, DAI điều tiết tích cực quan hệ FSTS-ln(LP): β(FSTS×DAI) &gt; 0 và/hoặc β(</w:t>
      </w:r>
      <m:oMath>
        <m:sSup>
          <m:e>
            <m:r>
              <m:rPr>
                <m:nor/>
                <m:sty m:val="p"/>
              </m:rPr>
              <m:t>FSTS</m:t>
            </m:r>
          </m:e>
          <m:sup>
            <m:r>
              <m:t>2</m:t>
            </m:r>
          </m:sup>
        </m:sSup>
      </m:oMath>
      <w:r>
        <w:t xml:space="preserve">×DAI) &gt; 0 trong ước lượng OLS. Cơ chế: DAI giảm khoảng cách tâm lý, mở rộng tiếp cận thị trường ảo, và tăng năng lực điều phối ở những bối cảnh mà sự hiện diện website (website presence) vẫn là tín hiệu phân biệt (chưa bão hòa). Tuy nhiên, kiểm định bằng biến công cụ tại Nhóm IV (Việt Nam) cho kết quả null (β = 0,018; p = 0,942), OLS dương phản ánh phụ thuộc chọn lựa, không nhân quả. H3a do đó là giả thuyết có điều kiện, cần kiểm định nhân quả để xác nhận.</w:t>
      </w:r>
    </w:p>
    <w:p>
      <w:pPr>
        <w:pStyle w:val="BodyText"/>
      </w:pPr>
      <w:r>
        <w:rPr>
          <w:bCs/>
          <w:b/>
        </w:rPr>
        <w:t xml:space="preserve">H3b</w:t>
      </w:r>
      <w:r>
        <w:t xml:space="preserve"> </w:t>
      </w:r>
      <w:r>
        <w:t xml:space="preserve">(Advanced, Nhóm I-II): Trong các nền kinh tế tiên tiến, tác động trực tiếp không điều kiện của DAI lên ln(LP) có thể null hoặc âm do bão hòa số và single-component measurement (chỉ website binary, Tier-1 proxy, không phản ánh đầy đủ năng lực số). Tuy nhiên, tác động điều tiết điều kiện β(</w:t>
      </w:r>
      <m:oMath>
        <m:sSup>
          <m:e>
            <m:r>
              <m:rPr>
                <m:nor/>
                <m:sty m:val="p"/>
              </m:rPr>
              <m:t>FSTS</m:t>
            </m:r>
          </m:e>
          <m:sup>
            <m:r>
              <m:t>2</m:t>
            </m:r>
          </m:sup>
        </m:sSup>
      </m:oMath>
      <w:r>
        <w:t xml:space="preserve">×DAI) vẫn dương ở mức FSTS cao nơi nhu cầu điều phối xuyên biên giới cao (bằng chứng neo đậu: phân tích Singapore β(</w:t>
      </w:r>
      <m:oMath>
        <m:sSup>
          <m:e>
            <m:r>
              <m:rPr>
                <m:nor/>
                <m:sty m:val="p"/>
              </m:rPr>
              <m:t>FSTS</m:t>
            </m:r>
          </m:e>
          <m:sup>
            <m:r>
              <m:t>2</m:t>
            </m:r>
          </m:sup>
        </m:sSup>
      </m:oMath>
      <w:r>
        <w:t xml:space="preserve">×DAI) = +3,119, p = 0,005).</w:t>
      </w:r>
    </w:p>
    <w:p>
      <w:pPr>
        <w:pStyle w:val="BodyText"/>
      </w:pPr>
      <w:r>
        <w:t xml:space="preserve">TCI và DAI là hai cấu trúc phân biệt và không thể thay thế nhau trong cả hai giả thuyết con (giả thuyết phân biệt cấu trúc CDCM, CDCM distinctiveness hypothesis, H3c: β(TCI)</w:t>
      </w:r>
      <w:r>
        <w:t xml:space="preserve"> </w:t>
      </w:r>
      <m:oMath>
        <m:r>
          <m:rPr>
            <m:sty m:val="p"/>
          </m:rPr>
          <m:t>≠</m:t>
        </m:r>
      </m:oMath>
      <w:r>
        <w:t xml:space="preserve"> </w:t>
      </w:r>
      <w:r>
        <w:t xml:space="preserve">β(DAI) và hai cấu trúc thỏa mãn tiêu chí giá trị phân biệt, discriminant validity).</w:t>
      </w:r>
    </w:p>
    <w:p>
      <w:pPr>
        <w:pStyle w:val="BodyText"/>
      </w:pPr>
      <w:r>
        <w:rPr>
          <w:bCs/>
          <w:b/>
        </w:rPr>
        <w:t xml:space="preserve">H3d (Lá chắn số / Digital Shield, hiệu ứng hai chiều DAI×ICRV):</w:t>
      </w:r>
      <w:r>
        <w:t xml:space="preserve"> </w:t>
      </w:r>
      <w:r>
        <w:t xml:space="preserve">Trên toàn pool, DAI không định hình lại độ cong của đường cong I-P (tương tác ba chiều FSTS×DAI×ICRV β</w:t>
      </w:r>
      <w:r>
        <w:t xml:space="preserve"> </w:t>
      </w:r>
      <m:oMath>
        <m:r>
          <m:rPr>
            <m:sty m:val="p"/>
          </m:rPr>
          <m:t>≈</m:t>
        </m:r>
      </m:oMath>
      <w:r>
        <w:t xml:space="preserve"> </w:t>
      </w:r>
      <w:r>
        <w:t xml:space="preserve">−0,001, không có ý nghĩa, một ranh giới cấu trúc), nhưng vẫn phát huy vai trò bảo vệ năng suất qua tương tác hai chiều với chế độ thể chế: β(DAI×ICRV) có ý nghĩa (p = 0,049, phân tích đa quốc gia), với hiệu ứng mạnh nhất ở các chế độ thể chế yếu. Cơ chế: trong môi trường khoảng trống thể chế, năng lực số nền tảng hạ chi phí giao dịch và mở rộng tiếp cận thị trường ảo, do đó hoạt động như một tấm lá chắn giữ mặt bằng năng suất; trong khi đó, ở các chế độ thể chế mạnh nơi Tier-1 đã bão hòa, lợi thế biên của DAI co lại. Sự đối lập giữa null ba chiều và hiệu ứng hai chiều có ý nghĩa là bằng chứng then chốt cho CDCM: DAI là nguồn lực phụ thuộc bối cảnh, vận hành theo cơ chế bù đắp thể chế chứ không phải đòn bẩy định hình lại đường cong.</w:t>
      </w:r>
    </w:p>
    <w:bookmarkEnd w:id="58"/>
    <w:bookmarkStart w:id="59" w:name="Xee6d8de7996976d1b9ddab7bc4a3affe052579c"/>
    <w:p>
      <w:pPr>
        <w:pStyle w:val="Heading5"/>
      </w:pPr>
      <w:r>
        <w:t xml:space="preserve">H4 (kiểm soát quản trị nội sinh), Đặc điểm nhà quản trị</w:t>
      </w:r>
    </w:p>
    <w:p>
      <w:pPr>
        <w:pStyle w:val="FirstParagraph"/>
      </w:pPr>
      <w:r>
        <w:t xml:space="preserve">Cơ sở lý thuyết: Upper Echelons Theory (Hambrick &amp; Mason, 1984; Hambrick, 2007) cho rằng quyết định chiến lược phản ánh đặc điểm nhân khẩu học của nhà quản trị cấp cao, bao gồm kinh nghiệm, học vấn, và giới tính. Tuy vậy, trong khung CĐ2 các đặc điểm này không được nâng thành trục điều tiết trọng tâm. Để bảo vệ tính nhân quả thuần khiết của tương tác Thể chế × Công nghệ, nghiên cứu khóa chặt các thiên lệch nội sinh phát sinh từ năng lực và sự đa dạng giới của nhà quản trị: kinh nghiệm, học vấn và giới tính nhà quản trị được đưa vào như biến kiểm soát quản trị nội sinh, không phải nhân tố điều tiết trọng tâm. Lựa chọn này có chủ đích về mặt phương pháp. Một mặt, nó tránh</w:t>
      </w:r>
      <w:r>
        <w:t xml:space="preserve"> </w:t>
      </w:r>
      <w:r>
        <w:t xml:space="preserve">“</w:t>
      </w:r>
      <w:r>
        <w:t xml:space="preserve">Kitchen Sink Modeling</w:t>
      </w:r>
      <w:r>
        <w:t xml:space="preserve">”</w:t>
      </w:r>
      <w:r>
        <w:t xml:space="preserve">, tức nhồi thêm một tầng điều tiết cấp vi mô làm loãng thông điệp vĩ mô Institution × Technology. Mặt khác, vì năng lực và sự đa dạng giới của nhà quản trị có thể đồng thời tác động đến quyết định xuất khẩu (FSTS), đến năng lực công nghệ (TCI), và đến năng suất, việc đưa chúng vào tập kiểm soát giúp hấp thụ thiên lệch biến bị bỏ sót và cô lập hiệu ứng nhân quả của tương tác trọng tâm. Trong bối cảnh WBES, ba biến đại diện có sẵn: số năm kinh nghiệm quản lý (b5), trình độ học vấn (b7a), và giới tính nhà quản trị cấp cao (b7).</w:t>
      </w:r>
    </w:p>
    <w:p>
      <w:pPr>
        <w:pStyle w:val="BodyText"/>
      </w:pPr>
      <w:r>
        <w:t xml:space="preserve">Ba thành phần của khối kiểm soát quản trị nội sinh, giữ ký hiệu H4a-H4c để tương thích với các bản thảo đồng hành (phân tích Việt Nam, Singapore và Trung Quốc):</w:t>
      </w:r>
    </w:p>
    <w:p>
      <w:pPr>
        <w:pStyle w:val="BodyText"/>
      </w:pPr>
      <w:r>
        <w:rPr>
          <w:bCs/>
          <w:b/>
        </w:rPr>
        <w:t xml:space="preserve">H4a (kiểm soát)</w:t>
      </w:r>
      <w:r>
        <w:t xml:space="preserve">: Kinh nghiệm quản lý (exp_manager, b5) được kiểm soát với kỳ vọng δ_exp &gt; 0. Nhà quản trị nhiều kinh nghiệm có khả năng nhận diện cơ hội thị trường và tránh bẫy tăng trưởng quá mức; khi không kiểm soát, kinh nghiệm có thể tạo tương quan giả giữa FSTS và năng suất.</w:t>
      </w:r>
    </w:p>
    <w:p>
      <w:pPr>
        <w:pStyle w:val="BodyText"/>
      </w:pPr>
      <w:r>
        <w:rPr>
          <w:bCs/>
          <w:b/>
        </w:rPr>
        <w:t xml:space="preserve">H4b (kiểm soát)</w:t>
      </w:r>
      <w:r>
        <w:t xml:space="preserve">: Học vấn nhà quản trị (educ_manager, b7a), đại diện cho năng lực nhận thức và khả năng tiếp thu kinh nghiệm quốc tế, được kiểm soát với kỳ vọng δ_educ &gt; 0. Nhà quản trị học vấn cao có khung nhận thức rộng hơn để xử lý sự phức tạp thông tin trong quản lý đa thị trường. Lưu ý: WBES (b7a) không đo trực tiếp kinh nghiệm quốc tế; học vấn được dùng như biến đại diện cho năng lực tư duy vượt biên giới (cognitive international readiness).</w:t>
      </w:r>
    </w:p>
    <w:p>
      <w:pPr>
        <w:pStyle w:val="BodyText"/>
      </w:pPr>
      <w:r>
        <w:rPr>
          <w:bCs/>
          <w:b/>
        </w:rPr>
        <w:t xml:space="preserve">H4c (kiểm soát)</w:t>
      </w:r>
      <w:r>
        <w:t xml:space="preserve">: Giới tính nữ của nhà quản trị cấp cao (gender_manager = 1) được đưa vào như kiểm soát đa dạng giới, không đặt dấu kỳ vọng tiên nghiệm; báo cáo two-sided. Bằng chứng trong các nghiên cứu Upper Echelons không đồng nhất về chiều hướng cho châu Á (Hambrick, 2007).</w:t>
      </w:r>
    </w:p>
    <w:p>
      <w:pPr>
        <w:pStyle w:val="BodyText"/>
      </w:pPr>
      <w:r>
        <w:t xml:space="preserve">Phạm vi: H4a-H4c là biến đại diện (proxy) cho cơ chế Upper Echelons và được vận hành như tập kiểm soát quản trị nội sinh, không phải kiểm định trực tiếp cấu trúc lý thuyết gốc. Các hệ số liên quan được báo cáo nhưng không phải đối tượng diễn giải trọng tâm; hạn chế này được thừa nhận rõ trong phần thảo luận kết quả.</w:t>
      </w:r>
    </w:p>
    <w:bookmarkEnd w:id="59"/>
    <w:bookmarkStart w:id="60" w:name="Xda529543b3724f11a3ec16e0ec40bd3627bd65b"/>
    <w:p>
      <w:pPr>
        <w:pStyle w:val="Heading5"/>
      </w:pPr>
      <w:r>
        <w:t xml:space="preserve">H5, Thể chế ICRV điều tiết theo dải biến thiên</w:t>
      </w:r>
    </w:p>
    <w:p>
      <w:pPr>
        <w:pStyle w:val="FirstParagraph"/>
      </w:pPr>
      <w:r>
        <w:t xml:space="preserve">Cơ sở lý thuyết: Institutional Theory (North, 1990; Khanna &amp; Palepu, 2010) cho rằng thể chế quy định chi phí giao dịch, rủi ro hợp đồng, và khả năng tiếp cận thị trường, tất cả ảnh hưởng đến hiệu quả của quốc tế hóa. Ba cơ chế độc lập giải thích tại sao thể chế tốt hơn tạo ra điểm uốn cao hơn: (A) thực thi hợp đồng, giảm chi phí đại diện trong chuỗi cung ứng quốc tế; (B) phát triển thị trường tài chính, cho phép huy động vốn cho vốn lưu động quốc tế; (C) chất lượng quy định, giảm gánh nặng tuân thủ cho doanh nghiệp xuất khẩu. Kafouros và cộng sự (2023) ước tính: 1% cải thiện trong WGI Regulatory Quality tương đương với +2-3% FSTS trong điểm uốn.</w:t>
      </w:r>
    </w:p>
    <w:p>
      <w:pPr>
        <w:pStyle w:val="BodyText"/>
      </w:pPr>
      <w:r>
        <w:t xml:space="preserve">Dự đoán độ cong và điểm uốn theo nhóm ICRV (điểm uốn theo nhóm không đồng nhất, cụm quanh ~40% và không dịch chuyển đơn điệu; điều dịch chuyển có hệ thống là độ cong / biên độ):</w:t>
      </w:r>
    </w:p>
    <w:tbl>
      <w:tblPr>
        <w:tblStyle w:val="Table"/>
        <w:tblW w:type="pct" w:w="5000"/>
        <w:tblLook w:firstRow="1" w:lastRow="0" w:firstColumn="0" w:lastColumn="0" w:noHBand="0" w:noVBand="0" w:val="0020"/>
        <w:jc w:val="start"/>
      </w:tblPr>
      <w:tblGrid>
        <w:gridCol w:w="2420"/>
        <w:gridCol w:w="3960"/>
        <w:gridCol w:w="1540"/>
      </w:tblGrid>
      <w:tr>
        <w:trPr>
          <w:tblHeader w:val="true"/>
        </w:trPr>
        <w:tc>
          <w:tcPr/>
          <w:p>
            <w:pPr>
              <w:pStyle w:val="Compact"/>
              <w:jc w:val="left"/>
            </w:pPr>
            <w:r>
              <w:t xml:space="preserve">ICRV Nhóm</w:t>
            </w:r>
          </w:p>
        </w:tc>
        <w:tc>
          <w:tcPr/>
          <w:p>
            <w:pPr>
              <w:pStyle w:val="Compact"/>
              <w:jc w:val="left"/>
            </w:pPr>
            <w:r>
              <w:t xml:space="preserve">Độ cong dự kiến / neo đậu điểm uốn</w:t>
            </w:r>
          </w:p>
        </w:tc>
        <w:tc>
          <w:tcPr/>
          <w:p>
            <w:pPr>
              <w:pStyle w:val="Compact"/>
              <w:jc w:val="left"/>
            </w:pPr>
            <w:r>
              <w:t xml:space="preserve">Cơ sở</w:t>
            </w:r>
          </w:p>
        </w:tc>
      </w:tr>
      <w:tr>
        <w:tc>
          <w:tcPr/>
          <w:p>
            <w:pPr>
              <w:pStyle w:val="Compact"/>
              <w:jc w:val="left"/>
            </w:pPr>
            <w:r>
              <w:t xml:space="preserve">Nhóm I (tiên tiến đổi mới)</w:t>
            </w:r>
          </w:p>
        </w:tc>
        <w:tc>
          <w:tcPr/>
          <w:p>
            <w:pPr>
              <w:pStyle w:val="Compact"/>
              <w:jc w:val="left"/>
            </w:pPr>
            <w:r>
              <w:rPr>
                <w:bCs/>
                <w:b/>
              </w:rPr>
              <w:t xml:space="preserve">Độ cong nông nhất, đường cong phẳng/gần tuyến tính (toàn mẫu đa quốc gia)</w:t>
            </w:r>
          </w:p>
        </w:tc>
        <w:tc>
          <w:tcPr/>
          <w:p>
            <w:pPr>
              <w:pStyle w:val="Compact"/>
              <w:jc w:val="left"/>
            </w:pPr>
            <w:r>
              <w:t xml:space="preserve">phân tích đa quốc gia tổng hợp (N=82.302): độ cong nông nhất, gần tuyến tính ở nhóm tiên tiến (điểm uốn cụm quanh ~40%); phân tích Singapore TP ~82% là ngoại lệ đơn quốc gia (LM p = 0,303, không có ý nghĩa)</w:t>
            </w:r>
          </w:p>
        </w:tc>
      </w:tr>
      <w:tr>
        <w:tc>
          <w:tcPr/>
          <w:p>
            <w:pPr>
              <w:pStyle w:val="Compact"/>
              <w:jc w:val="left"/>
            </w:pPr>
            <w:r>
              <w:t xml:space="preserve">Nhóm II (tiên tiến tài nguyên)</w:t>
            </w:r>
          </w:p>
        </w:tc>
        <w:tc>
          <w:tcPr/>
          <w:p>
            <w:pPr>
              <w:pStyle w:val="Compact"/>
              <w:jc w:val="left"/>
            </w:pPr>
            <w:r>
              <w:t xml:space="preserve">Không xác định / yếu dương</w:t>
            </w:r>
          </w:p>
        </w:tc>
        <w:tc>
          <w:tcPr/>
          <w:p>
            <w:pPr>
              <w:pStyle w:val="Compact"/>
              <w:jc w:val="left"/>
            </w:pPr>
            <w:r>
              <w:t xml:space="preserve">FDI/tài nguyên chiếm ưu thế</w:t>
            </w:r>
          </w:p>
        </w:tc>
      </w:tr>
      <w:tr>
        <w:tc>
          <w:tcPr/>
          <w:p>
            <w:pPr>
              <w:pStyle w:val="Compact"/>
              <w:jc w:val="left"/>
            </w:pPr>
            <w:r>
              <w:t xml:space="preserve">Nhóm III (trung bình cao)</w:t>
            </w:r>
          </w:p>
        </w:tc>
        <w:tc>
          <w:tcPr/>
          <w:p>
            <w:pPr>
              <w:pStyle w:val="Compact"/>
              <w:jc w:val="left"/>
            </w:pPr>
            <w:r>
              <w:t xml:space="preserve">Độ cong trung bình; neo đơn quốc gia ~45-55% FSTS</w:t>
            </w:r>
          </w:p>
        </w:tc>
        <w:tc>
          <w:tcPr/>
          <w:p>
            <w:pPr>
              <w:pStyle w:val="Compact"/>
              <w:jc w:val="left"/>
            </w:pPr>
            <w:r>
              <w:t xml:space="preserve">phân tích Trung Quốc TP 47-49%</w:t>
            </w:r>
          </w:p>
        </w:tc>
      </w:tr>
      <w:tr>
        <w:tc>
          <w:tcPr/>
          <w:p>
            <w:pPr>
              <w:pStyle w:val="Compact"/>
              <w:jc w:val="left"/>
            </w:pPr>
            <w:r>
              <w:t xml:space="preserve">Nhóm IV (đang nổi)</w:t>
            </w:r>
          </w:p>
        </w:tc>
        <w:tc>
          <w:tcPr/>
          <w:p>
            <w:pPr>
              <w:pStyle w:val="Compact"/>
              <w:jc w:val="left"/>
            </w:pPr>
            <w:r>
              <w:t xml:space="preserve">Độ cong trung bình-mạnh; neo đơn quốc gia ~35-46% FSTS</w:t>
            </w:r>
          </w:p>
        </w:tc>
        <w:tc>
          <w:tcPr/>
          <w:p>
            <w:pPr>
              <w:pStyle w:val="Compact"/>
              <w:jc w:val="left"/>
            </w:pPr>
            <w:r>
              <w:t xml:space="preserve">phân tích Việt Nam TP 39-46%</w:t>
            </w:r>
          </w:p>
        </w:tc>
      </w:tr>
      <w:tr>
        <w:tc>
          <w:tcPr/>
          <w:p>
            <w:pPr>
              <w:pStyle w:val="Compact"/>
              <w:jc w:val="left"/>
            </w:pPr>
            <w:r>
              <w:t xml:space="preserve">Nhóm V (cận biên)</w:t>
            </w:r>
          </w:p>
        </w:tc>
        <w:tc>
          <w:tcPr/>
          <w:p>
            <w:pPr>
              <w:pStyle w:val="Compact"/>
              <w:jc w:val="left"/>
            </w:pPr>
            <w:r>
              <w:t xml:space="preserve">Độ cong sâu nhất, hình phạt sau đỉnh gay gắt</w:t>
            </w:r>
          </w:p>
        </w:tc>
        <w:tc>
          <w:tcPr/>
          <w:p>
            <w:pPr>
              <w:pStyle w:val="Compact"/>
              <w:jc w:val="left"/>
            </w:pPr>
            <w:r>
              <w:t xml:space="preserve">Khoảng trống thể chế làm khuếch đại chi phí giao dịch sau đỉnh</w:t>
            </w:r>
          </w:p>
        </w:tc>
      </w:tr>
      <w:tr>
        <w:tc>
          <w:tcPr/>
          <w:p>
            <w:pPr>
              <w:pStyle w:val="Compact"/>
              <w:jc w:val="left"/>
            </w:pPr>
            <w:r>
              <w:t xml:space="preserve">Nhóm VI (SIDS)</w:t>
            </w:r>
          </w:p>
        </w:tc>
        <w:tc>
          <w:tcPr/>
          <w:p>
            <w:pPr>
              <w:pStyle w:val="Compact"/>
              <w:jc w:val="left"/>
            </w:pPr>
            <w:r>
              <w:t xml:space="preserve">Không có TP / gánh nặng bắt buộc</w:t>
            </w:r>
          </w:p>
        </w:tc>
        <w:tc>
          <w:tcPr/>
          <w:p>
            <w:pPr>
              <w:pStyle w:val="Compact"/>
              <w:jc w:val="left"/>
            </w:pPr>
            <w:r>
              <w:t xml:space="preserve">Quốc tế hóa bắt buộc</w:t>
            </w:r>
          </w:p>
        </w:tc>
      </w:tr>
    </w:tbl>
    <w:p>
      <w:pPr>
        <w:pStyle w:val="BodyText"/>
      </w:pPr>
      <w:r>
        <w:t xml:space="preserve">H5: Hiệu ứng điều tiết của chế độ thể chế (ICRV) lên quan hệ I-P có dạng dải biến thiên: cùng một mức FSTS, doanh nghiệp ở Nhóm I đạt hiệu quả cao nhất; chênh lệch giữa các chế độ giảm dần qua Nhóm II đến V; Nhóm VI có hình thái gánh nặng bắt buộc.</w:t>
      </w:r>
      <w:r>
        <w:t xml:space="preserve"> </w:t>
      </w:r>
      <w:r>
        <w:rPr>
          <w:bCs/>
          <w:b/>
        </w:rPr>
        <w:t xml:space="preserve">Độ cong (concavity / biên độ)</w:t>
      </w:r>
      <w:r>
        <w:t xml:space="preserve"> </w:t>
      </w:r>
      <w:r>
        <w:t xml:space="preserve">của hình chữ U ngược sâu dần theo dải biến thiên khi chất lượng thể chế suy giảm, từ gần tuyến tính ở Nhóm I đến cong sâu ở Nhóm V; điểm uốn theo nhóm không đồng nhất (cụm quanh ~40%) và không dịch chuyển đơn điệu. Thể chế càng yếu, hình phạt sau đỉnh cho quốc tế hóa quá mức càng gay gắt, phản ánh chi phí giao dịch cao và năng lực điều phối hạn chế trong bối cảnh thể chế yếu.</w:t>
      </w:r>
    </w:p>
    <w:bookmarkEnd w:id="60"/>
    <w:bookmarkStart w:id="61" w:name="h6-tính-không-đồng-nhất-theo-thời-gian"/>
    <w:p>
      <w:pPr>
        <w:pStyle w:val="Heading5"/>
      </w:pPr>
      <w:r>
        <w:t xml:space="preserve">H6, Tính không đồng nhất theo thời gian</w:t>
      </w:r>
    </w:p>
    <w:p>
      <w:pPr>
        <w:pStyle w:val="FirstParagraph"/>
      </w:pPr>
      <w:r>
        <w:t xml:space="preserve">Cơ sở lý thuyết: Wu, Wood và Khan (2022) tổng hợp 20 năm bằng chứng và tìm thấy các dịch chuyển thời gian đáng kể trong I-P. Ba giai đoạn trong dữ liệu có đặc điểm bối cảnh khác nhau rõ ràng: 2009-2012 (hậu khủng hoảng tài chính, hạ tầng số sơ khai ở châu Á); 2013-2017 (phục hồi chuỗi giá trị toàn cầu, bùng nổ Internet di động, thương mại điện tử lan rộng); 2018-2025 (chuyển đổi số + AI bùng nổ, COVID-19, tái cấu hình chuỗi cung ứng).</w:t>
      </w:r>
    </w:p>
    <w:p>
      <w:pPr>
        <w:pStyle w:val="BodyText"/>
      </w:pPr>
      <w:r>
        <w:t xml:space="preserve">Bằng chứng neo đậu: phân tích Việt Nam: Paternoster z = 3,353 giữa 2009 và 2015 (p &lt; 0,001), quan hệ I-P dịch chuyển đáng kể. phân tích Trung Quốc: TCI Paternoster p = 0,011, hiệu ứng TCI tăng cường 2012 đến 2024. phân tích Trung Quốc: FSTS Paternoster p = 0,545, điểm uốn ổn định (bền vững cấu trúc H2b xác nhận).</w:t>
      </w:r>
    </w:p>
    <w:p>
      <w:pPr>
        <w:pStyle w:val="BodyText"/>
      </w:pPr>
      <w:r>
        <w:t xml:space="preserve">H6: Tác động của quốc tế hóa lên hiệu quả doanh nghiệp thể hiện tính không đồng nhất theo thời gian: β(FSTS×Year_bucket) và β(</w:t>
      </w:r>
      <m:oMath>
        <m:sSup>
          <m:e>
            <m:r>
              <m:rPr>
                <m:nor/>
                <m:sty m:val="p"/>
              </m:rPr>
              <m:t>FSTS</m:t>
            </m:r>
          </m:e>
          <m:sup>
            <m:r>
              <m:t>2</m:t>
            </m:r>
          </m:sup>
        </m:sSup>
      </m:oMath>
      <w:r>
        <w:t xml:space="preserve">×Year_bucket) khác nhau có ý nghĩa thống kê giữa ba giai đoạn 2009-2012, 2013-2017, và 2018-2025. Cụ thể: tác động TCI tăng cường theo thời gian; tác động DAI biến thiên theo giai đoạn; điểm uốn có thể dịch chuyển trong một số nhóm ICRV nhưng ổn định trong các nhóm khác.</w:t>
      </w:r>
    </w:p>
    <w:bookmarkEnd w:id="61"/>
    <w:bookmarkStart w:id="62" w:name="tổng-hợp-hệ-giả-thuyết"/>
    <w:p>
      <w:pPr>
        <w:pStyle w:val="Heading5"/>
      </w:pPr>
      <w:r>
        <w:t xml:space="preserve">Tổng hợp hệ giả thuyết</w:t>
      </w:r>
    </w:p>
    <w:p>
      <w:pPr>
        <w:pStyle w:val="FirstParagraph"/>
      </w:pPr>
      <w:r>
        <w:t xml:space="preserve">Bảng 2.5. Hệ giả thuyết H1-H6, tóm tắt cơ chế, biến, kỳ vọng, và bằng chứng neo đậu.</w:t>
      </w:r>
    </w:p>
    <w:tbl>
      <w:tblPr>
        <w:tblStyle w:val="Table"/>
        <w:tblW w:type="pct" w:w="5000"/>
        <w:tblLook w:firstRow="1" w:lastRow="0" w:firstColumn="0" w:lastColumn="0" w:noHBand="0" w:noVBand="0" w:val="0020"/>
        <w:jc w:val="start"/>
      </w:tblPr>
      <w:tblGrid>
        <w:gridCol w:w="642"/>
        <w:gridCol w:w="535"/>
        <w:gridCol w:w="1819"/>
        <w:gridCol w:w="1712"/>
        <w:gridCol w:w="963"/>
        <w:gridCol w:w="2247"/>
      </w:tblGrid>
      <w:tr>
        <w:trPr>
          <w:tblHeader w:val="true"/>
        </w:trPr>
        <w:tc>
          <w:tcPr/>
          <w:p>
            <w:pPr>
              <w:pStyle w:val="Compact"/>
              <w:jc w:val="left"/>
            </w:pPr>
            <w:r>
              <w:t xml:space="preserve">Giả thuyết</w:t>
            </w:r>
          </w:p>
        </w:tc>
        <w:tc>
          <w:tcPr/>
          <w:p>
            <w:pPr>
              <w:pStyle w:val="Compact"/>
              <w:jc w:val="left"/>
            </w:pPr>
            <w:r>
              <w:t xml:space="preserve">Tên</w:t>
            </w:r>
          </w:p>
        </w:tc>
        <w:tc>
          <w:tcPr/>
          <w:p>
            <w:pPr>
              <w:pStyle w:val="Compact"/>
              <w:jc w:val="left"/>
            </w:pPr>
            <w:r>
              <w:t xml:space="preserve">Cơ chế lý thuyết</w:t>
            </w:r>
          </w:p>
        </w:tc>
        <w:tc>
          <w:tcPr/>
          <w:p>
            <w:pPr>
              <w:pStyle w:val="Compact"/>
              <w:jc w:val="left"/>
            </w:pPr>
            <w:r>
              <w:t xml:space="preserve">Biến kiểm định</w:t>
            </w:r>
          </w:p>
        </w:tc>
        <w:tc>
          <w:tcPr/>
          <w:p>
            <w:pPr>
              <w:pStyle w:val="Compact"/>
              <w:jc w:val="left"/>
            </w:pPr>
            <w:r>
              <w:t xml:space="preserve">Kỳ vọng</w:t>
            </w:r>
          </w:p>
        </w:tc>
        <w:tc>
          <w:tcPr/>
          <w:p>
            <w:pPr>
              <w:pStyle w:val="Compact"/>
              <w:jc w:val="left"/>
            </w:pPr>
            <w:r>
              <w:t xml:space="preserve">Bằng chứng phân tích Việt Nam, Singapore và Trung Quốc</w:t>
            </w:r>
          </w:p>
        </w:tc>
      </w:tr>
      <w:tr>
        <w:tc>
          <w:tcPr/>
          <w:p>
            <w:pPr>
              <w:pStyle w:val="Compact"/>
              <w:jc w:val="left"/>
            </w:pPr>
            <w:r>
              <w:t xml:space="preserve">H1</w:t>
            </w:r>
          </w:p>
        </w:tc>
        <w:tc>
          <w:tcPr/>
          <w:p>
            <w:pPr>
              <w:pStyle w:val="Compact"/>
              <w:jc w:val="left"/>
            </w:pPr>
            <w:r>
              <w:t xml:space="preserve">Phi tuyến I-P</w:t>
            </w:r>
          </w:p>
        </w:tc>
        <w:tc>
          <w:tcPr/>
          <w:p>
            <w:pPr>
              <w:pStyle w:val="Compact"/>
              <w:jc w:val="left"/>
            </w:pPr>
            <w:r>
              <w:t xml:space="preserve">Uppsala 3 giai đoạn; chi phí phối hợp</w:t>
            </w:r>
          </w:p>
        </w:tc>
        <w:tc>
          <w:tcPr/>
          <w:p>
            <w:pPr>
              <w:pStyle w:val="Compact"/>
              <w:jc w:val="left"/>
            </w:pPr>
            <w:r>
              <w:t xml:space="preserve">FSTS,</w:t>
            </w:r>
            <w:r>
              <w:t xml:space="preserve"> </w:t>
            </w:r>
            <m:oMath>
              <m:sSup>
                <m:e>
                  <m:r>
                    <m:rPr>
                      <m:nor/>
                      <m:sty m:val="p"/>
                    </m:rPr>
                    <m:t>FSTS</m:t>
                  </m:r>
                </m:e>
                <m:sup>
                  <m:r>
                    <m:t>2</m:t>
                  </m:r>
                </m:sup>
              </m:sSup>
            </m:oMath>
            <w:r>
              <w:t xml:space="preserve">,</w:t>
            </w:r>
            <w:r>
              <w:t xml:space="preserve"> </w:t>
            </w:r>
            <m:oMath>
              <m:sSup>
                <m:e>
                  <m:r>
                    <m:rPr>
                      <m:nor/>
                      <m:sty m:val="p"/>
                    </m:rPr>
                    <m:t>FSTS</m:t>
                  </m:r>
                </m:e>
                <m:sup>
                  <m:r>
                    <m:t>3</m:t>
                  </m:r>
                </m:sup>
              </m:sSup>
            </m:oMath>
          </w:p>
        </w:tc>
        <w:tc>
          <w:tcPr/>
          <w:p>
            <w:pPr>
              <w:pStyle w:val="Compact"/>
              <w:jc w:val="left"/>
            </w:pP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w:t>
            </w:r>
          </w:p>
        </w:tc>
        <w:tc>
          <w:tcPr/>
          <w:p>
            <w:pPr>
              <w:pStyle w:val="Compact"/>
              <w:jc w:val="left"/>
            </w:pPr>
            <w:r>
              <w:t xml:space="preserve">phân tích Việt Nam TP 39-46%; phân tích Trung Quốc TP 47-49%</w:t>
            </w:r>
          </w:p>
        </w:tc>
      </w:tr>
      <w:tr>
        <w:tc>
          <w:tcPr/>
          <w:p>
            <w:pPr>
              <w:pStyle w:val="Compact"/>
              <w:jc w:val="left"/>
            </w:pPr>
            <w:r>
              <w:t xml:space="preserve">H2</w:t>
            </w:r>
          </w:p>
        </w:tc>
        <w:tc>
          <w:tcPr/>
          <w:p>
            <w:pPr>
              <w:pStyle w:val="Compact"/>
              <w:jc w:val="left"/>
            </w:pPr>
            <w:r>
              <w:t xml:space="preserve">TCI nâng mặt bằng</w:t>
            </w:r>
          </w:p>
        </w:tc>
        <w:tc>
          <w:tcPr/>
          <w:p>
            <w:pPr>
              <w:pStyle w:val="Compact"/>
              <w:jc w:val="left"/>
            </w:pPr>
            <w:r>
              <w:t xml:space="preserve">RBV năng lực hấp thụ</w:t>
            </w:r>
          </w:p>
        </w:tc>
        <w:tc>
          <w:tcPr/>
          <w:p>
            <w:pPr>
              <w:pStyle w:val="Compact"/>
              <w:jc w:val="left"/>
            </w:pPr>
            <w:r>
              <w:t xml:space="preserve">TCI, FSTS×TCI</w:t>
            </w:r>
          </w:p>
        </w:tc>
        <w:tc>
          <w:tcPr/>
          <w:p>
            <w:pPr>
              <w:pStyle w:val="Compact"/>
              <w:jc w:val="left"/>
            </w:pPr>
            <w:r>
              <w:t xml:space="preserve">β(TCI) &gt; 0; độ cong: khám phá</w:t>
            </w:r>
          </w:p>
        </w:tc>
        <w:tc>
          <w:tcPr/>
          <w:p>
            <w:pPr>
              <w:pStyle w:val="Compact"/>
              <w:jc w:val="left"/>
            </w:pPr>
            <w:r>
              <w:t xml:space="preserve">phân tích Việt Nam IV nhân quả; phân tích Trung Quốc +0,260 lên +0,426</w:t>
            </w:r>
          </w:p>
        </w:tc>
      </w:tr>
      <w:tr>
        <w:tc>
          <w:tcPr/>
          <w:p>
            <w:pPr>
              <w:pStyle w:val="Compact"/>
              <w:jc w:val="left"/>
            </w:pPr>
            <w:r>
              <w:t xml:space="preserve">H3a</w:t>
            </w:r>
          </w:p>
        </w:tc>
        <w:tc>
          <w:tcPr/>
          <w:p>
            <w:pPr>
              <w:pStyle w:val="Compact"/>
              <w:jc w:val="left"/>
            </w:pPr>
            <w:r>
              <w:t xml:space="preserve">DAI Emerging/Frontier (+)</w:t>
            </w:r>
          </w:p>
        </w:tc>
        <w:tc>
          <w:tcPr/>
          <w:p>
            <w:pPr>
              <w:pStyle w:val="Compact"/>
              <w:jc w:val="left"/>
            </w:pPr>
            <w:r>
              <w:t xml:space="preserve">CDCM × Digital Adoption Lens</w:t>
            </w:r>
          </w:p>
        </w:tc>
        <w:tc>
          <w:tcPr/>
          <w:p>
            <w:pPr>
              <w:pStyle w:val="Compact"/>
              <w:jc w:val="left"/>
            </w:pPr>
            <w:r>
              <w:t xml:space="preserve">DAI, FSTS×DAI</w:t>
            </w:r>
          </w:p>
        </w:tc>
        <w:tc>
          <w:tcPr/>
          <w:p>
            <w:pPr>
              <w:pStyle w:val="Compact"/>
              <w:jc w:val="left"/>
            </w:pPr>
            <w:r>
              <w:t xml:space="preserve">β(FSTS×DAI) &gt; 0 (Nhóm III-V)</w:t>
            </w:r>
          </w:p>
        </w:tc>
        <w:tc>
          <w:tcPr/>
          <w:p>
            <w:pPr>
              <w:pStyle w:val="Compact"/>
              <w:jc w:val="left"/>
            </w:pPr>
            <w:r>
              <w:t xml:space="preserve">phân tích Việt Nam IV null; bằng chứng hạn chế</w:t>
            </w:r>
          </w:p>
        </w:tc>
      </w:tr>
      <w:tr>
        <w:tc>
          <w:tcPr/>
          <w:p>
            <w:pPr>
              <w:pStyle w:val="Compact"/>
              <w:jc w:val="left"/>
            </w:pPr>
            <w:r>
              <w:t xml:space="preserve">H3b</w:t>
            </w:r>
          </w:p>
        </w:tc>
        <w:tc>
          <w:tcPr/>
          <w:p>
            <w:pPr>
              <w:pStyle w:val="Compact"/>
              <w:jc w:val="left"/>
            </w:pPr>
            <w:r>
              <w:t xml:space="preserve">DAI Advanced (null/−, conditional +)</w:t>
            </w:r>
          </w:p>
        </w:tc>
        <w:tc>
          <w:tcPr/>
          <w:p>
            <w:pPr>
              <w:pStyle w:val="Compact"/>
              <w:jc w:val="left"/>
            </w:pPr>
            <w:r>
              <w:t xml:space="preserve">CDCM × Digital Adoption Lens</w:t>
            </w:r>
          </w:p>
        </w:tc>
        <w:tc>
          <w:tcPr/>
          <w:p>
            <w:pPr>
              <w:pStyle w:val="Compact"/>
              <w:jc w:val="left"/>
            </w:pPr>
            <w:r>
              <w:t xml:space="preserve">DAI,</w:t>
            </w:r>
            <w:r>
              <w:t xml:space="preserve"> </w:t>
            </w:r>
            <m:oMath>
              <m:sSup>
                <m:e>
                  <m:r>
                    <m:rPr>
                      <m:nor/>
                      <m:sty m:val="p"/>
                    </m:rPr>
                    <m:t>FSTS</m:t>
                  </m:r>
                </m:e>
                <m:sup>
                  <m:r>
                    <m:t>2</m:t>
                  </m:r>
                </m:sup>
              </m:sSup>
            </m:oMath>
            <w:r>
              <w:t xml:space="preserve">×DAI</w:t>
            </w:r>
          </w:p>
        </w:tc>
        <w:tc>
          <w:tcPr/>
          <w:p>
            <w:pPr>
              <w:pStyle w:val="Compact"/>
              <w:jc w:val="left"/>
            </w:pPr>
            <w:r>
              <w:t xml:space="preserve">Direct: null/-; cond: β(</w:t>
            </w:r>
            <m:oMath>
              <m:sSup>
                <m:e>
                  <m:r>
                    <m:rPr>
                      <m:nor/>
                      <m:sty m:val="p"/>
                    </m:rPr>
                    <m:t>FSTS</m:t>
                  </m:r>
                </m:e>
                <m:sup>
                  <m:r>
                    <m:t>2</m:t>
                  </m:r>
                </m:sup>
              </m:sSup>
            </m:oMath>
            <w:r>
              <w:t xml:space="preserve">×DAI) &gt; 0 ở FSTS cao</w:t>
            </w:r>
          </w:p>
        </w:tc>
        <w:tc>
          <w:tcPr/>
          <w:p>
            <w:pPr>
              <w:pStyle w:val="Compact"/>
              <w:jc w:val="left"/>
            </w:pPr>
            <w:r>
              <w:t xml:space="preserve">phân tích Singapore +3,119; bão hòa số</w:t>
            </w:r>
          </w:p>
        </w:tc>
      </w:tr>
      <w:tr>
        <w:tc>
          <w:tcPr/>
          <w:p>
            <w:pPr>
              <w:pStyle w:val="Compact"/>
              <w:jc w:val="left"/>
            </w:pPr>
            <w:r>
              <w:t xml:space="preserve">H4a (kiểm soát)</w:t>
            </w:r>
          </w:p>
        </w:tc>
        <w:tc>
          <w:tcPr/>
          <w:p>
            <w:pPr>
              <w:pStyle w:val="Compact"/>
              <w:jc w:val="left"/>
            </w:pPr>
            <w:r>
              <w:t xml:space="preserve">Kinh nghiệm QL (kiểm soát nội sinh)</w:t>
            </w:r>
          </w:p>
        </w:tc>
        <w:tc>
          <w:tcPr/>
          <w:p>
            <w:pPr>
              <w:pStyle w:val="Compact"/>
              <w:jc w:val="left"/>
            </w:pPr>
            <w:r>
              <w:t xml:space="preserve">Upper Echelons</w:t>
            </w:r>
          </w:p>
        </w:tc>
        <w:tc>
          <w:tcPr/>
          <w:p>
            <w:pPr>
              <w:pStyle w:val="Compact"/>
              <w:jc w:val="left"/>
            </w:pPr>
            <w:r>
              <w:t xml:space="preserve">exp_manager (kiểm soát)</w:t>
            </w:r>
          </w:p>
        </w:tc>
        <w:tc>
          <w:tcPr/>
          <w:p>
            <w:pPr>
              <w:pStyle w:val="Compact"/>
              <w:jc w:val="left"/>
            </w:pPr>
            <w:r>
              <w:t xml:space="preserve">δ_exp &gt; 0; không phải trục điều tiết</w:t>
            </w:r>
          </w:p>
        </w:tc>
        <w:tc>
          <w:tcPr/>
          <w:p>
            <w:pPr>
              <w:pStyle w:val="Compact"/>
              <w:jc w:val="left"/>
            </w:pPr>
            <w:r>
              <w:t xml:space="preserve">(WBES b5)</w:t>
            </w:r>
          </w:p>
        </w:tc>
      </w:tr>
      <w:tr>
        <w:tc>
          <w:tcPr/>
          <w:p>
            <w:pPr>
              <w:pStyle w:val="Compact"/>
              <w:jc w:val="left"/>
            </w:pPr>
            <w:r>
              <w:t xml:space="preserve">H4b (kiểm soát)</w:t>
            </w:r>
          </w:p>
        </w:tc>
        <w:tc>
          <w:tcPr/>
          <w:p>
            <w:pPr>
              <w:pStyle w:val="Compact"/>
              <w:jc w:val="left"/>
            </w:pPr>
            <w:r>
              <w:t xml:space="preserve">Học vấn QL (kiểm soát nội sinh)</w:t>
            </w:r>
          </w:p>
        </w:tc>
        <w:tc>
          <w:tcPr/>
          <w:p>
            <w:pPr>
              <w:pStyle w:val="Compact"/>
              <w:jc w:val="left"/>
            </w:pPr>
            <w:r>
              <w:t xml:space="preserve">Upper Echelons</w:t>
            </w:r>
          </w:p>
        </w:tc>
        <w:tc>
          <w:tcPr/>
          <w:p>
            <w:pPr>
              <w:pStyle w:val="Compact"/>
              <w:jc w:val="left"/>
            </w:pPr>
            <w:r>
              <w:t xml:space="preserve">educ_manager (kiểm soát)</w:t>
            </w:r>
          </w:p>
        </w:tc>
        <w:tc>
          <w:tcPr/>
          <w:p>
            <w:pPr>
              <w:pStyle w:val="Compact"/>
              <w:jc w:val="left"/>
            </w:pPr>
            <w:r>
              <w:t xml:space="preserve">δ_educ &gt; 0; không phải trục điều tiết</w:t>
            </w:r>
          </w:p>
        </w:tc>
        <w:tc>
          <w:tcPr/>
          <w:p>
            <w:pPr>
              <w:pStyle w:val="Compact"/>
              <w:jc w:val="left"/>
            </w:pPr>
            <w:r>
              <w:t xml:space="preserve">(WBES b7a)</w:t>
            </w:r>
          </w:p>
        </w:tc>
      </w:tr>
      <w:tr>
        <w:tc>
          <w:tcPr/>
          <w:p>
            <w:pPr>
              <w:pStyle w:val="Compact"/>
              <w:jc w:val="left"/>
            </w:pPr>
            <w:r>
              <w:t xml:space="preserve">H4c (kiểm soát)</w:t>
            </w:r>
          </w:p>
        </w:tc>
        <w:tc>
          <w:tcPr/>
          <w:p>
            <w:pPr>
              <w:pStyle w:val="Compact"/>
              <w:jc w:val="left"/>
            </w:pPr>
            <w:r>
              <w:t xml:space="preserve">Giới tính QL (kiểm soát đa dạng giới)</w:t>
            </w:r>
          </w:p>
        </w:tc>
        <w:tc>
          <w:tcPr/>
          <w:p>
            <w:pPr>
              <w:pStyle w:val="Compact"/>
              <w:jc w:val="left"/>
            </w:pPr>
            <w:r>
              <w:t xml:space="preserve">Upper Echelons</w:t>
            </w:r>
          </w:p>
        </w:tc>
        <w:tc>
          <w:tcPr/>
          <w:p>
            <w:pPr>
              <w:pStyle w:val="Compact"/>
              <w:jc w:val="left"/>
            </w:pPr>
            <w:r>
              <w:t xml:space="preserve">gender_manager (kiểm soát)</w:t>
            </w:r>
          </w:p>
        </w:tc>
        <w:tc>
          <w:tcPr/>
          <w:p>
            <w:pPr>
              <w:pStyle w:val="Compact"/>
              <w:jc w:val="left"/>
            </w:pPr>
            <w:r>
              <w:t xml:space="preserve">two-sided; không phải trục điều tiết</w:t>
            </w:r>
          </w:p>
        </w:tc>
        <w:tc>
          <w:tcPr/>
          <w:p>
            <w:pPr>
              <w:pStyle w:val="Compact"/>
              <w:jc w:val="left"/>
            </w:pPr>
            <w:r>
              <w:t xml:space="preserve">(WBES b7)</w:t>
            </w:r>
          </w:p>
        </w:tc>
      </w:tr>
      <w:tr>
        <w:tc>
          <w:tcPr/>
          <w:p>
            <w:pPr>
              <w:pStyle w:val="Compact"/>
              <w:jc w:val="left"/>
            </w:pPr>
            <w:r>
              <w:t xml:space="preserve">H5</w:t>
            </w:r>
          </w:p>
        </w:tc>
        <w:tc>
          <w:tcPr/>
          <w:p>
            <w:pPr>
              <w:pStyle w:val="Compact"/>
              <w:jc w:val="left"/>
            </w:pPr>
            <w:r>
              <w:t xml:space="preserve">Dải biến thiên ICRV (độ cong)</w:t>
            </w:r>
          </w:p>
        </w:tc>
        <w:tc>
          <w:tcPr/>
          <w:p>
            <w:pPr>
              <w:pStyle w:val="Compact"/>
              <w:jc w:val="left"/>
            </w:pPr>
            <w:r>
              <w:t xml:space="preserve">Institutional Theory</w:t>
            </w:r>
          </w:p>
        </w:tc>
        <w:tc>
          <w:tcPr/>
          <w:p>
            <w:pPr>
              <w:pStyle w:val="Compact"/>
              <w:jc w:val="left"/>
            </w:pPr>
            <w:r>
              <w:t xml:space="preserve">ICRV_j × FSTS, ICRV_j ×</w:t>
            </w:r>
            <w:r>
              <w:t xml:space="preserve"> </w:t>
            </w:r>
            <m:oMath>
              <m:sSup>
                <m:e>
                  <m:r>
                    <m:rPr>
                      <m:nor/>
                      <m:sty m:val="p"/>
                    </m:rPr>
                    <m:t>FSTS</m:t>
                  </m:r>
                </m:e>
                <m:sup>
                  <m:r>
                    <m:t>2</m:t>
                  </m:r>
                </m:sup>
              </m:sSup>
            </m:oMath>
          </w:p>
        </w:tc>
        <w:tc>
          <w:tcPr/>
          <w:p>
            <w:pPr>
              <w:pStyle w:val="Compact"/>
              <w:jc w:val="left"/>
            </w:pPr>
            <w:r>
              <w:t xml:space="preserve">Độ cong sâu dần theo dải biến thiên thể chế; điểm uốn không đồng nhất, không dịch chuyển đơn điệu; Nhóm VI gánh nặng bắt buộc</w:t>
            </w:r>
          </w:p>
        </w:tc>
        <w:tc>
          <w:tcPr/>
          <w:p>
            <w:pPr>
              <w:pStyle w:val="Compact"/>
              <w:jc w:val="left"/>
            </w:pPr>
            <w:r>
              <w:t xml:space="preserve">Phân tán LP tăng theo chế độ (CĐ1); phân tích đa quốc gia M10</w:t>
            </w:r>
          </w:p>
        </w:tc>
      </w:tr>
      <w:tr>
        <w:tc>
          <w:tcPr/>
          <w:p>
            <w:pPr>
              <w:pStyle w:val="Compact"/>
              <w:jc w:val="left"/>
            </w:pPr>
            <w:r>
              <w:t xml:space="preserve">H6</w:t>
            </w:r>
          </w:p>
        </w:tc>
        <w:tc>
          <w:tcPr/>
          <w:p>
            <w:pPr>
              <w:pStyle w:val="Compact"/>
              <w:jc w:val="left"/>
            </w:pPr>
            <w:r>
              <w:t xml:space="preserve">Không đồng nhất thời gian</w:t>
            </w:r>
          </w:p>
        </w:tc>
        <w:tc>
          <w:tcPr/>
          <w:p>
            <w:pPr>
              <w:pStyle w:val="Compact"/>
              <w:jc w:val="left"/>
            </w:pPr>
            <w:r>
              <w:t xml:space="preserve">Thay đổi cấu trúc</w:t>
            </w:r>
          </w:p>
        </w:tc>
        <w:tc>
          <w:tcPr/>
          <w:p>
            <w:pPr>
              <w:pStyle w:val="Compact"/>
              <w:jc w:val="left"/>
            </w:pPr>
            <w:r>
              <w:t xml:space="preserve">Year_bucket × FSTS</w:t>
            </w:r>
          </w:p>
        </w:tc>
        <w:tc>
          <w:tcPr/>
          <w:p>
            <w:pPr>
              <w:pStyle w:val="Compact"/>
              <w:jc w:val="left"/>
            </w:pPr>
            <w:r>
              <w:t xml:space="preserve">β(FSTS×Year)</w:t>
            </w:r>
            <w:r>
              <w:t xml:space="preserve"> </w:t>
            </w:r>
            <m:oMath>
              <m:r>
                <m:rPr>
                  <m:sty m:val="p"/>
                </m:rPr>
                <m:t>≠</m:t>
              </m:r>
            </m:oMath>
            <w:r>
              <w:t xml:space="preserve"> </w:t>
            </w:r>
            <w:r>
              <w:t xml:space="preserve">0</w:t>
            </w:r>
          </w:p>
        </w:tc>
        <w:tc>
          <w:tcPr/>
          <w:p>
            <w:pPr>
              <w:pStyle w:val="Compact"/>
              <w:jc w:val="left"/>
            </w:pPr>
            <w:r>
              <w:t xml:space="preserve">phân tích Việt Nam Paternoster p &lt; 0,001; phân tích Trung Quốc TCI p = 0,011</w:t>
            </w:r>
          </w:p>
        </w:tc>
      </w:tr>
    </w:tbl>
    <w:p>
      <w:pPr>
        <w:pStyle w:val="BodyText"/>
      </w:pPr>
      <w:r>
        <w:t xml:space="preserve">Hệ giả thuyết tạo thành cấu trúc lập luận nhất quán với bốn trục điều tiết trọng tâm và một khối kiểm soát: H1a/H1b (phi tuyến, biên tham gia vs biên cường độ) là quan hệ trọng tâm; H2 (TCI nâng mặt bằng) và H3a/H3b (DAI phụ thuộc chế độ thể chế, với H3c phân biệt cấu trúc, distinctiveness) phân rã cơ chế năng lực doanh nghiệp với dấu kỳ vọng khác nhau theo ngữ cảnh; H5 (ICRV độ cong) là tầng thể chế bao trùm; H6 (Thời gian) là tầng động. Khác với bốn trục điều tiết trọng tâm (TCI, DAI, ICRV, thời gian), H4a-H4c (đặc điểm nhà quản trị) được đưa vào như khối kiểm soát quản trị nội sinh nhằm khóa chặt thiên lệch nội sinh và bảo vệ tính nhân quả thuần khiết của tương tác Thể chế × Công nghệ.</w:t>
      </w:r>
    </w:p>
    <w:p>
      <w:pPr>
        <w:pStyle w:val="BodyText"/>
      </w:pPr>
      <w:r>
        <w:t xml:space="preserve">Tích hợp cả sáu giả thuyết trong M7 (điều tiết ba chiều) cho phép kiểm định xem TCI và DAI là bổ sung (β(TCI×DAI×FSTS) &gt; 0) hay thay thế (β &lt; 0) trong điều tiết I-P ở Nhóm I, câu hỏi chưa được trả lời trong bất kỳ nghiên cứu I-P nào trước đây.</w:t>
      </w:r>
    </w:p>
    <w:bookmarkEnd w:id="62"/>
    <w:bookmarkEnd w:id="63"/>
    <w:bookmarkStart w:id="74" w:name="thiết-kế-mô-hình-thực-nghiệm-m0-m7"/>
    <w:p>
      <w:pPr>
        <w:pStyle w:val="Heading4"/>
      </w:pPr>
      <w:r>
        <w:t xml:space="preserve">2.3.5 Thiết kế mô hình thực nghiệm (M0-M7)</w:t>
      </w:r>
    </w:p>
    <w:bookmarkStart w:id="64" w:name="nguyên-tắc-đặc-tả"/>
    <w:p>
      <w:pPr>
        <w:pStyle w:val="Heading5"/>
      </w:pPr>
      <w:r>
        <w:t xml:space="preserve">Nguyên tắc đặc tả</w:t>
      </w:r>
    </w:p>
    <w:p>
      <w:pPr>
        <w:pStyle w:val="FirstParagraph"/>
      </w:pPr>
      <w:r>
        <w:t xml:space="preserve">Tám mô hình M0-M7 được xây dựng theo cấu trúc lồng nhau: mỗi mô hình sau bổ sung thêm biến so với mô hình trước, cho phép so sánh AIC/BIC và</w:t>
      </w:r>
      <w:r>
        <w:t xml:space="preserve"> </w:t>
      </w:r>
      <m:oMath>
        <m:sSup>
          <m:e>
            <m:r>
              <m:t>R</m:t>
            </m:r>
          </m:e>
          <m:sup>
            <m:r>
              <m:t>2</m:t>
            </m:r>
          </m:sup>
        </m:sSup>
      </m:oMath>
      <w:r>
        <w:t xml:space="preserve"> </w:t>
      </w:r>
      <w:r>
        <w:t xml:space="preserve">tăng thêm, và kiểm định từng giả thuyết bằng F-test theo khối. Tất cả mô hình sử dụng: biến phụ thuộc là ln(LP) = ln(doanh thu hằng năm PPP / lao động thường xuyên); sai số chuẩn vững HC1 (Long &amp; Ervin, 2000) làm chuẩn; hiệu ứng cố định quốc gia (α_j) và năm (δ_t); FSTS được tính trung tâm theo mean trước khi tính</w:t>
      </w:r>
      <w:r>
        <w:t xml:space="preserve"> </w:t>
      </w:r>
      <m:oMath>
        <m:sSup>
          <m:e>
            <m:r>
              <m:rPr>
                <m:nor/>
                <m:sty m:val="p"/>
              </m:rPr>
              <m:t>FSTS</m:t>
            </m:r>
          </m:e>
          <m:sup>
            <m:r>
              <m:t>2</m:t>
            </m:r>
          </m:sup>
        </m:sSup>
      </m:oMath>
      <w:r>
        <w:t xml:space="preserve"> </w:t>
      </w:r>
      <w:r>
        <w:t xml:space="preserve">để giảm đa cộng tuyến.</w:t>
      </w:r>
    </w:p>
    <w:p>
      <w:pPr>
        <w:pStyle w:val="BodyText"/>
      </w:pPr>
      <w:r>
        <w:t xml:space="preserve">Tiêu chí lựa chọn mô hình:</w:t>
      </w:r>
      <w:r>
        <w:t xml:space="preserve"> </w:t>
      </w:r>
      <m:oMath>
        <m:r>
          <m:t>Δ</m:t>
        </m:r>
        <m:sSup>
          <m:e>
            <m:r>
              <m:t>R</m:t>
            </m:r>
          </m:e>
          <m:sup>
            <m:r>
              <m:t>2</m:t>
            </m:r>
          </m:sup>
        </m:sSup>
      </m:oMath>
      <w:r>
        <w:t xml:space="preserve"> </w:t>
      </w:r>
      <w:r>
        <w:t xml:space="preserve">&gt; 0,01 để thêm biến điều tiết; ΔAIC &lt; −2 ủng hộ mô hình phức tạp hơn; ΔBIC &lt; −10 là bằng chứng mạnh; F-test p &lt; 0,05 để thêm khối biến. M7 được báo cáo nếu ΔAIC(M7 vs M4+M3 kết hợp) &lt; −2 VÀ F-test p &lt; 0,05.</w:t>
      </w:r>
    </w:p>
    <w:bookmarkEnd w:id="64"/>
    <w:bookmarkStart w:id="65" w:name="m0-mức-cơ-sở-tuyến-tính"/>
    <w:p>
      <w:pPr>
        <w:pStyle w:val="Heading5"/>
      </w:pPr>
      <w:r>
        <w:t xml:space="preserve">M0, Mức cơ sở tuyến tính</w:t>
      </w:r>
    </w:p>
    <w:p>
      <w:pPr>
        <w:pStyle w:val="FirstParagraph"/>
      </w:pPr>
    </w:p>
    <w:p>
      <w:pPr>
        <w:pStyle w:val="BodyText"/>
      </w:pPr>
      <w:r>
        <w:t xml:space="preserve">Mục đích: thiết lập mức cơ sở và kiểm tra hướng tác động tuyến tính thuần túy.</w:t>
      </w:r>
      <w:r>
        <w:t xml:space="preserve"> </w:t>
      </w:r>
      <w:r>
        <w:t xml:space="preserve">Kỳ vọng:</w:t>
      </w:r>
      <w:r>
        <w:t xml:space="preserve"> </w:t>
      </w:r>
      <m:oMath>
        <m:sSub>
          <m:e>
            <m:r>
              <m:t>β</m:t>
            </m:r>
          </m:e>
          <m:sub>
            <m:r>
              <m:t>1</m:t>
            </m:r>
          </m:sub>
        </m:sSub>
      </m:oMath>
      <w:r>
        <w:t xml:space="preserve"> </w:t>
      </w:r>
      <w:r>
        <w:t xml:space="preserve">&gt; 0 (tác động dương trung bình của xuất khẩu).</w:t>
      </w:r>
      <w:r>
        <w:t xml:space="preserve"> </w:t>
      </w:r>
      <w:r>
        <w:t xml:space="preserve">Hạn chế: không nắm bắt được phi tuyến tính, cung cấp ước lượng cận dưới cho tác động quốc tế hóa.</w:t>
      </w:r>
    </w:p>
    <w:bookmarkEnd w:id="65"/>
    <w:bookmarkStart w:id="66" w:name="X75646ecbe4363f90b6d09bbb84a86967944c7db"/>
    <w:p>
      <w:pPr>
        <w:pStyle w:val="Heading5"/>
      </w:pPr>
      <w:r>
        <w:t xml:space="preserve">M1, Chữ U ngược bậc hai (kiểm định H1 bậc hai)</w:t>
      </w:r>
    </w:p>
    <w:p>
      <w:pPr>
        <w:pStyle w:val="FirstParagraph"/>
      </w:pPr>
    </w:p>
    <w:p>
      <w:pPr>
        <w:pStyle w:val="BodyText"/>
      </w:pPr>
      <w:r>
        <w:t xml:space="preserve">Mục đích: kiểm định chữ U ngược trong H1, dạng hàm phổ biến nhất trong các nghiên cứu.</w:t>
      </w:r>
      <w:r>
        <w:t xml:space="preserve"> </w:t>
      </w:r>
      <w:r>
        <w:t xml:space="preserve">Kỳ vọng:</w:t>
      </w:r>
      <w:r>
        <w:t xml:space="preserve"> </w:t>
      </w: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w:t>
      </w:r>
      <w:r>
        <w:t xml:space="preserve"> </w:t>
      </w:r>
      <w:r>
        <w:t xml:space="preserve">Điểm uốn: TP₁ = −</w:t>
      </w:r>
      <m:oMath>
        <m:sSub>
          <m:e>
            <m:r>
              <m:t>β</m:t>
            </m:r>
          </m:e>
          <m:sub>
            <m:r>
              <m:t>1</m:t>
            </m:r>
          </m:sub>
        </m:sSub>
      </m:oMath>
      <w:r>
        <w:t xml:space="preserve">/(2</w:t>
      </w:r>
      <m:oMath>
        <m:sSub>
          <m:e>
            <m:r>
              <m:t>β</m:t>
            </m:r>
          </m:e>
          <m:sub>
            <m:r>
              <m:t>2</m:t>
            </m:r>
          </m:sub>
        </m:sSub>
      </m:oMath>
      <w:r>
        <w:t xml:space="preserve">), mức FSTS tối ưu (trên thang mean-centered).</w:t>
      </w:r>
      <w:r>
        <w:t xml:space="preserve"> </w:t>
      </w:r>
      <w:r>
        <w:t xml:space="preserve">Kiểm định bổ sung: Lind-Mehlum (2010) để xác nhận chữ U ngược thực sự.</w:t>
      </w:r>
    </w:p>
    <w:bookmarkEnd w:id="66"/>
    <w:bookmarkStart w:id="67" w:name="m2-s-curve-bậc-ba-kiểm-định-h1-đầy-đủ"/>
    <w:p>
      <w:pPr>
        <w:pStyle w:val="Heading5"/>
      </w:pPr>
      <w:r>
        <w:t xml:space="preserve">M2, S-curve bậc ba (kiểm định H1 đầy đủ)</w:t>
      </w:r>
    </w:p>
    <w:p>
      <w:pPr>
        <w:pStyle w:val="FirstParagraph"/>
      </w:pPr>
    </w:p>
    <w:p>
      <w:pPr>
        <w:pStyle w:val="BodyText"/>
      </w:pPr>
      <w:r>
        <w:t xml:space="preserve">Mục đích: kiểm định S-curve ba giai đoạn (Lu &amp; Beamish, 2004; Contractor et al., 2003).</w:t>
      </w:r>
      <w:r>
        <w:t xml:space="preserve"> </w:t>
      </w:r>
      <w:r>
        <w:t xml:space="preserve">Kỳ vọng:</w:t>
      </w:r>
      <w:r>
        <w:t xml:space="preserve"> </w:t>
      </w: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w:t>
      </w:r>
      <w:r>
        <w:t xml:space="preserve"> </w:t>
      </w:r>
      <m:oMath>
        <m:sSub>
          <m:e>
            <m:r>
              <m:t>β</m:t>
            </m:r>
          </m:e>
          <m:sub>
            <m:r>
              <m:t>3</m:t>
            </m:r>
          </m:sub>
        </m:sSub>
      </m:oMath>
      <w:r>
        <w:t xml:space="preserve"> </w:t>
      </w:r>
      <w:r>
        <w:t xml:space="preserve">&gt; 0.</w:t>
      </w:r>
      <w:r>
        <w:t xml:space="preserve"> </w:t>
      </w:r>
      <w:r>
        <w:t xml:space="preserve">Lựa chọn mô hình: so sánh M1 và M2 bằng AIC, BIC, và F-test</w:t>
      </w:r>
      <w:r>
        <w:t xml:space="preserve"> </w:t>
      </w:r>
      <m:oMath>
        <m:sSub>
          <m:e>
            <m:r>
              <m:t>β</m:t>
            </m:r>
          </m:e>
          <m:sub>
            <m:r>
              <m:t>3</m:t>
            </m:r>
          </m:sub>
        </m:sSub>
      </m:oMath>
      <w:r>
        <w:t xml:space="preserve"> </w:t>
      </w:r>
      <w:r>
        <w:t xml:space="preserve">= 0.</w:t>
      </w:r>
    </w:p>
    <w:bookmarkEnd w:id="67"/>
    <w:bookmarkStart w:id="68" w:name="m3-điều-tiết-tci-kiểm-định-h2"/>
    <w:p>
      <w:pPr>
        <w:pStyle w:val="Heading5"/>
      </w:pPr>
      <w:r>
        <w:t xml:space="preserve">M3, + Điều tiết TCI (kiểm định H2)</w:t>
      </w:r>
    </w:p>
    <w:p>
      <w:pPr>
        <w:pStyle w:val="FirstParagraph"/>
      </w:pPr>
    </w:p>
    <w:p>
      <w:pPr>
        <w:pStyle w:val="BodyText"/>
      </w:pPr>
      <w:r>
        <w:t xml:space="preserve">Mục đích: kiểm định H2, TCI là nâng mặt bằng (</w:t>
      </w:r>
      <m:oMath>
        <m:sSub>
          <m:e>
            <m:r>
              <m:t>β</m:t>
            </m:r>
          </m:e>
          <m:sub>
            <m:r>
              <m:t>3</m:t>
            </m:r>
          </m:sub>
        </m:sSub>
      </m:oMath>
      <w:r>
        <w:t xml:space="preserve"> </w:t>
      </w:r>
      <w:r>
        <w:t xml:space="preserve">&gt; 0) và/hoặc điều tiết độ cong (</w:t>
      </w:r>
      <m:oMath>
        <m:sSub>
          <m:e>
            <m:r>
              <m:t>β</m:t>
            </m:r>
          </m:e>
          <m:sub>
            <m:r>
              <m:t>4</m:t>
            </m:r>
          </m:sub>
        </m:sSub>
      </m:oMath>
      <w:r>
        <w:t xml:space="preserve">,</w:t>
      </w:r>
      <w:r>
        <w:t xml:space="preserve"> </w:t>
      </w:r>
      <m:oMath>
        <m:sSub>
          <m:e>
            <m:r>
              <m:t>β</m:t>
            </m:r>
          </m:e>
          <m:sub>
            <m:r>
              <m:t>5</m:t>
            </m:r>
          </m:sub>
        </m:sSub>
      </m:oMath>
      <w:r>
        <w:t xml:space="preserve">).</w:t>
      </w:r>
      <w:r>
        <w:t xml:space="preserve"> </w:t>
      </w:r>
      <w:r>
        <w:t xml:space="preserve">Kỳ vọng chính:</w:t>
      </w:r>
      <w:r>
        <w:t xml:space="preserve"> </w:t>
      </w:r>
      <m:oMath>
        <m:sSub>
          <m:e>
            <m:r>
              <m:t>β</m:t>
            </m:r>
          </m:e>
          <m:sub>
            <m:r>
              <m:t>3</m:t>
            </m:r>
          </m:sub>
        </m:sSub>
      </m:oMath>
      <w:r>
        <w:t xml:space="preserve"> </w:t>
      </w:r>
      <w:r>
        <w:t xml:space="preserve">&gt; 0 (hiệu ứng TCI trực tiếp).</w:t>
      </w:r>
      <w:r>
        <w:t xml:space="preserve"> </w:t>
      </w:r>
      <w:r>
        <w:t xml:space="preserve">Kiểm định: F-test (</w:t>
      </w:r>
      <m:oMath>
        <m:sSub>
          <m:e>
            <m:r>
              <m:t>β</m:t>
            </m:r>
          </m:e>
          <m:sub>
            <m:r>
              <m:t>4</m:t>
            </m:r>
          </m:sub>
        </m:sSub>
      </m:oMath>
      <w:r>
        <w:t xml:space="preserve"> </w:t>
      </w:r>
      <w:r>
        <w:t xml:space="preserve">=</w:t>
      </w:r>
      <w:r>
        <w:t xml:space="preserve"> </w:t>
      </w:r>
      <m:oMath>
        <m:sSub>
          <m:e>
            <m:r>
              <m:t>β</m:t>
            </m:r>
          </m:e>
          <m:sub>
            <m:r>
              <m:t>5</m:t>
            </m:r>
          </m:sub>
        </m:sSub>
      </m:oMath>
      <w:r>
        <w:t xml:space="preserve"> </w:t>
      </w:r>
      <w:r>
        <w:t xml:space="preserve">= 0) = kiểm định tác động điều tiết đồng thời (joint moderation); nếu p &gt; 0,10 thì TCI là nâng mặt bằng thuần túy.</w:t>
      </w:r>
    </w:p>
    <w:bookmarkEnd w:id="68"/>
    <w:bookmarkStart w:id="69" w:name="m4-điều-tiết-dai-kiểm-định-h3"/>
    <w:p>
      <w:pPr>
        <w:pStyle w:val="Heading5"/>
      </w:pPr>
      <w:r>
        <w:t xml:space="preserve">M4, + Điều tiết DAI (kiểm định H3)</w:t>
      </w:r>
    </w:p>
    <w:p>
      <w:pPr>
        <w:pStyle w:val="FirstParagraph"/>
      </w:pPr>
    </w:p>
    <w:p>
      <w:pPr>
        <w:pStyle w:val="BodyText"/>
      </w:pPr>
      <w:r>
        <w:t xml:space="preserve">Mục đích: kiểm định H3, DAI là năng lực phụ thuộc bối cảnh.</w:t>
      </w:r>
      <w:r>
        <w:t xml:space="preserve"> </w:t>
      </w:r>
      <w:r>
        <w:t xml:space="preserve">Kỳ vọng:</w:t>
      </w:r>
      <w:r>
        <w:t xml:space="preserve"> </w:t>
      </w:r>
      <m:oMath>
        <m:sSub>
          <m:e>
            <m:r>
              <m:t>β</m:t>
            </m:r>
          </m:e>
          <m:sub>
            <m:r>
              <m:t>5</m:t>
            </m:r>
          </m:sub>
        </m:sSub>
      </m:oMath>
      <w:r>
        <w:t xml:space="preserve">(</w:t>
      </w:r>
      <m:oMath>
        <m:sSup>
          <m:e>
            <m:r>
              <m:rPr>
                <m:nor/>
                <m:sty m:val="p"/>
              </m:rPr>
              <m:t>FSTS</m:t>
            </m:r>
          </m:e>
          <m:sup>
            <m:r>
              <m:t>2</m:t>
            </m:r>
          </m:sup>
        </m:sSup>
      </m:oMath>
      <w:r>
        <w:t xml:space="preserve">×DAI) &gt; 0 trong Nhóm I (nhất quán phân tích Singapore +3,119);</w:t>
      </w:r>
      <w:r>
        <w:t xml:space="preserve"> </w:t>
      </w:r>
      <m:oMath>
        <m:sSub>
          <m:e>
            <m:r>
              <m:t>β</m:t>
            </m:r>
          </m:e>
          <m:sub>
            <m:r>
              <m:t>3</m:t>
            </m:r>
          </m:sub>
        </m:sSub>
      </m:oMath>
      <w:r>
        <w:t xml:space="preserve">(DAI trực tiếp) tiến tới 0 khi kiểm soát chọn lựa (nhất quán phân tích Việt Nam IV null).</w:t>
      </w:r>
      <w:r>
        <w:t xml:space="preserve"> </w:t>
      </w:r>
      <w:r>
        <w:t xml:space="preserve">Lưu ý IV: trong mẫu con Nhóm IV, nếu có biến công cụ hợp lệ, chạy 2SLS để phân biệt DAI nhân quả vs. phụ thuộc chọn lựa.</w:t>
      </w:r>
    </w:p>
    <w:bookmarkEnd w:id="69"/>
    <w:bookmarkStart w:id="70" w:name="X44a152ad15e7ef43c8f072ef92ee6e82a8e3ee1"/>
    <w:p>
      <w:pPr>
        <w:pStyle w:val="Heading5"/>
      </w:pPr>
      <w:r>
        <w:t xml:space="preserve">M5, + Khối kiểm soát quản trị nội sinh (ước lượng H4a/H4b/H4c như kiểm soát)</w:t>
      </w:r>
    </w:p>
    <w:p>
      <w:pPr>
        <w:pStyle w:val="FirstParagraph"/>
      </w:pPr>
    </w:p>
    <w:p>
      <w:pPr>
        <w:pStyle w:val="BodyText"/>
      </w:pPr>
      <w:r>
        <w:t xml:space="preserve">Mục đích: ước lượng khối kiểm soát quản trị nội sinh để kiểm tra rằng tương tác Thể chế × Công nghệ trọng tâm (M3, M4, M6, M7) vững trước khi và sau khi đưa đặc điểm nhà quản trị vào. Biến Manager gồm: exp_manager (b5, H4a), educ_manager (b7a, H4b), gender_manager (b7, H4c). Trong đặc tả trọng tâm, các biến này được đưa vào ở dạng số hạng chính (kiểm soát mức); số hạng tương tác FSTS×Manager chỉ được báo cáo như chẩn đoán phụ trợ, không phải bằng chứng điều tiết trọng tâm.</w:t>
      </w:r>
      <w:r>
        <w:t xml:space="preserve"> </w:t>
      </w:r>
      <w:r>
        <w:t xml:space="preserve">Kỳ vọng (mức kiểm soát): δ_exp &gt; 0 [H4a]; δ_educ &gt; 0 [H4b]; gender_manager báo cáo two-sided, không có kỳ vọng tiên nghiệm [H4c]. Việc đặc điểm nhà quản trị vào tập kiểm soát chứ không phải trục điều tiết giúp cô lập hiệu ứng nhân quả của tương tác Thể chế × Công nghệ và tránh</w:t>
      </w:r>
      <w:r>
        <w:t xml:space="preserve"> </w:t>
      </w:r>
      <w:r>
        <w:t xml:space="preserve">“</w:t>
      </w:r>
      <w:r>
        <w:t xml:space="preserve">Kitchen Sink Modeling</w:t>
      </w:r>
      <w:r>
        <w:t xml:space="preserve">”</w:t>
      </w:r>
      <w:r>
        <w:t xml:space="preserve">.</w:t>
      </w:r>
    </w:p>
    <w:bookmarkEnd w:id="70"/>
    <w:bookmarkStart w:id="71" w:name="m6-chế-độ-thể-chế-icrv-kiểm-định-h5"/>
    <w:p>
      <w:pPr>
        <w:pStyle w:val="Heading5"/>
      </w:pPr>
      <w:r>
        <w:t xml:space="preserve">M6, + Chế độ thể chế ICRV (kiểm định H5)</w:t>
      </w:r>
    </w:p>
    <w:p>
      <w:pPr>
        <w:pStyle w:val="FirstParagraph"/>
      </w:pPr>
    </w:p>
    <w:p>
      <w:pPr>
        <w:pStyle w:val="BodyText"/>
      </w:pPr>
      <w:r>
        <w:t xml:space="preserve">Mục đích: kiểm định H5, dải biến thiên ICRV và gánh nặng bắt buộc (Nhóm VI).</w:t>
      </w:r>
      <w:r>
        <w:t xml:space="preserve"> </w:t>
      </w:r>
      <w:r>
        <w:t xml:space="preserve">Nhóm tham chiếu: Nhóm I (tiên tiến đổi mới).</w:t>
      </w:r>
      <w:r>
        <w:t xml:space="preserve"> </w:t>
      </w:r>
      <w:r>
        <w:t xml:space="preserve">Kỳ vọng: độ cong (concavity / biên độ) sâu dần theo j khi chất lượng thể chế suy giảm, tức</w:t>
      </w:r>
      <w:r>
        <w:t xml:space="preserve"> </w:t>
      </w:r>
      <m:oMath>
        <m:d>
          <m:dPr>
            <m:begChr m:val="|"/>
            <m:endChr m:val="|"/>
            <m:sepChr m:val=""/>
            <m:grow/>
          </m:dPr>
          <m:e>
            <m:sSub>
              <m:e>
                <m:r>
                  <m:t>β</m:t>
                </m:r>
              </m:e>
              <m:sub>
                <m:r>
                  <m:t>2</m:t>
                </m:r>
              </m:sub>
            </m:sSub>
          </m:e>
        </m:d>
      </m:oMath>
      <w:r>
        <w:t xml:space="preserve"> </w:t>
      </w:r>
      <w:r>
        <w:t xml:space="preserve">tăng dần (Nhóm II đến VI), trong khi điểm uốn theo nhóm không dịch chuyển đơn điệu; Nhóm VI có β(FSTS×ICRV_VI)</w:t>
      </w:r>
      <w:r>
        <w:t xml:space="preserve"> </w:t>
      </w:r>
      <m:oMath>
        <m:r>
          <m:rPr>
            <m:sty m:val="p"/>
          </m:rPr>
          <m:t>≤</m:t>
        </m:r>
      </m:oMath>
      <w:r>
        <w:t xml:space="preserve"> </w:t>
      </w:r>
      <w:r>
        <w:t xml:space="preserve">0.</w:t>
      </w:r>
      <w:r>
        <w:t xml:space="preserve"> </w:t>
      </w:r>
      <w:r>
        <w:t xml:space="preserve">Lưu ý: hiệu ứng cố định quốc gia (country FE) bị loại trong M6 do ICRV_j là biến cấp quốc gia bất biến theo thời gian, thay bằng year FE + region FE (6 vùng).</w:t>
      </w:r>
    </w:p>
    <w:bookmarkEnd w:id="71"/>
    <w:bookmarkStart w:id="72" w:name="Xf830d1be5186ac8af15f5b67785ac8d9f713bf8"/>
    <w:p>
      <w:pPr>
        <w:pStyle w:val="Heading5"/>
      </w:pPr>
      <w:r>
        <w:t xml:space="preserve">M7, Điều tiết ba chiều tổng lực (kiểm định H2 + H3 + H6 đồng thời)</w:t>
      </w:r>
    </w:p>
    <w:p>
      <w:pPr>
        <w:pStyle w:val="FirstParagraph"/>
      </w:pPr>
    </w:p>
    <w:p>
      <w:pPr>
        <w:pStyle w:val="BodyText"/>
      </w:pPr>
      <w:r>
        <w:t xml:space="preserve">trong đó X_i gồm: ln_employees, firm_age, foreign_own ($</w:t>
      </w:r>
      <w:r>
        <w:t xml:space="preserve">$10%), sector dummies; α_j = country FE; δ_t = year FE.</w:t>
      </w:r>
    </w:p>
    <w:p>
      <w:pPr>
        <w:pStyle w:val="BodyText"/>
      </w:pPr>
      <w:r>
        <w:t xml:space="preserve">Mục đích: mô hình tổng lực kiểm định H2 (TCI), H3 (DAI), và H6 (thời gian) đồng thời.</w:t>
      </w:r>
      <w:r>
        <w:t xml:space="preserve"> </w:t>
      </w:r>
      <w:r>
        <w:t xml:space="preserve">Kỳ vọng trọng tâm:</w:t>
      </w:r>
      <w:r>
        <w:t xml:space="preserve"> </w:t>
      </w:r>
      <m:oMath>
        <m:sSub>
          <m:e>
            <m:r>
              <m:t>β</m:t>
            </m:r>
          </m:e>
          <m:sub>
            <m:r>
              <m:t>8</m:t>
            </m:r>
          </m:sub>
        </m:sSub>
      </m:oMath>
      <w:r>
        <w:t xml:space="preserve">(</w:t>
      </w:r>
      <m:oMath>
        <m:sSup>
          <m:e>
            <m:r>
              <m:rPr>
                <m:nor/>
                <m:sty m:val="p"/>
              </m:rPr>
              <m:t>FSTS</m:t>
            </m:r>
          </m:e>
          <m:sup>
            <m:r>
              <m:t>2</m:t>
            </m:r>
          </m:sup>
        </m:sSup>
      </m:oMath>
      <w:r>
        <w:t xml:space="preserve">×DAI) &gt; 0 trong Nhóm I;</w:t>
      </w:r>
      <w:r>
        <w:t xml:space="preserve"> </w:t>
      </w:r>
      <m:oMath>
        <m:sSub>
          <m:e>
            <m:r>
              <m:t>β</m:t>
            </m:r>
          </m:e>
          <m:sub>
            <m:r>
              <m:t>3</m:t>
            </m:r>
          </m:sub>
        </m:sSub>
      </m:oMath>
      <w:r>
        <w:t xml:space="preserve">(TCI) &gt; 0;</w:t>
      </w:r>
      <w:r>
        <w:t xml:space="preserve"> </w:t>
      </w:r>
      <m:oMath>
        <m:sSub>
          <m:e>
            <m:r>
              <m:t>β</m:t>
            </m:r>
          </m:e>
          <m:sub>
            <m:r>
              <m:t>1</m:t>
            </m:r>
          </m:sub>
        </m:sSub>
      </m:oMath>
      <w:r>
        <w:t xml:space="preserve">₂/</w:t>
      </w:r>
      <m:oMath>
        <m:sSub>
          <m:e>
            <m:r>
              <m:t>β</m:t>
            </m:r>
          </m:e>
          <m:sub>
            <m:r>
              <m:t>1</m:t>
            </m:r>
          </m:sub>
        </m:sSub>
      </m:oMath>
      <w:r>
        <w:t xml:space="preserve">₃</w:t>
      </w:r>
      <w:r>
        <w:t xml:space="preserve"> </w:t>
      </w:r>
      <m:oMath>
        <m:r>
          <m:rPr>
            <m:sty m:val="p"/>
          </m:rPr>
          <m:t>≠</m:t>
        </m:r>
      </m:oMath>
      <w:r>
        <w:t xml:space="preserve"> </w:t>
      </w:r>
      <m:oMath>
        <m:sSub>
          <m:e>
            <m:r>
              <m:t>β</m:t>
            </m:r>
          </m:e>
          <m:sub>
            <m:r>
              <m:t>1</m:t>
            </m:r>
          </m:sub>
        </m:sSub>
      </m:oMath>
      <w:r>
        <w:t xml:space="preserve">₀/</w:t>
      </w:r>
      <m:oMath>
        <m:sSub>
          <m:e>
            <m:r>
              <m:t>β</m:t>
            </m:r>
          </m:e>
          <m:sub>
            <m:r>
              <m:t>1</m:t>
            </m:r>
          </m:sub>
        </m:sSub>
      </m:oMath>
      <w:r>
        <w:t xml:space="preserve">₁ (dịch chuyển thời gian).</w:t>
      </w:r>
      <w:r>
        <w:t xml:space="preserve"> </w:t>
      </w:r>
      <w:r>
        <w:t xml:space="preserve">Yêu cầu mẫu: với k = 13 tham số trọng tâm cộng các biến kiểm soát, n</w:t>
      </w:r>
      <w:r>
        <w:t xml:space="preserve"> </w:t>
      </w:r>
      <m:oMath>
        <m:r>
          <m:rPr>
            <m:sty m:val="p"/>
          </m:rPr>
          <m:t>≥</m:t>
        </m:r>
      </m:oMath>
      <w:r>
        <w:t xml:space="preserve"> </w:t>
      </w:r>
      <w:r>
        <w:t xml:space="preserve">5.000 cần thiết cho power &gt; 0,80 tại</w:t>
      </w:r>
      <w:r>
        <w:t xml:space="preserve"> </w:t>
      </w:r>
      <m:oMath>
        <m:sSup>
          <m:e>
            <m:r>
              <m:t>f</m:t>
            </m:r>
          </m:e>
          <m:sup>
            <m:r>
              <m:t>2</m:t>
            </m:r>
          </m:sup>
        </m:sSup>
      </m:oMath>
      <w:r>
        <w:t xml:space="preserve"> </w:t>
      </w:r>
      <w:r>
        <w:t xml:space="preserve">= 0,02, dễ dàng đáp ứng với pool 101.185.</w:t>
      </w:r>
    </w:p>
    <w:p>
      <w:pPr>
        <w:pStyle w:val="BodyText"/>
      </w:pPr>
      <w:r>
        <w:t xml:space="preserve">Ranh giới cấu trúc của tương tác ba chiều và Lá chắn số hai chiều. Bằng chứng tổng hợp từ phân tích đa quốc gia (N = 82.302 ở M2 đến 98.658 ở pool, 45 nền kinh tế) cho thấy hai kết quả cần được diễn giải tách bạch, và đây là một trong những thông điệp sắc nét nhất của khung. Thứ nhất, tương tác ba chiều FSTS×DAI×ICRV cho hệ số gần như bằng không và không có ý nghĩa thống kê (β</w:t>
      </w:r>
      <w:r>
        <w:t xml:space="preserve"> </w:t>
      </w:r>
      <m:oMath>
        <m:r>
          <m:rPr>
            <m:sty m:val="p"/>
          </m:rPr>
          <m:t>≈</m:t>
        </m:r>
      </m:oMath>
      <w:r>
        <w:t xml:space="preserve"> </w:t>
      </w:r>
      <w:r>
        <w:t xml:space="preserve">−0,001). Kết quả này không phải lỗi dữ liệu hay điều cần biện hộ, mà là một ranh giới cấu trúc (structural boundary): một website tĩnh ở Tier-1 không đủ sức tái định hình hình dạng của đường cong I-P trong những thị trường có ma sát thể chế cao. Nói cách khác, đây là bằng chứng về sự lỗi thời của công nghệ số bề mặt, công nghệ Tier-1 đã trở thành tiện ích phổ cập (commodity) và mất khả năng làm đòn bẩy chiến lược cho cấu trúc lợi nhuận theo cường độ xuất khẩu. Thứ hai, và quan trọng hơn về mặt lý thuyết, tương tác hai chiều DAI×ICRV,</w:t>
      </w:r>
      <w:r>
        <w:t xml:space="preserve"> </w:t>
      </w:r>
      <w:r>
        <w:t xml:space="preserve">“</w:t>
      </w:r>
      <w:r>
        <w:t xml:space="preserve">Lá chắn số</w:t>
      </w:r>
      <w:r>
        <w:t xml:space="preserve">”</w:t>
      </w:r>
      <w:r>
        <w:t xml:space="preserve"> </w:t>
      </w:r>
      <w:r>
        <w:t xml:space="preserve">(Digital Shield), lại có ý nghĩa (p = 0,049): năng lực số nền tảng phát huy vai trò bảo vệ năng suất mạnh nhất chính ở những chế độ thể chế yếu, nơi nó bù đắp một phần khoảng trống thể chế (institutional voids) bằng cách hạ chi phí giao dịch và mở rộng tiếp cận thị trường ảo. Như vậy, DAI không định hình lại độ cong của đường cong (vai trò ba chiều null) nhưng vẫn nâng và giữ mặt bằng năng suất trong môi trường thể chế bất lợi (vai trò hai chiều có ý nghĩa). Sự đối lập giữa một null ba chiều mang tính ranh giới và một hiệu ứng hai chiều có ý nghĩa là bằng chứng trực tiếp cho luận điểm CDCM rằng DAI là nguồn lực phụ thuộc bối cảnh, không phải đòn bẩy đồng nhất. Giá trị thực nghiệm cốt lõi của khung CDCM do đó nằm ở tương tác hai chiều DAI×ICRV (cơ chế thay thế số cho thể chế), chứ không ở tương tác ba chiều; đây là sự dịch chuyển trọng tâm bằng chứng từ một kỳ vọng tham vọng ban đầu sang một phát hiện chặt chẽ, khả thi và có ý nghĩa lý thuyết hơn cho Lý thuyết thể chế.</w:t>
      </w:r>
    </w:p>
    <w:bookmarkEnd w:id="72"/>
    <w:bookmarkStart w:id="73" w:name="bảng-tổng-hợp-mô-hình"/>
    <w:p>
      <w:pPr>
        <w:pStyle w:val="Heading5"/>
      </w:pPr>
      <w:r>
        <w:t xml:space="preserve">Bảng tổng hợp mô hình</w:t>
      </w:r>
    </w:p>
    <w:p>
      <w:pPr>
        <w:pStyle w:val="FirstParagraph"/>
      </w:pPr>
      <w:r>
        <w:t xml:space="preserve">Bảng 2.7. Tám mô hình M0-M7, cấu trúc, giả thuyết kiểm định, và biến bổ sung.</w:t>
      </w:r>
    </w:p>
    <w:tbl>
      <w:tblPr>
        <w:tblStyle w:val="Table"/>
        <w:tblW w:type="pct" w:w="5000"/>
        <w:tblLook w:firstRow="1" w:lastRow="0" w:firstColumn="0" w:lastColumn="0" w:noHBand="0" w:noVBand="0" w:val="0020"/>
        <w:jc w:val="start"/>
      </w:tblPr>
      <w:tblGrid>
        <w:gridCol w:w="990"/>
        <w:gridCol w:w="3740"/>
        <w:gridCol w:w="1320"/>
        <w:gridCol w:w="1870"/>
      </w:tblGrid>
      <w:tr>
        <w:trPr>
          <w:tblHeader w:val="true"/>
        </w:trPr>
        <w:tc>
          <w:tcPr/>
          <w:p>
            <w:pPr>
              <w:pStyle w:val="Compact"/>
              <w:jc w:val="left"/>
            </w:pPr>
            <w:r>
              <w:t xml:space="preserve">Mô hình</w:t>
            </w:r>
          </w:p>
        </w:tc>
        <w:tc>
          <w:tcPr/>
          <w:p>
            <w:pPr>
              <w:pStyle w:val="Compact"/>
              <w:jc w:val="left"/>
            </w:pPr>
            <w:r>
              <w:t xml:space="preserve">Biến bổ sung so với mô hình trước</w:t>
            </w:r>
          </w:p>
        </w:tc>
        <w:tc>
          <w:tcPr/>
          <w:p>
            <w:pPr>
              <w:pStyle w:val="Compact"/>
              <w:jc w:val="left"/>
            </w:pPr>
            <w:r>
              <w:t xml:space="preserve">Giả thuyết</w:t>
            </w:r>
          </w:p>
        </w:tc>
        <w:tc>
          <w:tcPr/>
          <w:p>
            <w:pPr>
              <w:pStyle w:val="Compact"/>
              <w:jc w:val="left"/>
            </w:pPr>
            <w:r>
              <w:t xml:space="preserve">Kiểm định chính</w:t>
            </w:r>
          </w:p>
        </w:tc>
      </w:tr>
      <w:tr>
        <w:tc>
          <w:tcPr/>
          <w:p>
            <w:pPr>
              <w:pStyle w:val="Compact"/>
              <w:jc w:val="left"/>
            </w:pPr>
            <w:r>
              <w:t xml:space="preserve">M0</w:t>
            </w:r>
          </w:p>
        </w:tc>
        <w:tc>
          <w:tcPr/>
          <w:p>
            <w:pPr>
              <w:pStyle w:val="Compact"/>
              <w:jc w:val="left"/>
            </w:pPr>
            <w:r>
              <w:t xml:space="preserve">FSTS (tuyến tính)</w:t>
            </w:r>
          </w:p>
        </w:tc>
        <w:tc>
          <w:tcPr/>
          <w:p>
            <w:pPr>
              <w:pStyle w:val="Compact"/>
              <w:jc w:val="left"/>
            </w:pPr>
            <w:r>
              <w:t xml:space="preserve">Mức cơ sở</w:t>
            </w:r>
          </w:p>
        </w:tc>
        <w:tc>
          <w:tcPr/>
          <w:p>
            <w:pPr>
              <w:pStyle w:val="Compact"/>
              <w:jc w:val="left"/>
            </w:pPr>
            <m:oMath>
              <m:sSub>
                <m:e>
                  <m:r>
                    <m:t>β</m:t>
                  </m:r>
                </m:e>
                <m:sub>
                  <m:r>
                    <m:t>1</m:t>
                  </m:r>
                </m:sub>
              </m:sSub>
            </m:oMath>
            <w:r>
              <w:t xml:space="preserve"> </w:t>
            </w:r>
            <w:r>
              <w:t xml:space="preserve">&gt; 0</w:t>
            </w:r>
          </w:p>
        </w:tc>
      </w:tr>
      <w:tr>
        <w:tc>
          <w:tcPr/>
          <w:p>
            <w:pPr>
              <w:pStyle w:val="Compact"/>
              <w:jc w:val="left"/>
            </w:pPr>
            <w:r>
              <w:t xml:space="preserve">M1</w:t>
            </w:r>
          </w:p>
        </w:tc>
        <w:tc>
          <w:tcPr/>
          <w:p>
            <w:pPr>
              <w:pStyle w:val="Compact"/>
              <w:jc w:val="left"/>
            </w:pPr>
            <w:r>
              <w:t xml:space="preserve">+</w:t>
            </w:r>
            <w:r>
              <w:t xml:space="preserve"> </w:t>
            </w:r>
            <m:oMath>
              <m:sSup>
                <m:e>
                  <m:r>
                    <m:rPr>
                      <m:nor/>
                      <m:sty m:val="p"/>
                    </m:rPr>
                    <m:t>FSTS</m:t>
                  </m:r>
                </m:e>
                <m:sup>
                  <m:r>
                    <m:t>2</m:t>
                  </m:r>
                </m:sup>
              </m:sSup>
            </m:oMath>
          </w:p>
        </w:tc>
        <w:tc>
          <w:tcPr/>
          <w:p>
            <w:pPr>
              <w:pStyle w:val="Compact"/>
              <w:jc w:val="left"/>
            </w:pPr>
            <w:r>
              <w:t xml:space="preserve">H1 (chữ U ngược)</w:t>
            </w:r>
          </w:p>
        </w:tc>
        <w:tc>
          <w:tcPr/>
          <w:p>
            <w:pPr>
              <w:pStyle w:val="Compact"/>
              <w:jc w:val="left"/>
            </w:pPr>
            <m:oMath>
              <m:sSub>
                <m:e>
                  <m:r>
                    <m:t>β</m:t>
                  </m:r>
                </m:e>
                <m:sub>
                  <m:r>
                    <m:t>2</m:t>
                  </m:r>
                </m:sub>
              </m:sSub>
            </m:oMath>
            <w:r>
              <w:t xml:space="preserve"> </w:t>
            </w:r>
            <w:r>
              <w:t xml:space="preserve">&lt; 0; Lind-Mehlum</w:t>
            </w:r>
          </w:p>
        </w:tc>
      </w:tr>
      <w:tr>
        <w:tc>
          <w:tcPr/>
          <w:p>
            <w:pPr>
              <w:pStyle w:val="Compact"/>
              <w:jc w:val="left"/>
            </w:pPr>
            <w:r>
              <w:t xml:space="preserve">M2</w:t>
            </w:r>
          </w:p>
        </w:tc>
        <w:tc>
          <w:tcPr/>
          <w:p>
            <w:pPr>
              <w:pStyle w:val="Compact"/>
              <w:jc w:val="left"/>
            </w:pPr>
            <w:r>
              <w:t xml:space="preserve">+</w:t>
            </w:r>
            <w:r>
              <w:t xml:space="preserve"> </w:t>
            </w:r>
            <m:oMath>
              <m:sSup>
                <m:e>
                  <m:r>
                    <m:rPr>
                      <m:nor/>
                      <m:sty m:val="p"/>
                    </m:rPr>
                    <m:t>FSTS</m:t>
                  </m:r>
                </m:e>
                <m:sup>
                  <m:r>
                    <m:t>3</m:t>
                  </m:r>
                </m:sup>
              </m:sSup>
            </m:oMath>
          </w:p>
        </w:tc>
        <w:tc>
          <w:tcPr/>
          <w:p>
            <w:pPr>
              <w:pStyle w:val="Compact"/>
              <w:jc w:val="left"/>
            </w:pPr>
            <w:r>
              <w:t xml:space="preserve">H1 (S-curve)</w:t>
            </w:r>
          </w:p>
        </w:tc>
        <w:tc>
          <w:tcPr/>
          <w:p>
            <w:pPr>
              <w:pStyle w:val="Compact"/>
              <w:jc w:val="left"/>
            </w:pPr>
            <m:oMath>
              <m:sSub>
                <m:e>
                  <m:r>
                    <m:t>β</m:t>
                  </m:r>
                </m:e>
                <m:sub>
                  <m:r>
                    <m:t>3</m:t>
                  </m:r>
                </m:sub>
              </m:sSub>
            </m:oMath>
            <w:r>
              <w:t xml:space="preserve"> </w:t>
            </w:r>
            <w:r>
              <w:t xml:space="preserve">&gt; 0; F-test</w:t>
            </w:r>
            <w:r>
              <w:t xml:space="preserve"> </w:t>
            </w:r>
            <m:oMath>
              <m:sSub>
                <m:e>
                  <m:r>
                    <m:t>β</m:t>
                  </m:r>
                </m:e>
                <m:sub>
                  <m:r>
                    <m:t>3</m:t>
                  </m:r>
                </m:sub>
              </m:sSub>
            </m:oMath>
            <w:r>
              <w:t xml:space="preserve"> </w:t>
            </w:r>
            <w:r>
              <w:t xml:space="preserve">= 0</w:t>
            </w:r>
          </w:p>
        </w:tc>
      </w:tr>
      <w:tr>
        <w:tc>
          <w:tcPr/>
          <w:p>
            <w:pPr>
              <w:pStyle w:val="Compact"/>
              <w:jc w:val="left"/>
            </w:pPr>
            <w:r>
              <w:t xml:space="preserve">M3</w:t>
            </w:r>
          </w:p>
        </w:tc>
        <w:tc>
          <w:tcPr/>
          <w:p>
            <w:pPr>
              <w:pStyle w:val="Compact"/>
              <w:jc w:val="left"/>
            </w:pPr>
            <w:r>
              <w:t xml:space="preserve">+ TCI, FSTS×TCI,</w:t>
            </w:r>
            <w:r>
              <w:t xml:space="preserve"> </w:t>
            </w:r>
            <m:oMath>
              <m:sSup>
                <m:e>
                  <m:r>
                    <m:rPr>
                      <m:nor/>
                      <m:sty m:val="p"/>
                    </m:rPr>
                    <m:t>FSTS</m:t>
                  </m:r>
                </m:e>
                <m:sup>
                  <m:r>
                    <m:t>2</m:t>
                  </m:r>
                </m:sup>
              </m:sSup>
            </m:oMath>
            <w:r>
              <w:t xml:space="preserve">×TCI</w:t>
            </w:r>
          </w:p>
        </w:tc>
        <w:tc>
          <w:tcPr/>
          <w:p>
            <w:pPr>
              <w:pStyle w:val="Compact"/>
              <w:jc w:val="left"/>
            </w:pPr>
            <w:r>
              <w:t xml:space="preserve">H2</w:t>
            </w:r>
          </w:p>
        </w:tc>
        <w:tc>
          <w:tcPr/>
          <w:p>
            <w:pPr>
              <w:pStyle w:val="Compact"/>
              <w:jc w:val="left"/>
            </w:pPr>
            <m:oMath>
              <m:sSub>
                <m:e>
                  <m:r>
                    <m:t>β</m:t>
                  </m:r>
                </m:e>
                <m:sub>
                  <m:r>
                    <m:t>3</m:t>
                  </m:r>
                </m:sub>
              </m:sSub>
            </m:oMath>
            <w:r>
              <w:t xml:space="preserve"> </w:t>
            </w:r>
            <w:r>
              <w:t xml:space="preserve">&gt; 0; F-test (</w:t>
            </w:r>
            <m:oMath>
              <m:sSub>
                <m:e>
                  <m:r>
                    <m:t>β</m:t>
                  </m:r>
                </m:e>
                <m:sub>
                  <m:r>
                    <m:t>4</m:t>
                  </m:r>
                </m:sub>
              </m:sSub>
            </m:oMath>
            <w:r>
              <w:t xml:space="preserve"> </w:t>
            </w:r>
            <w:r>
              <w:t xml:space="preserve">=</w:t>
            </w:r>
            <w:r>
              <w:t xml:space="preserve"> </w:t>
            </w:r>
            <m:oMath>
              <m:sSub>
                <m:e>
                  <m:r>
                    <m:t>β</m:t>
                  </m:r>
                </m:e>
                <m:sub>
                  <m:r>
                    <m:t>5</m:t>
                  </m:r>
                </m:sub>
              </m:sSub>
            </m:oMath>
            <w:r>
              <w:t xml:space="preserve"> </w:t>
            </w:r>
            <w:r>
              <w:t xml:space="preserve">= 0)</w:t>
            </w:r>
          </w:p>
        </w:tc>
      </w:tr>
      <w:tr>
        <w:tc>
          <w:tcPr/>
          <w:p>
            <w:pPr>
              <w:pStyle w:val="Compact"/>
              <w:jc w:val="left"/>
            </w:pPr>
            <w:r>
              <w:t xml:space="preserve">M4</w:t>
            </w:r>
          </w:p>
        </w:tc>
        <w:tc>
          <w:tcPr/>
          <w:p>
            <w:pPr>
              <w:pStyle w:val="Compact"/>
              <w:jc w:val="left"/>
            </w:pPr>
            <w:r>
              <w:t xml:space="preserve">+ DAI, FSTS×DAI,</w:t>
            </w:r>
            <w:r>
              <w:t xml:space="preserve"> </w:t>
            </w:r>
            <m:oMath>
              <m:sSup>
                <m:e>
                  <m:r>
                    <m:rPr>
                      <m:nor/>
                      <m:sty m:val="p"/>
                    </m:rPr>
                    <m:t>FSTS</m:t>
                  </m:r>
                </m:e>
                <m:sup>
                  <m:r>
                    <m:t>2</m:t>
                  </m:r>
                </m:sup>
              </m:sSup>
            </m:oMath>
            <w:r>
              <w:t xml:space="preserve">×DAI</w:t>
            </w:r>
          </w:p>
        </w:tc>
        <w:tc>
          <w:tcPr/>
          <w:p>
            <w:pPr>
              <w:pStyle w:val="Compact"/>
              <w:jc w:val="left"/>
            </w:pPr>
            <w:r>
              <w:t xml:space="preserve">H3a/H3b</w:t>
            </w:r>
          </w:p>
        </w:tc>
        <w:tc>
          <w:tcPr/>
          <w:p>
            <w:pPr>
              <w:pStyle w:val="Compact"/>
              <w:jc w:val="left"/>
            </w:pPr>
            <w:r>
              <w:t xml:space="preserve">H3a: β(FSTS×DAI) &gt; 0 Nhóm III-V; H3b: β(</w:t>
            </w:r>
            <m:oMath>
              <m:sSup>
                <m:e>
                  <m:r>
                    <m:rPr>
                      <m:nor/>
                      <m:sty m:val="p"/>
                    </m:rPr>
                    <m:t>FSTS</m:t>
                  </m:r>
                </m:e>
                <m:sup>
                  <m:r>
                    <m:t>2</m:t>
                  </m:r>
                </m:sup>
              </m:sSup>
            </m:oMath>
            <w:r>
              <w:t xml:space="preserve">×DAI) &gt; 0 ở FSTS cao Nhóm I</w:t>
            </w:r>
          </w:p>
        </w:tc>
      </w:tr>
      <w:tr>
        <w:tc>
          <w:tcPr/>
          <w:p>
            <w:pPr>
              <w:pStyle w:val="Compact"/>
              <w:jc w:val="left"/>
            </w:pPr>
            <w:r>
              <w:t xml:space="preserve">M5</w:t>
            </w:r>
          </w:p>
        </w:tc>
        <w:tc>
          <w:tcPr/>
          <w:p>
            <w:pPr>
              <w:pStyle w:val="Compact"/>
              <w:jc w:val="left"/>
            </w:pPr>
            <w:r>
              <w:t xml:space="preserve">+ Manager (kiểm soát quản trị nội sinh)</w:t>
            </w:r>
          </w:p>
        </w:tc>
        <w:tc>
          <w:tcPr/>
          <w:p>
            <w:pPr>
              <w:pStyle w:val="Compact"/>
              <w:jc w:val="left"/>
            </w:pPr>
            <w:r>
              <w:t xml:space="preserve">H4 (kiểm soát)</w:t>
            </w:r>
          </w:p>
        </w:tc>
        <w:tc>
          <w:tcPr/>
          <w:p>
            <w:pPr>
              <w:pStyle w:val="Compact"/>
              <w:jc w:val="left"/>
            </w:pPr>
            <w:r>
              <w:t xml:space="preserve">δ_exp &gt; 0; δ_educ &gt; 0; gender two-sided; kiểm tra độ vững tương tác trọng tâm, không phải điều tiết trọng tâm</w:t>
            </w:r>
          </w:p>
        </w:tc>
      </w:tr>
      <w:tr>
        <w:tc>
          <w:tcPr/>
          <w:p>
            <w:pPr>
              <w:pStyle w:val="Compact"/>
              <w:jc w:val="left"/>
            </w:pPr>
            <w:r>
              <w:t xml:space="preserve">M6</w:t>
            </w:r>
          </w:p>
        </w:tc>
        <w:tc>
          <w:tcPr/>
          <w:p>
            <w:pPr>
              <w:pStyle w:val="Compact"/>
              <w:jc w:val="left"/>
            </w:pPr>
            <w:r>
              <w:t xml:space="preserve">+ ICRV_j × FSTS, ICRV_j ×</w:t>
            </w:r>
            <w:r>
              <w:t xml:space="preserve"> </w:t>
            </w:r>
            <m:oMath>
              <m:sSup>
                <m:e>
                  <m:r>
                    <m:rPr>
                      <m:nor/>
                      <m:sty m:val="p"/>
                    </m:rPr>
                    <m:t>FSTS</m:t>
                  </m:r>
                </m:e>
                <m:sup>
                  <m:r>
                    <m:t>2</m:t>
                  </m:r>
                </m:sup>
              </m:sSup>
            </m:oMath>
          </w:p>
        </w:tc>
        <w:tc>
          <w:tcPr/>
          <w:p>
            <w:pPr>
              <w:pStyle w:val="Compact"/>
              <w:jc w:val="left"/>
            </w:pPr>
            <w:r>
              <w:t xml:space="preserve">H5</w:t>
            </w:r>
          </w:p>
        </w:tc>
        <w:tc>
          <w:tcPr/>
          <w:p>
            <w:pPr>
              <w:pStyle w:val="Compact"/>
              <w:jc w:val="left"/>
            </w:pPr>
            <w:r>
              <w:t xml:space="preserve">Dải biến thiên TP; gánh nặng bắt buộc Nhóm VI</w:t>
            </w:r>
          </w:p>
        </w:tc>
      </w:tr>
      <w:tr>
        <w:tc>
          <w:tcPr/>
          <w:p>
            <w:pPr>
              <w:pStyle w:val="Compact"/>
              <w:jc w:val="left"/>
            </w:pPr>
            <w:r>
              <w:t xml:space="preserve">M7</w:t>
            </w:r>
          </w:p>
        </w:tc>
        <w:tc>
          <w:tcPr/>
          <w:p>
            <w:pPr>
              <w:pStyle w:val="Compact"/>
              <w:jc w:val="left"/>
            </w:pPr>
            <w:r>
              <w:t xml:space="preserve">+ TCI×DAI×FSTS, Year_bucket×FSTS</w:t>
            </w:r>
          </w:p>
        </w:tc>
        <w:tc>
          <w:tcPr/>
          <w:p>
            <w:pPr>
              <w:pStyle w:val="Compact"/>
              <w:jc w:val="left"/>
            </w:pPr>
            <w:r>
              <w:t xml:space="preserve">H2+H3+H6</w:t>
            </w:r>
          </w:p>
        </w:tc>
        <w:tc>
          <w:tcPr/>
          <w:p>
            <w:pPr>
              <w:pStyle w:val="Compact"/>
              <w:jc w:val="left"/>
            </w:pPr>
            <w:r>
              <w:t xml:space="preserve">F-test block ba chiều</w:t>
            </w:r>
          </w:p>
        </w:tc>
      </w:tr>
    </w:tbl>
    <w:bookmarkEnd w:id="73"/>
    <w:bookmarkEnd w:id="74"/>
    <w:bookmarkStart w:id="79" w:name="dữ-liệu-và-chiến-lược-nhận-dạng-nhân-quả"/>
    <w:p>
      <w:pPr>
        <w:pStyle w:val="Heading4"/>
      </w:pPr>
      <w:r>
        <w:t xml:space="preserve">2.3.6 Dữ liệu và chiến lược nhận dạng nhân quả</w:t>
      </w:r>
    </w:p>
    <w:bookmarkStart w:id="75" w:name="nguồn-dữ-liệu-và-cấu-trúc-pool"/>
    <w:p>
      <w:pPr>
        <w:pStyle w:val="Heading5"/>
      </w:pPr>
      <w:r>
        <w:t xml:space="preserve">Nguồn dữ liệu và cấu trúc pool</w:t>
      </w:r>
    </w:p>
    <w:p>
      <w:pPr>
        <w:pStyle w:val="FirstParagraph"/>
      </w:pPr>
      <w:r>
        <w:t xml:space="preserve">Dữ liệu gốc: World Bank Enterprise Surveys (WBES), cơ sở dữ liệu điều tra vi mô doanh nghiệp lớn nhất thế giới, phủ hơn 170 quốc gia với hơn 400.000 cuộc phỏng vấn từ 2006 đến nay. WBES áp dụng phương pháp lấy mẫu ngẫu nhiên phân tầng theo quy mô doanh nghiệp và ngành.</w:t>
      </w:r>
    </w:p>
    <w:p>
      <w:pPr>
        <w:pStyle w:val="BodyText"/>
      </w:pPr>
      <w:r>
        <w:t xml:space="preserve">Pool chuyên đề: 101.185 doanh nghiệp chính thức; 47 nền kinh tế châu Á và Thái Bình Dương; 108 cặp quốc gia-năm; 14 mốc khảo sát từ 2009 đến 2025.</w:t>
      </w:r>
    </w:p>
    <w:p>
      <w:pPr>
        <w:pStyle w:val="BodyText"/>
      </w:pPr>
      <w:r>
        <w:t xml:space="preserve">Bảng 2.8. Cấu trúc pool theo nhóm ICRV và mốc khảo sát.</w:t>
      </w:r>
    </w:p>
    <w:tbl>
      <w:tblPr>
        <w:tblStyle w:val="Table"/>
        <w:tblW w:type="pct" w:w="5000"/>
        <w:tblLook w:firstRow="1" w:lastRow="0" w:firstColumn="0" w:lastColumn="0" w:noHBand="0" w:noVBand="0" w:val="0020"/>
        <w:jc w:val="start"/>
      </w:tblPr>
      <w:tblGrid>
        <w:gridCol w:w="1177"/>
        <w:gridCol w:w="535"/>
        <w:gridCol w:w="1605"/>
        <w:gridCol w:w="2782"/>
        <w:gridCol w:w="1819"/>
      </w:tblGrid>
      <w:tr>
        <w:trPr>
          <w:tblHeader w:val="true"/>
        </w:trPr>
        <w:tc>
          <w:tcPr/>
          <w:p>
            <w:pPr>
              <w:pStyle w:val="Compact"/>
              <w:jc w:val="left"/>
            </w:pPr>
            <w:r>
              <w:t xml:space="preserve">ICRV Nhóm</w:t>
            </w:r>
          </w:p>
        </w:tc>
        <w:tc>
          <w:tcPr/>
          <w:p>
            <w:pPr>
              <w:pStyle w:val="Compact"/>
              <w:jc w:val="left"/>
            </w:pPr>
            <w:r>
              <w:t xml:space="preserve">Tên</w:t>
            </w:r>
          </w:p>
        </w:tc>
        <w:tc>
          <w:tcPr/>
          <w:p>
            <w:pPr>
              <w:pStyle w:val="Compact"/>
              <w:jc w:val="left"/>
            </w:pPr>
            <w:r>
              <w:t xml:space="preserve">Số nền kinh tế</w:t>
            </w:r>
          </w:p>
        </w:tc>
        <w:tc>
          <w:tcPr/>
          <w:p>
            <w:pPr>
              <w:pStyle w:val="Compact"/>
              <w:jc w:val="left"/>
            </w:pPr>
            <w:r>
              <w:t xml:space="preserve">N doanh nghiệp (ước tính)</w:t>
            </w:r>
          </w:p>
        </w:tc>
        <w:tc>
          <w:tcPr/>
          <w:p>
            <w:pPr>
              <w:pStyle w:val="Compact"/>
              <w:jc w:val="left"/>
            </w:pPr>
            <w:r>
              <w:t xml:space="preserve">Số cặp quốc gia-năm</w:t>
            </w:r>
          </w:p>
        </w:tc>
      </w:tr>
      <w:tr>
        <w:tc>
          <w:tcPr/>
          <w:p>
            <w:pPr>
              <w:pStyle w:val="Compact"/>
              <w:jc w:val="left"/>
            </w:pPr>
            <w:r>
              <w:t xml:space="preserve">I, Tiên tiến đổi mới</w:t>
            </w:r>
          </w:p>
        </w:tc>
        <w:tc>
          <w:tcPr/>
          <w:p>
            <w:pPr>
              <w:pStyle w:val="Compact"/>
              <w:jc w:val="left"/>
            </w:pPr>
            <w:r>
              <w:t xml:space="preserve">Singapore, HK SAR, Hàn Quốc, Đài Loan, Israel</w:t>
            </w:r>
          </w:p>
        </w:tc>
        <w:tc>
          <w:tcPr/>
          <w:p>
            <w:pPr>
              <w:pStyle w:val="Compact"/>
              <w:jc w:val="left"/>
            </w:pPr>
            <w:r>
              <w:t xml:space="preserve">5</w:t>
            </w:r>
          </w:p>
        </w:tc>
        <w:tc>
          <w:tcPr/>
          <w:p>
            <w:pPr>
              <w:pStyle w:val="Compact"/>
              <w:jc w:val="left"/>
            </w:pPr>
            <w:r>
              <w:t xml:space="preserve">~6.500</w:t>
            </w:r>
          </w:p>
        </w:tc>
        <w:tc>
          <w:tcPr/>
          <w:p>
            <w:pPr>
              <w:pStyle w:val="Compact"/>
              <w:jc w:val="left"/>
            </w:pPr>
            <w:r>
              <w:t xml:space="preserve">~8</w:t>
            </w:r>
          </w:p>
        </w:tc>
      </w:tr>
      <w:tr>
        <w:tc>
          <w:tcPr/>
          <w:p>
            <w:pPr>
              <w:pStyle w:val="Compact"/>
              <w:jc w:val="left"/>
            </w:pPr>
            <w:r>
              <w:t xml:space="preserve">II, Tiên tiến tài nguyên</w:t>
            </w:r>
          </w:p>
        </w:tc>
        <w:tc>
          <w:tcPr/>
          <w:p>
            <w:pPr>
              <w:pStyle w:val="Compact"/>
              <w:jc w:val="left"/>
            </w:pPr>
            <w:r>
              <w:t xml:space="preserve">Saudi Arabia, Qatar, Kuwait, Bahrain, Brunei</w:t>
            </w:r>
          </w:p>
        </w:tc>
        <w:tc>
          <w:tcPr/>
          <w:p>
            <w:pPr>
              <w:pStyle w:val="Compact"/>
              <w:jc w:val="left"/>
            </w:pPr>
            <w:r>
              <w:t xml:space="preserve">5</w:t>
            </w:r>
          </w:p>
        </w:tc>
        <w:tc>
          <w:tcPr/>
          <w:p>
            <w:pPr>
              <w:pStyle w:val="Compact"/>
              <w:jc w:val="left"/>
            </w:pPr>
            <w:r>
              <w:t xml:space="preserve">~8.500</w:t>
            </w:r>
          </w:p>
        </w:tc>
        <w:tc>
          <w:tcPr/>
          <w:p>
            <w:pPr>
              <w:pStyle w:val="Compact"/>
              <w:jc w:val="left"/>
            </w:pPr>
            <w:r>
              <w:t xml:space="preserve">~12</w:t>
            </w:r>
          </w:p>
        </w:tc>
      </w:tr>
      <w:tr>
        <w:tc>
          <w:tcPr/>
          <w:p>
            <w:pPr>
              <w:pStyle w:val="Compact"/>
              <w:jc w:val="left"/>
            </w:pPr>
            <w:r>
              <w:t xml:space="preserve">III, Trung bình cao</w:t>
            </w:r>
          </w:p>
        </w:tc>
        <w:tc>
          <w:tcPr/>
          <w:p>
            <w:pPr>
              <w:pStyle w:val="Compact"/>
              <w:jc w:val="left"/>
            </w:pPr>
            <w:r>
              <w:t xml:space="preserve">Trung Quốc, Malaysia, Thái Lan, Kazakhstan, Armenia, Georgia</w:t>
            </w:r>
          </w:p>
        </w:tc>
        <w:tc>
          <w:tcPr/>
          <w:p>
            <w:pPr>
              <w:pStyle w:val="Compact"/>
              <w:jc w:val="left"/>
            </w:pPr>
            <w:r>
              <w:t xml:space="preserve">6</w:t>
            </w:r>
          </w:p>
        </w:tc>
        <w:tc>
          <w:tcPr/>
          <w:p>
            <w:pPr>
              <w:pStyle w:val="Compact"/>
              <w:jc w:val="left"/>
            </w:pPr>
            <w:r>
              <w:t xml:space="preserve">~18.000</w:t>
            </w:r>
          </w:p>
        </w:tc>
        <w:tc>
          <w:tcPr/>
          <w:p>
            <w:pPr>
              <w:pStyle w:val="Compact"/>
              <w:jc w:val="left"/>
            </w:pPr>
            <w:r>
              <w:t xml:space="preserve">~15</w:t>
            </w:r>
          </w:p>
        </w:tc>
      </w:tr>
      <w:tr>
        <w:tc>
          <w:tcPr/>
          <w:p>
            <w:pPr>
              <w:pStyle w:val="Compact"/>
              <w:jc w:val="left"/>
            </w:pPr>
            <w:r>
              <w:t xml:space="preserve">IV, Đang nổi</w:t>
            </w:r>
          </w:p>
        </w:tc>
        <w:tc>
          <w:tcPr/>
          <w:p>
            <w:pPr>
              <w:pStyle w:val="Compact"/>
              <w:jc w:val="left"/>
            </w:pPr>
            <w:r>
              <w:t xml:space="preserve">Việt Nam, Indonesia, Philippines, Ấn Độ, Sri Lanka, Jordan, Mông Cổ</w:t>
            </w:r>
          </w:p>
        </w:tc>
        <w:tc>
          <w:tcPr/>
          <w:p>
            <w:pPr>
              <w:pStyle w:val="Compact"/>
              <w:jc w:val="left"/>
            </w:pPr>
            <w:r>
              <w:t xml:space="preserve">7</w:t>
            </w:r>
          </w:p>
        </w:tc>
        <w:tc>
          <w:tcPr/>
          <w:p>
            <w:pPr>
              <w:pStyle w:val="Compact"/>
              <w:jc w:val="left"/>
            </w:pPr>
            <w:r>
              <w:t xml:space="preserve">~28.000</w:t>
            </w:r>
          </w:p>
        </w:tc>
        <w:tc>
          <w:tcPr/>
          <w:p>
            <w:pPr>
              <w:pStyle w:val="Compact"/>
              <w:jc w:val="left"/>
            </w:pPr>
            <w:r>
              <w:t xml:space="preserve">~22</w:t>
            </w:r>
          </w:p>
        </w:tc>
      </w:tr>
      <w:tr>
        <w:tc>
          <w:tcPr/>
          <w:p>
            <w:pPr>
              <w:pStyle w:val="Compact"/>
              <w:jc w:val="left"/>
            </w:pPr>
            <w:r>
              <w:t xml:space="preserve">V, Cận biên</w:t>
            </w:r>
          </w:p>
        </w:tc>
        <w:tc>
          <w:tcPr/>
          <w:p>
            <w:pPr>
              <w:pStyle w:val="Compact"/>
              <w:jc w:val="left"/>
            </w:pPr>
            <w:r>
              <w:t xml:space="preserve">17 nền kinh tế</w:t>
            </w:r>
          </w:p>
        </w:tc>
        <w:tc>
          <w:tcPr/>
          <w:p>
            <w:pPr>
              <w:pStyle w:val="Compact"/>
              <w:jc w:val="left"/>
            </w:pPr>
            <w:r>
              <w:t xml:space="preserve">17</w:t>
            </w:r>
          </w:p>
        </w:tc>
        <w:tc>
          <w:tcPr/>
          <w:p>
            <w:pPr>
              <w:pStyle w:val="Compact"/>
              <w:jc w:val="left"/>
            </w:pPr>
            <w:r>
              <w:t xml:space="preserve">~35.000</w:t>
            </w:r>
          </w:p>
        </w:tc>
        <w:tc>
          <w:tcPr/>
          <w:p>
            <w:pPr>
              <w:pStyle w:val="Compact"/>
              <w:jc w:val="left"/>
            </w:pPr>
            <w:r>
              <w:t xml:space="preserve">~42</w:t>
            </w:r>
          </w:p>
        </w:tc>
      </w:tr>
      <w:tr>
        <w:tc>
          <w:tcPr/>
          <w:p>
            <w:pPr>
              <w:pStyle w:val="Compact"/>
              <w:jc w:val="left"/>
            </w:pPr>
            <w:r>
              <w:t xml:space="preserve">VI, SIDS Thái Bình Dương</w:t>
            </w:r>
          </w:p>
        </w:tc>
        <w:tc>
          <w:tcPr/>
          <w:p>
            <w:pPr>
              <w:pStyle w:val="Compact"/>
              <w:jc w:val="left"/>
            </w:pPr>
            <w:r>
              <w:t xml:space="preserve">Fiji, Kiribati, Papua New Guinea, Samoa, Solomon Islands, Tonga, Vanuatu</w:t>
            </w:r>
          </w:p>
        </w:tc>
        <w:tc>
          <w:tcPr/>
          <w:p>
            <w:pPr>
              <w:pStyle w:val="Compact"/>
              <w:jc w:val="left"/>
            </w:pPr>
            <w:r>
              <w:t xml:space="preserve">7</w:t>
            </w:r>
          </w:p>
        </w:tc>
        <w:tc>
          <w:tcPr/>
          <w:p>
            <w:pPr>
              <w:pStyle w:val="Compact"/>
              <w:jc w:val="left"/>
            </w:pPr>
            <w:r>
              <w:t xml:space="preserve">~5.185</w:t>
            </w:r>
          </w:p>
        </w:tc>
        <w:tc>
          <w:tcPr/>
          <w:p>
            <w:pPr>
              <w:pStyle w:val="Compact"/>
              <w:jc w:val="left"/>
            </w:pPr>
            <w:r>
              <w:t xml:space="preserve">~9</w:t>
            </w:r>
          </w:p>
        </w:tc>
      </w:tr>
      <w:tr>
        <w:tc>
          <w:tcPr/>
          <w:p>
            <w:pPr>
              <w:pStyle w:val="Compact"/>
              <w:jc w:val="left"/>
            </w:pPr>
            <w:r>
              <w:t xml:space="preserve">Tổng</w:t>
            </w:r>
          </w:p>
        </w:tc>
        <w:tc>
          <w:tcPr/>
          <w:p>
            <w:pPr>
              <w:pStyle w:val="Compact"/>
            </w:pPr>
          </w:p>
        </w:tc>
        <w:tc>
          <w:tcPr/>
          <w:p>
            <w:pPr>
              <w:pStyle w:val="Compact"/>
              <w:jc w:val="left"/>
            </w:pPr>
            <w:r>
              <w:t xml:space="preserve">47</w:t>
            </w:r>
          </w:p>
        </w:tc>
        <w:tc>
          <w:tcPr/>
          <w:p>
            <w:pPr>
              <w:pStyle w:val="Compact"/>
              <w:jc w:val="left"/>
            </w:pPr>
            <w:r>
              <w:t xml:space="preserve">~101.185</w:t>
            </w:r>
          </w:p>
        </w:tc>
        <w:tc>
          <w:tcPr/>
          <w:p>
            <w:pPr>
              <w:pStyle w:val="Compact"/>
              <w:jc w:val="left"/>
            </w:pPr>
            <w:r>
              <w:t xml:space="preserve">108</w:t>
            </w:r>
          </w:p>
        </w:tc>
      </w:tr>
    </w:tbl>
    <w:p>
      <w:pPr>
        <w:pStyle w:val="BodyText"/>
      </w:pPr>
      <w:r>
        <w:t xml:space="preserve">Ba thế hệ schema WBES và giao thức hòa hợp: PICS3 (2009-2013): biến FSTS từ d3a/d3b; TCI từ h1/h8/b8; DAI từ c22b only. Standardized (2014-2018): biến tái định dạng nhưng tương thích. BREADY/BEE (2019-2025): schema mở rộng; DAI đầy đủ (c22b + k33 + k38); module nhà quản trị chi tiết hơn.</w:t>
      </w:r>
    </w:p>
    <w:p>
      <w:pPr>
        <w:pStyle w:val="BodyText"/>
      </w:pPr>
      <w:r>
        <w:rPr>
          <w:iCs/>
          <w:i/>
        </w:rPr>
        <w:t xml:space="preserve">Ghi chú về trọng số khảo sát:</w:t>
      </w:r>
      <w:r>
        <w:t xml:space="preserve"> </w:t>
      </w:r>
      <w:r>
        <w:t xml:space="preserve">Chuyên đề không áp dụng trọng số mẫu WBES (</w:t>
      </w:r>
      <w:r>
        <w:rPr>
          <w:rStyle w:val="VerbatimChar"/>
        </w:rPr>
        <w:t xml:space="preserve">wt_final</w:t>
      </w:r>
      <w:r>
        <w:t xml:space="preserve">) trong các mô hình hồi quy vì ba lý do. Thứ nhất, mục tiêu phân tích là xác định hệ số quan hệ I-P tại cấp doanh nghiệp (có điều kiện trên các biến quan sát được, conditional on observables), không phải ước lượng thống kê mô tả đại diện tổng thể. Thứ hai, hiệu ứng cố định hai chiều (quốc gia × năm) đã hấp thụ phần lớn biến thiên liên quan đến thiết kế lấy mẫu phân tầng. Thứ ba, tích hợp trọng số mẫu vào mô hình hiệu ứng cố định không đồng nhất gây phức tạp ước lượng mà không đem lại cải thiện tính hợp lệ nội tại (Solon et al., 2015). Phân tích độ nhạy với trọng số được đề xuất như kiểm định tương lai (xem Mục 2.4.3) để xác nhận tính vững của kết quả so với mẫu không có trọng số.</w:t>
      </w:r>
    </w:p>
    <w:p>
      <w:pPr>
        <w:pStyle w:val="BodyText"/>
      </w:pPr>
      <w:r>
        <w:t xml:space="preserve">Giao thức hòa hợp bao gồm: bảng đối chiếu (crosswalk) biến giữa ba schema; xử lý giá trị thiếu; loại bỏ giá trị ngoại lai tại phân vị 1/99; chuyển đổi doanh thu về PPP USD 2017.</w:t>
      </w:r>
    </w:p>
    <w:bookmarkEnd w:id="75"/>
    <w:bookmarkStart w:id="76" w:name="đo-lường-biến-chi-tiết"/>
    <w:p>
      <w:pPr>
        <w:pStyle w:val="Heading5"/>
      </w:pPr>
      <w:r>
        <w:t xml:space="preserve">Đo lường biến chi tiết</w:t>
      </w:r>
    </w:p>
    <w:p>
      <w:pPr>
        <w:pStyle w:val="FirstParagraph"/>
      </w:pPr>
      <w:r>
        <w:t xml:space="preserve">Biến phụ thuộc, ln(LP):</w:t>
      </w:r>
    </w:p>
    <w:p>
      <w:pPr>
        <w:pStyle w:val="BodyText"/>
      </w:pPr>
      <m:oMathPara>
        <m:oMathParaPr>
          <m:jc m:val="center"/>
        </m:oMathParaPr>
        <m:oMath>
          <m:r>
            <m:rPr>
              <m:sty m:val="p"/>
            </m:rPr>
            <m:t>ln</m:t>
          </m:r>
          <m:sSub>
            <m:e>
              <m:d>
                <m:dPr>
                  <m:begChr m:val="("/>
                  <m:endChr m:val=")"/>
                  <m:sepChr m:val=""/>
                  <m:grow/>
                </m:dPr>
                <m:e>
                  <m:r>
                    <m:t>L</m:t>
                  </m:r>
                  <m:r>
                    <m:t>P</m:t>
                  </m:r>
                </m:e>
              </m:d>
            </m:e>
            <m:sub>
              <m:r>
                <m:t>i</m:t>
              </m:r>
            </m:sub>
          </m:sSub>
          <m:r>
            <m:rPr>
              <m:sty m:val="p"/>
            </m:rPr>
            <m:t>=</m:t>
          </m:r>
          <m:r>
            <m:rPr>
              <m:sty m:val="p"/>
            </m:rPr>
            <m:t>ln</m:t>
          </m:r>
          <m:d>
            <m:dPr>
              <m:begChr m:val="("/>
              <m:endChr m:val=")"/>
              <m:sepChr m:val=""/>
              <m:grow/>
            </m:dPr>
            <m:e>
              <m:f>
                <m:fPr>
                  <m:type m:val="bar"/>
                </m:fPr>
                <m:num>
                  <m:sSub>
                    <m:e>
                      <m:r>
                        <m:rPr>
                          <m:nor/>
                          <m:sty m:val="p"/>
                        </m:rPr>
                        <m:t>doanh thu hằng năm</m:t>
                      </m:r>
                    </m:e>
                    <m:sub>
                      <m:r>
                        <m:t>i</m:t>
                      </m:r>
                    </m:sub>
                  </m:sSub>
                </m:num>
                <m:den>
                  <m:sSub>
                    <m:e>
                      <m:r>
                        <m:rPr>
                          <m:nor/>
                          <m:sty m:val="p"/>
                        </m:rPr>
                        <m:t>lao động thường xuyên</m:t>
                      </m:r>
                    </m:e>
                    <m:sub>
                      <m:r>
                        <m:t>i</m:t>
                      </m:r>
                    </m:sub>
                  </m:sSub>
                </m:den>
              </m:f>
            </m:e>
          </m:d>
        </m:oMath>
      </m:oMathPara>
    </w:p>
    <w:p>
      <w:pPr>
        <w:pStyle w:val="FirstParagraph"/>
      </w:pPr>
      <w:r>
        <w:t xml:space="preserve">Doanh thu (d2) được chuyển đổi về PPP USD 2017 trước khi tính LP. Loại bỏ giá trị ngoại lai tại phân vị 1/99 để giảm ảnh hưởng của giá trị ngoại lai.</w:t>
      </w:r>
    </w:p>
    <w:p>
      <w:pPr>
        <w:pStyle w:val="BodyText"/>
      </w:pPr>
      <w:r>
        <w:t xml:space="preserve">Biến độc lập, FSTS:</w:t>
      </w:r>
    </w:p>
    <w:p>
      <w:pPr>
        <w:pStyle w:val="BodyText"/>
      </w:pPr>
      <m:oMathPara>
        <m:oMathParaPr>
          <m:jc m:val="center"/>
        </m:oMathParaPr>
        <m:oMath>
          <m:r>
            <m:t>F</m:t>
          </m:r>
          <m:r>
            <m:t>S</m:t>
          </m:r>
          <m:r>
            <m:t>T</m:t>
          </m:r>
          <m:sSub>
            <m:e>
              <m:r>
                <m:t>S</m:t>
              </m:r>
            </m:e>
            <m:sub>
              <m:r>
                <m:t>i</m:t>
              </m:r>
            </m:sub>
          </m:sSub>
          <m:r>
            <m:rPr>
              <m:sty m:val="p"/>
            </m:rPr>
            <m:t>=</m:t>
          </m:r>
          <m:f>
            <m:fPr>
              <m:type m:val="bar"/>
            </m:fPr>
            <m:num>
              <m:sSub>
                <m:e>
                  <m:r>
                    <m:rPr>
                      <m:nor/>
                      <m:sty m:val="p"/>
                    </m:rPr>
                    <m:t>doanh thu xuất khẩu trực tiếp</m:t>
                  </m:r>
                </m:e>
                <m:sub>
                  <m:r>
                    <m:t>i</m:t>
                  </m:r>
                </m:sub>
              </m:sSub>
            </m:num>
            <m:den>
              <m:sSub>
                <m:e>
                  <m:r>
                    <m:rPr>
                      <m:nor/>
                      <m:sty m:val="p"/>
                    </m:rPr>
                    <m:t>tổng doanh thu hằng năm</m:t>
                  </m:r>
                </m:e>
                <m:sub>
                  <m:r>
                    <m:t>i</m:t>
                  </m:r>
                </m:sub>
              </m:sSub>
            </m:den>
          </m:f>
          <m:r>
            <m:rPr>
              <m:sty m:val="p"/>
            </m:rPr>
            <m:t>=</m:t>
          </m:r>
          <m:f>
            <m:fPr>
              <m:type m:val="bar"/>
            </m:fPr>
            <m:num>
              <m:r>
                <m:t>d</m:t>
              </m:r>
              <m:r>
                <m:t>3</m:t>
              </m:r>
              <m:sSub>
                <m:e>
                  <m:r>
                    <m:t>c</m:t>
                  </m:r>
                </m:e>
                <m:sub>
                  <m:r>
                    <m:t>i</m:t>
                  </m:r>
                </m:sub>
              </m:sSub>
            </m:num>
            <m:den>
              <m:r>
                <m:t>100</m:t>
              </m:r>
            </m:den>
          </m:f>
        </m:oMath>
      </m:oMathPara>
    </w:p>
    <w:p>
      <w:pPr>
        <w:pStyle w:val="FirstParagraph"/>
      </w:pPr>
      <w:r>
        <w:t xml:space="preserve">d3c là tỉ lệ phần trăm doanh thu xuất khẩu trực tiếp. FSTS_c = FSTS − mean(FSTS) trong mỗi ô sóng-quốc gia trước khi tính</w:t>
      </w:r>
      <w:r>
        <w:t xml:space="preserve"> </w:t>
      </w:r>
      <m:oMath>
        <m:sSup>
          <m:e>
            <m:r>
              <m:rPr>
                <m:nor/>
                <m:sty m:val="p"/>
              </m:rPr>
              <m:t>FSTS</m:t>
            </m:r>
          </m:e>
          <m:sup>
            <m:r>
              <m:t>2</m:t>
            </m:r>
          </m:sup>
        </m:sSup>
      </m:oMath>
      <w:r>
        <w:t xml:space="preserve">.</w:t>
      </w:r>
    </w:p>
    <w:p>
      <w:pPr>
        <w:pStyle w:val="BodyText"/>
      </w:pPr>
      <w:r>
        <w:t xml:space="preserve">Bảng 2.9. Đo lường TCI theo mã WBES.</w:t>
      </w:r>
    </w:p>
    <w:tbl>
      <w:tblPr>
        <w:tblStyle w:val="Table"/>
        <w:tblW w:type="pct" w:w="5000"/>
        <w:tblLook w:firstRow="1" w:lastRow="0" w:firstColumn="0" w:lastColumn="0" w:noHBand="0" w:noVBand="0" w:val="0020"/>
        <w:jc w:val="start"/>
      </w:tblPr>
      <w:tblGrid>
        <w:gridCol w:w="1284"/>
        <w:gridCol w:w="1926"/>
        <w:gridCol w:w="1498"/>
        <w:gridCol w:w="3210"/>
      </w:tblGrid>
      <w:tr>
        <w:trPr>
          <w:tblHeader w:val="true"/>
        </w:trPr>
        <w:tc>
          <w:tcPr/>
          <w:p>
            <w:pPr>
              <w:pStyle w:val="Compact"/>
              <w:jc w:val="left"/>
            </w:pPr>
            <w:r>
              <w:t xml:space="preserve">Item</w:t>
            </w:r>
          </w:p>
        </w:tc>
        <w:tc>
          <w:tcPr/>
          <w:p>
            <w:pPr>
              <w:pStyle w:val="Compact"/>
              <w:jc w:val="left"/>
            </w:pPr>
            <w:r>
              <w:t xml:space="preserve">Mã WBES</w:t>
            </w:r>
          </w:p>
        </w:tc>
        <w:tc>
          <w:tcPr/>
          <w:p>
            <w:pPr>
              <w:pStyle w:val="Compact"/>
              <w:jc w:val="left"/>
            </w:pPr>
            <w:r>
              <w:t xml:space="preserve">Mô tả</w:t>
            </w:r>
          </w:p>
        </w:tc>
        <w:tc>
          <w:tcPr/>
          <w:p>
            <w:pPr>
              <w:pStyle w:val="Compact"/>
              <w:jc w:val="left"/>
            </w:pPr>
            <w:r>
              <w:t xml:space="preserve">Schema có sẵn</w:t>
            </w:r>
          </w:p>
        </w:tc>
      </w:tr>
      <w:tr>
        <w:tc>
          <w:tcPr/>
          <w:p>
            <w:pPr>
              <w:pStyle w:val="Compact"/>
              <w:jc w:val="left"/>
            </w:pPr>
            <w:r>
              <w:t xml:space="preserve">Chứng nhận ISO</w:t>
            </w:r>
          </w:p>
        </w:tc>
        <w:tc>
          <w:tcPr/>
          <w:p>
            <w:pPr>
              <w:pStyle w:val="Compact"/>
              <w:jc w:val="left"/>
            </w:pPr>
            <w:r>
              <w:t xml:space="preserve">b8</w:t>
            </w:r>
          </w:p>
        </w:tc>
        <w:tc>
          <w:tcPr/>
          <w:p>
            <w:pPr>
              <w:pStyle w:val="Compact"/>
              <w:jc w:val="left"/>
            </w:pPr>
            <w:r>
              <w:t xml:space="preserve">Doanh nghiệp có chứng nhận ISO không? (nhị phân)</w:t>
            </w:r>
          </w:p>
        </w:tc>
        <w:tc>
          <w:tcPr/>
          <w:p>
            <w:pPr>
              <w:pStyle w:val="Compact"/>
              <w:jc w:val="left"/>
            </w:pPr>
            <w:r>
              <w:t xml:space="preserve">PICS3, Std, BEE</w:t>
            </w:r>
          </w:p>
        </w:tc>
      </w:tr>
      <w:tr>
        <w:tc>
          <w:tcPr/>
          <w:p>
            <w:pPr>
              <w:pStyle w:val="Compact"/>
              <w:jc w:val="left"/>
            </w:pPr>
            <w:r>
              <w:t xml:space="preserve">R&amp;D</w:t>
            </w:r>
          </w:p>
        </w:tc>
        <w:tc>
          <w:tcPr/>
          <w:p>
            <w:pPr>
              <w:pStyle w:val="Compact"/>
              <w:jc w:val="left"/>
            </w:pPr>
            <w:r>
              <w:t xml:space="preserve">h8</w:t>
            </w:r>
          </w:p>
        </w:tc>
        <w:tc>
          <w:tcPr/>
          <w:p>
            <w:pPr>
              <w:pStyle w:val="Compact"/>
              <w:jc w:val="left"/>
            </w:pPr>
            <w:r>
              <w:t xml:space="preserve">Có thực hiện R&amp;D nội bộ không? (nhị phân)</w:t>
            </w:r>
          </w:p>
        </w:tc>
        <w:tc>
          <w:tcPr/>
          <w:p>
            <w:pPr>
              <w:pStyle w:val="Compact"/>
              <w:jc w:val="left"/>
            </w:pPr>
            <w:r>
              <w:t xml:space="preserve">PICS3, Std, BEE</w:t>
            </w:r>
          </w:p>
        </w:tc>
      </w:tr>
      <w:tr>
        <w:tc>
          <w:tcPr/>
          <w:p>
            <w:pPr>
              <w:pStyle w:val="Compact"/>
              <w:jc w:val="left"/>
            </w:pPr>
            <w:r>
              <w:t xml:space="preserve">Đổi mới sản phẩm</w:t>
            </w:r>
          </w:p>
        </w:tc>
        <w:tc>
          <w:tcPr/>
          <w:p>
            <w:pPr>
              <w:pStyle w:val="Compact"/>
              <w:jc w:val="left"/>
            </w:pPr>
            <w:r>
              <w:t xml:space="preserve">h1</w:t>
            </w:r>
          </w:p>
        </w:tc>
        <w:tc>
          <w:tcPr/>
          <w:p>
            <w:pPr>
              <w:pStyle w:val="Compact"/>
              <w:jc w:val="left"/>
            </w:pPr>
            <w:r>
              <w:t xml:space="preserve">Đã ra sản phẩm/dịch vụ mới 3 năm qua? (nhị phân)</w:t>
            </w:r>
          </w:p>
        </w:tc>
        <w:tc>
          <w:tcPr/>
          <w:p>
            <w:pPr>
              <w:pStyle w:val="Compact"/>
              <w:jc w:val="left"/>
            </w:pPr>
            <w:r>
              <w:t xml:space="preserve">PICS3, Std, BEE</w:t>
            </w:r>
          </w:p>
        </w:tc>
      </w:tr>
      <w:tr>
        <w:tc>
          <w:tcPr/>
          <w:p>
            <w:pPr>
              <w:pStyle w:val="Compact"/>
              <w:jc w:val="left"/>
            </w:pPr>
            <w:r>
              <w:t xml:space="preserve">Công nghệ nước ngoài</w:t>
            </w:r>
          </w:p>
        </w:tc>
        <w:tc>
          <w:tcPr/>
          <w:p>
            <w:pPr>
              <w:pStyle w:val="Compact"/>
              <w:jc w:val="left"/>
            </w:pPr>
            <w:r>
              <w:t xml:space="preserve">e6</w:t>
            </w:r>
          </w:p>
        </w:tc>
        <w:tc>
          <w:tcPr/>
          <w:p>
            <w:pPr>
              <w:pStyle w:val="Compact"/>
              <w:jc w:val="left"/>
            </w:pPr>
            <w:r>
              <w:t xml:space="preserve">Sử dụng công nghệ nước ngoài có bản quyền? (nhị phân)</w:t>
            </w:r>
          </w:p>
        </w:tc>
        <w:tc>
          <w:tcPr/>
          <w:p>
            <w:pPr>
              <w:pStyle w:val="Compact"/>
              <w:jc w:val="left"/>
            </w:pPr>
            <w:r>
              <w:t xml:space="preserve">PICS3, Std, BEE</w:t>
            </w:r>
          </w:p>
        </w:tc>
      </w:tr>
    </w:tbl>
    <w:p>
      <w:pPr>
        <w:pStyle w:val="BodyText"/>
      </w:pPr>
      <w:r>
        <w:t xml:space="preserve">TCI_z = z-chuẩn hóa mean của $</w:t>
      </w:r>
      <w:r>
        <w:t xml:space="preserve">$3/4 items không thiếu (Cronbach α ước tính 0,55-0,65, nhất quán với tổng hợp formative, Coltman et al., 2008).</w:t>
      </w:r>
    </w:p>
    <w:p>
      <w:pPr>
        <w:pStyle w:val="BodyText"/>
      </w:pPr>
      <w:r>
        <w:t xml:space="preserve">Bảng 2.10. Đo lường DAI theo mã WBES.</w:t>
      </w:r>
    </w:p>
    <w:tbl>
      <w:tblPr>
        <w:tblStyle w:val="Table"/>
        <w:tblW w:type="pct" w:w="5000"/>
        <w:tblLook w:firstRow="1" w:lastRow="0" w:firstColumn="0" w:lastColumn="0" w:noHBand="0" w:noVBand="0" w:val="0020"/>
        <w:jc w:val="start"/>
      </w:tblPr>
      <w:tblGrid>
        <w:gridCol w:w="1284"/>
        <w:gridCol w:w="1926"/>
        <w:gridCol w:w="1498"/>
        <w:gridCol w:w="3210"/>
      </w:tblGrid>
      <w:tr>
        <w:trPr>
          <w:tblHeader w:val="true"/>
        </w:trPr>
        <w:tc>
          <w:tcPr/>
          <w:p>
            <w:pPr>
              <w:pStyle w:val="Compact"/>
              <w:jc w:val="left"/>
            </w:pPr>
            <w:r>
              <w:t xml:space="preserve">Item</w:t>
            </w:r>
          </w:p>
        </w:tc>
        <w:tc>
          <w:tcPr/>
          <w:p>
            <w:pPr>
              <w:pStyle w:val="Compact"/>
              <w:jc w:val="left"/>
            </w:pPr>
            <w:r>
              <w:t xml:space="preserve">Mã WBES</w:t>
            </w:r>
          </w:p>
        </w:tc>
        <w:tc>
          <w:tcPr/>
          <w:p>
            <w:pPr>
              <w:pStyle w:val="Compact"/>
              <w:jc w:val="left"/>
            </w:pPr>
            <w:r>
              <w:t xml:space="preserve">Mô tả</w:t>
            </w:r>
          </w:p>
        </w:tc>
        <w:tc>
          <w:tcPr/>
          <w:p>
            <w:pPr>
              <w:pStyle w:val="Compact"/>
              <w:jc w:val="left"/>
            </w:pPr>
            <w:r>
              <w:t xml:space="preserve">Schema có sẵn</w:t>
            </w:r>
          </w:p>
        </w:tc>
      </w:tr>
      <w:tr>
        <w:tc>
          <w:tcPr/>
          <w:p>
            <w:pPr>
              <w:pStyle w:val="Compact"/>
              <w:jc w:val="left"/>
            </w:pPr>
            <w:r>
              <w:t xml:space="preserve">Có website</w:t>
            </w:r>
          </w:p>
        </w:tc>
        <w:tc>
          <w:tcPr/>
          <w:p>
            <w:pPr>
              <w:pStyle w:val="Compact"/>
              <w:jc w:val="left"/>
            </w:pPr>
            <w:r>
              <w:t xml:space="preserve">c22b</w:t>
            </w:r>
          </w:p>
        </w:tc>
        <w:tc>
          <w:tcPr/>
          <w:p>
            <w:pPr>
              <w:pStyle w:val="Compact"/>
              <w:jc w:val="left"/>
            </w:pPr>
            <w:r>
              <w:t xml:space="preserve">Doanh nghiệp có website không? (nhị phân)</w:t>
            </w:r>
          </w:p>
        </w:tc>
        <w:tc>
          <w:tcPr/>
          <w:p>
            <w:pPr>
              <w:pStyle w:val="Compact"/>
              <w:jc w:val="left"/>
            </w:pPr>
            <w:r>
              <w:t xml:space="preserve">PICS3, Std, BEE</w:t>
            </w:r>
          </w:p>
        </w:tc>
      </w:tr>
      <w:tr>
        <w:tc>
          <w:tcPr/>
          <w:p>
            <w:pPr>
              <w:pStyle w:val="Compact"/>
              <w:jc w:val="left"/>
            </w:pPr>
            <w:r>
              <w:t xml:space="preserve">Thanh toán điện tử khách hàng</w:t>
            </w:r>
          </w:p>
        </w:tc>
        <w:tc>
          <w:tcPr/>
          <w:p>
            <w:pPr>
              <w:pStyle w:val="Compact"/>
              <w:jc w:val="left"/>
            </w:pPr>
            <w:r>
              <w:t xml:space="preserve">k33</w:t>
            </w:r>
          </w:p>
        </w:tc>
        <w:tc>
          <w:tcPr/>
          <w:p>
            <w:pPr>
              <w:pStyle w:val="Compact"/>
              <w:jc w:val="left"/>
            </w:pPr>
            <w:r>
              <w:t xml:space="preserve">% doanh thu thu qua e-payment (liên tục)</w:t>
            </w:r>
          </w:p>
        </w:tc>
        <w:tc>
          <w:tcPr/>
          <w:p>
            <w:pPr>
              <w:pStyle w:val="Compact"/>
              <w:jc w:val="left"/>
            </w:pPr>
            <w:r>
              <w:t xml:space="preserve">BEE only</w:t>
            </w:r>
          </w:p>
        </w:tc>
      </w:tr>
      <w:tr>
        <w:tc>
          <w:tcPr/>
          <w:p>
            <w:pPr>
              <w:pStyle w:val="Compact"/>
              <w:jc w:val="left"/>
            </w:pPr>
            <w:r>
              <w:t xml:space="preserve">Thanh toán điện tử nhà cung cấp</w:t>
            </w:r>
          </w:p>
        </w:tc>
        <w:tc>
          <w:tcPr/>
          <w:p>
            <w:pPr>
              <w:pStyle w:val="Compact"/>
              <w:jc w:val="left"/>
            </w:pPr>
            <w:r>
              <w:t xml:space="preserve">k38</w:t>
            </w:r>
          </w:p>
        </w:tc>
        <w:tc>
          <w:tcPr/>
          <w:p>
            <w:pPr>
              <w:pStyle w:val="Compact"/>
              <w:jc w:val="left"/>
            </w:pPr>
            <w:r>
              <w:t xml:space="preserve">% mua hàng thanh toán qua e-payment</w:t>
            </w:r>
          </w:p>
        </w:tc>
        <w:tc>
          <w:tcPr/>
          <w:p>
            <w:pPr>
              <w:pStyle w:val="Compact"/>
              <w:jc w:val="left"/>
            </w:pPr>
            <w:r>
              <w:t xml:space="preserve">BEE only</w:t>
            </w:r>
          </w:p>
        </w:tc>
      </w:tr>
    </w:tbl>
    <w:p>
      <w:pPr>
        <w:pStyle w:val="BodyText"/>
      </w:pPr>
      <w:r>
        <w:t xml:space="preserve">DAI_z_full (Tier 1+2): z-mean(c22b + k33 + k38), chỉ có trong schema BEE (2019 trở đi).</w:t>
      </w:r>
      <w:r>
        <w:t xml:space="preserve"> </w:t>
      </w:r>
      <w:r>
        <w:t xml:space="preserve">DAI_z_tier1 (Tier 1 only): z-mean(c22b), có xuyên tất cả schema.</w:t>
      </w:r>
    </w:p>
    <w:p>
      <w:pPr>
        <w:pStyle w:val="BodyText"/>
      </w:pPr>
      <w:r>
        <w:t xml:space="preserve">Chiến lược đo lường DAI: sử dụng DAI_z_full làm biến chính trong mẫu con BEE; DAI_z_tier1 cho so sánh xuyên schema và kiểm định độ vững.</w:t>
      </w:r>
    </w:p>
    <w:bookmarkEnd w:id="76"/>
    <w:bookmarkStart w:id="77" w:name="phân-loại-icrv-6-nhóm"/>
    <w:p>
      <w:pPr>
        <w:pStyle w:val="Heading5"/>
      </w:pPr>
      <w:r>
        <w:t xml:space="preserve">Phân loại ICRV 6 nhóm</w:t>
      </w:r>
    </w:p>
    <w:p>
      <w:pPr>
        <w:pStyle w:val="FirstParagraph"/>
      </w:pPr>
      <w:r>
        <w:t xml:space="preserve">Bảng 2.11. Phân loại 47 nền kinh tế theo ICRV, đặc điểm và tiêu chí.</w:t>
      </w:r>
    </w:p>
    <w:tbl>
      <w:tblPr>
        <w:tblStyle w:val="Table"/>
        <w:tblW w:type="pct" w:w="5000"/>
        <w:tblLook w:firstRow="1" w:lastRow="0" w:firstColumn="0" w:lastColumn="0" w:noHBand="0" w:noVBand="0" w:val="0020"/>
        <w:jc w:val="start"/>
      </w:tblPr>
      <w:tblGrid>
        <w:gridCol w:w="2292"/>
        <w:gridCol w:w="1250"/>
        <w:gridCol w:w="1875"/>
        <w:gridCol w:w="2501"/>
      </w:tblGrid>
      <w:tr>
        <w:trPr>
          <w:tblHeader w:val="true"/>
        </w:trPr>
        <w:tc>
          <w:tcPr/>
          <w:p>
            <w:pPr>
              <w:pStyle w:val="Compact"/>
              <w:jc w:val="left"/>
            </w:pPr>
            <w:r>
              <w:t xml:space="preserve">Nhóm ICRV</w:t>
            </w:r>
          </w:p>
        </w:tc>
        <w:tc>
          <w:tcPr/>
          <w:p>
            <w:pPr>
              <w:pStyle w:val="Compact"/>
              <w:jc w:val="left"/>
            </w:pPr>
            <w:r>
              <w:t xml:space="preserve">Nhãn</w:t>
            </w:r>
          </w:p>
        </w:tc>
        <w:tc>
          <w:tcPr/>
          <w:p>
            <w:pPr>
              <w:pStyle w:val="Compact"/>
              <w:jc w:val="left"/>
            </w:pPr>
            <w:r>
              <w:t xml:space="preserve">Tiêu chí</w:t>
            </w:r>
          </w:p>
        </w:tc>
        <w:tc>
          <w:tcPr/>
          <w:p>
            <w:pPr>
              <w:pStyle w:val="Compact"/>
              <w:jc w:val="left"/>
            </w:pPr>
            <w:r>
              <w:t xml:space="preserve">Nền kinh tế</w:t>
            </w:r>
          </w:p>
        </w:tc>
      </w:tr>
      <w:tr>
        <w:tc>
          <w:tcPr/>
          <w:p>
            <w:pPr>
              <w:pStyle w:val="Compact"/>
              <w:jc w:val="left"/>
            </w:pPr>
            <w:r>
              <w:t xml:space="preserve">I</w:t>
            </w:r>
          </w:p>
        </w:tc>
        <w:tc>
          <w:tcPr/>
          <w:p>
            <w:pPr>
              <w:pStyle w:val="Compact"/>
              <w:jc w:val="left"/>
            </w:pPr>
            <w:r>
              <w:t xml:space="preserve">Tiên tiến đổi mới sáng tạo dẫn dắt</w:t>
            </w:r>
          </w:p>
        </w:tc>
        <w:tc>
          <w:tcPr/>
          <w:p>
            <w:pPr>
              <w:pStyle w:val="Compact"/>
              <w:jc w:val="left"/>
            </w:pPr>
            <w:r>
              <w:t xml:space="preserve">GNI/người &gt;25.000 PPP + Innovation-driven (WIPO)</w:t>
            </w:r>
          </w:p>
        </w:tc>
        <w:tc>
          <w:tcPr/>
          <w:p>
            <w:pPr>
              <w:pStyle w:val="Compact"/>
              <w:jc w:val="left"/>
            </w:pPr>
            <w:r>
              <w:t xml:space="preserve">Singapore, Hong Kong SAR, Hàn Quốc, Đài Loan, Israel</w:t>
            </w:r>
          </w:p>
        </w:tc>
      </w:tr>
      <w:tr>
        <w:tc>
          <w:tcPr/>
          <w:p>
            <w:pPr>
              <w:pStyle w:val="Compact"/>
              <w:jc w:val="left"/>
            </w:pPr>
            <w:r>
              <w:t xml:space="preserve">II</w:t>
            </w:r>
          </w:p>
        </w:tc>
        <w:tc>
          <w:tcPr/>
          <w:p>
            <w:pPr>
              <w:pStyle w:val="Compact"/>
              <w:jc w:val="left"/>
            </w:pPr>
            <w:r>
              <w:t xml:space="preserve">Tiên tiến tài nguyên dẫn dắt</w:t>
            </w:r>
          </w:p>
        </w:tc>
        <w:tc>
          <w:tcPr/>
          <w:p>
            <w:pPr>
              <w:pStyle w:val="Compact"/>
              <w:jc w:val="left"/>
            </w:pPr>
            <w:r>
              <w:t xml:space="preserve">GNI/người &gt;25.000 PPP + Doanh thu tài nguyên &gt;40% GDP</w:t>
            </w:r>
          </w:p>
        </w:tc>
        <w:tc>
          <w:tcPr/>
          <w:p>
            <w:pPr>
              <w:pStyle w:val="Compact"/>
              <w:jc w:val="left"/>
            </w:pPr>
            <w:r>
              <w:t xml:space="preserve">Saudi Arabia, Qatar, Kuwait, Bahrain, Brunei</w:t>
            </w:r>
          </w:p>
        </w:tc>
      </w:tr>
      <w:tr>
        <w:tc>
          <w:tcPr/>
          <w:p>
            <w:pPr>
              <w:pStyle w:val="Compact"/>
              <w:jc w:val="left"/>
            </w:pPr>
            <w:r>
              <w:t xml:space="preserve">III</w:t>
            </w:r>
          </w:p>
        </w:tc>
        <w:tc>
          <w:tcPr/>
          <w:p>
            <w:pPr>
              <w:pStyle w:val="Compact"/>
              <w:jc w:val="left"/>
            </w:pPr>
            <w:r>
              <w:t xml:space="preserve">Trung bình cao</w:t>
            </w:r>
          </w:p>
        </w:tc>
        <w:tc>
          <w:tcPr/>
          <w:p>
            <w:pPr>
              <w:pStyle w:val="Compact"/>
              <w:jc w:val="left"/>
            </w:pPr>
            <w:r>
              <w:t xml:space="preserve">GNI/người 10.000-25.000 PPP; chuyển đổi công nghiệp</w:t>
            </w:r>
          </w:p>
        </w:tc>
        <w:tc>
          <w:tcPr/>
          <w:p>
            <w:pPr>
              <w:pStyle w:val="Compact"/>
              <w:jc w:val="left"/>
            </w:pPr>
            <w:r>
              <w:t xml:space="preserve">Trung Quốc, Malaysia, Thái Lan, Kazakhstan, Armenia, Georgia</w:t>
            </w:r>
          </w:p>
        </w:tc>
      </w:tr>
      <w:tr>
        <w:tc>
          <w:tcPr/>
          <w:p>
            <w:pPr>
              <w:pStyle w:val="Compact"/>
              <w:jc w:val="left"/>
            </w:pPr>
            <w:r>
              <w:t xml:space="preserve">IV</w:t>
            </w:r>
          </w:p>
        </w:tc>
        <w:tc>
          <w:tcPr/>
          <w:p>
            <w:pPr>
              <w:pStyle w:val="Compact"/>
              <w:jc w:val="left"/>
            </w:pPr>
            <w:r>
              <w:t xml:space="preserve">Đang nổi</w:t>
            </w:r>
          </w:p>
        </w:tc>
        <w:tc>
          <w:tcPr/>
          <w:p>
            <w:pPr>
              <w:pStyle w:val="Compact"/>
              <w:jc w:val="left"/>
            </w:pPr>
            <w:r>
              <w:t xml:space="preserve">GNI/người 4.000-10.000 PPP; hội nhập GVC đang tăng</w:t>
            </w:r>
          </w:p>
        </w:tc>
        <w:tc>
          <w:tcPr/>
          <w:p>
            <w:pPr>
              <w:pStyle w:val="Compact"/>
              <w:jc w:val="left"/>
            </w:pPr>
            <w:r>
              <w:t xml:space="preserve">Việt Nam, Indonesia, Philippines, Ấn Độ, Sri Lanka, Jordan, Mông Cổ</w:t>
            </w:r>
          </w:p>
        </w:tc>
      </w:tr>
      <w:tr>
        <w:tc>
          <w:tcPr/>
          <w:p>
            <w:pPr>
              <w:pStyle w:val="Compact"/>
              <w:jc w:val="left"/>
            </w:pPr>
            <w:r>
              <w:t xml:space="preserve">V</w:t>
            </w:r>
          </w:p>
        </w:tc>
        <w:tc>
          <w:tcPr/>
          <w:p>
            <w:pPr>
              <w:pStyle w:val="Compact"/>
              <w:jc w:val="left"/>
            </w:pPr>
            <w:r>
              <w:t xml:space="preserve">Cận biên</w:t>
            </w:r>
          </w:p>
        </w:tc>
        <w:tc>
          <w:tcPr/>
          <w:p>
            <w:pPr>
              <w:pStyle w:val="Compact"/>
              <w:jc w:val="left"/>
            </w:pPr>
            <w:r>
              <w:t xml:space="preserve">GNI/người &lt;4.000 PPP; khoảng trống thể chế đáng kể</w:t>
            </w:r>
          </w:p>
        </w:tc>
        <w:tc>
          <w:tcPr/>
          <w:p>
            <w:pPr>
              <w:pStyle w:val="Compact"/>
              <w:jc w:val="left"/>
            </w:pPr>
            <w:r>
              <w:t xml:space="preserve">Bangladesh, Pakistan, Lào, Campuchia, Myanmar, Nepal, Bhutan, Maldives, Uzbekistan, Tajikistan, Kyrgyzstan, Turkmenistan, Afghanistan, Timor-Leste, Iraq, Lebanon, Yemen (17 nước)</w:t>
            </w:r>
          </w:p>
        </w:tc>
      </w:tr>
      <w:tr>
        <w:tc>
          <w:tcPr/>
          <w:p>
            <w:pPr>
              <w:pStyle w:val="Compact"/>
              <w:jc w:val="left"/>
            </w:pPr>
            <w:r>
              <w:t xml:space="preserve">VI</w:t>
            </w:r>
          </w:p>
        </w:tc>
        <w:tc>
          <w:tcPr/>
          <w:p>
            <w:pPr>
              <w:pStyle w:val="Compact"/>
              <w:jc w:val="left"/>
            </w:pPr>
            <w:r>
              <w:t xml:space="preserve">SIDS Thái Bình Dương</w:t>
            </w:r>
          </w:p>
        </w:tc>
        <w:tc>
          <w:tcPr/>
          <w:p>
            <w:pPr>
              <w:pStyle w:val="Compact"/>
              <w:jc w:val="left"/>
            </w:pPr>
            <w:r>
              <w:t xml:space="preserve">Đảo nhỏ; GDP &lt;10B; phụ thuộc cao; quốc tế hóa bắt buộc</w:t>
            </w:r>
          </w:p>
        </w:tc>
        <w:tc>
          <w:tcPr/>
          <w:p>
            <w:pPr>
              <w:pStyle w:val="Compact"/>
              <w:jc w:val="left"/>
            </w:pPr>
            <w:r>
              <w:t xml:space="preserve">Fiji, Kiribati, Papua New Guinea, Samoa, Solomon Islands, Tonga, Vanuatu</w:t>
            </w:r>
          </w:p>
        </w:tc>
      </w:tr>
    </w:tbl>
    <w:p>
      <w:pPr>
        <w:pStyle w:val="BodyText"/>
      </w:pPr>
      <w:r>
        <w:t xml:space="preserve">Tổng: 5 + 5 + 6 + 7 + 17 + 7 = 47 nền kinh tế.</w:t>
      </w:r>
      <w:r>
        <w:t xml:space="preserve"> </w:t>
      </w:r>
      <w:r>
        <w:rPr>
          <w:iCs/>
          <w:i/>
        </w:rPr>
        <w:t xml:space="preserve">(Ghi chú: phân tích SIDS Thái Bình Dương dùng bộ lọc WBES SIDS_small gồm 9 nước, bao gồm thêm Comoros và Timor-Leste không có trong khung ICRV lý thuyết.)</w:t>
      </w:r>
    </w:p>
    <w:p>
      <w:pPr>
        <w:pStyle w:val="BodyText"/>
      </w:pPr>
      <w:r>
        <w:t xml:space="preserve">Phân loại dựa trên GNI/người PPP (trung bình 2020-2024, World Bank), Chỉ số Đổi mới Sáng tạo Toàn cầu (WIPO GII), và tỉ trọng doanh thu tài nguyên (IMF Fiscal Monitor). Tất cả 47 nền kinh tế không thay đổi nhóm ICRV trong giai đoạn 2009-2025 (ngưỡng kiểm tra: chuyển nhóm nếu GNI/người vượt ngưỡng $</w:t>
      </w:r>
      <w:r>
        <w:t xml:space="preserve">$15% trong $</w:t>
      </w:r>
      <w:r>
        <w:t xml:space="preserve">$3 năm liên tiếp, không có trường hợp nào).</w:t>
      </w:r>
    </w:p>
    <w:bookmarkEnd w:id="77"/>
    <w:bookmarkStart w:id="78" w:name="chiến-lược-nhận-dạng-nhân-quả"/>
    <w:p>
      <w:pPr>
        <w:pStyle w:val="Heading5"/>
      </w:pPr>
      <w:r>
        <w:t xml:space="preserve">Chiến lược nhận dạng nhân quả</w:t>
      </w:r>
    </w:p>
    <w:p>
      <w:pPr>
        <w:pStyle w:val="FirstParagraph"/>
      </w:pPr>
      <w:r>
        <w:t xml:space="preserve">Tầng 1, OLS với sai số chuẩn vững và hiệu ứng cố định (tất cả mô hình M0-M7): SE HC1 (chuẩn), điều chỉnh không đồng nhất phương sai cấp doanh nghiệp; hiệu ứng cố định hai chiều (quốc gia × năm); kiểm tra VIF, kỳ vọng &lt; 10 cho các biến trọng tâm.</w:t>
      </w:r>
    </w:p>
    <w:p>
      <w:pPr>
        <w:pStyle w:val="BodyText"/>
      </w:pPr>
      <w:r>
        <w:t xml:space="preserve">Tầng 2, Biến công cụ (DAI trong M4, Nhóm IV):</w:t>
      </w:r>
      <w:r>
        <w:t xml:space="preserve"> </w:t>
      </w:r>
      <w:r>
        <w:t xml:space="preserve">Ứng viên biến công cụ: (1) mean DAI trung bình ngành loại trừ chính doanh nghiệp đó; (2) khoảng cách từ thành phố của doanh nghiệp đến trạm cáp ngầm biển gần nhất × năm.</w:t>
      </w:r>
      <w:r>
        <w:t xml:space="preserve"> </w:t>
      </w:r>
      <w:r>
        <w:t xml:space="preserve">F thống kê bậc một: phải</w:t>
      </w:r>
      <w:r>
        <w:t xml:space="preserve"> </w:t>
      </w:r>
      <m:oMath>
        <m:r>
          <m:rPr>
            <m:sty m:val="p"/>
          </m:rPr>
          <m:t>≥</m:t>
        </m:r>
      </m:oMath>
      <w:r>
        <w:t xml:space="preserve"> </w:t>
      </w:r>
      <w:r>
        <w:t xml:space="preserve">16 (ngưỡng Stock &amp; Yogo cho biến công cụ yếu).</w:t>
      </w:r>
      <w:r>
        <w:t xml:space="preserve"> </w:t>
      </w:r>
      <w:r>
        <w:t xml:space="preserve">Tham chiếu: phân tích Việt Nam đã cho thấy F bậc một = 34,6 với biến công cụ hợp lệ.</w:t>
      </w:r>
    </w:p>
    <w:p>
      <w:pPr>
        <w:pStyle w:val="BodyText"/>
      </w:pPr>
      <w:r>
        <w:t xml:space="preserve">Tầng 3, Kiểm định phi tuyến:</w:t>
      </w:r>
    </w:p>
    <w:p>
      <w:pPr>
        <w:pStyle w:val="BodyText"/>
      </w:pPr>
      <w:r>
        <w:t xml:space="preserve">Lind-Mehlum (2010) U-test: xác nhận chữ U ngược thực sự (không chỉ dấu đúng). Quy trình: kiểm tra</w:t>
      </w:r>
      <w:r>
        <w:t xml:space="preserve"> </w:t>
      </w:r>
      <m:oMath>
        <m:sSub>
          <m:e>
            <m:r>
              <m:t>β</m:t>
            </m:r>
          </m:e>
          <m:sub>
            <m:r>
              <m:t>1</m:t>
            </m:r>
          </m:sub>
        </m:sSub>
      </m:oMath>
      <w:r>
        <w:t xml:space="preserve"> </w:t>
      </w:r>
      <w:r>
        <w:t xml:space="preserve">&gt; 0 và</w:t>
      </w:r>
      <w:r>
        <w:t xml:space="preserve"> </w:t>
      </w:r>
      <m:oMath>
        <m:sSub>
          <m:e>
            <m:r>
              <m:t>β</m:t>
            </m:r>
          </m:e>
          <m:sub>
            <m:r>
              <m:t>2</m:t>
            </m:r>
          </m:sub>
        </m:sSub>
      </m:oMath>
      <w:r>
        <w:t xml:space="preserve"> </w:t>
      </w:r>
      <w:r>
        <w:t xml:space="preserve">&lt; 0; tính TP = −</w:t>
      </w:r>
      <m:oMath>
        <m:sSub>
          <m:e>
            <m:r>
              <m:t>β</m:t>
            </m:r>
          </m:e>
          <m:sub>
            <m:r>
              <m:t>1</m:t>
            </m:r>
          </m:sub>
        </m:sSub>
      </m:oMath>
      <w:r>
        <w:t xml:space="preserve">/(2</w:t>
      </w:r>
      <m:oMath>
        <m:sSub>
          <m:e>
            <m:r>
              <m:t>β</m:t>
            </m:r>
          </m:e>
          <m:sub>
            <m:r>
              <m:t>2</m:t>
            </m:r>
          </m:sub>
        </m:sSub>
      </m:oMath>
      <w:r>
        <w:t xml:space="preserve">) và 95% CI bằng delta method; kiểm định H₀: độ dốc tại min(FSTS)</w:t>
      </w:r>
      <w:r>
        <w:t xml:space="preserve"> </w:t>
      </w:r>
      <m:oMath>
        <m:r>
          <m:rPr>
            <m:sty m:val="p"/>
          </m:rPr>
          <m:t>≤</m:t>
        </m:r>
      </m:oMath>
      <w:r>
        <w:t xml:space="preserve"> </w:t>
      </w:r>
      <w:r>
        <w:t xml:space="preserve">0 HOẶC độ dốc tại max(FSTS)</w:t>
      </w:r>
      <w:r>
        <w:t xml:space="preserve"> </w:t>
      </w:r>
      <m:oMath>
        <m:r>
          <m:rPr>
            <m:sty m:val="p"/>
          </m:rPr>
          <m:t>≥</m:t>
        </m:r>
      </m:oMath>
      <w:r>
        <w:t xml:space="preserve"> </w:t>
      </w:r>
      <w:r>
        <w:t xml:space="preserve">0, bác bỏ H₀, kết luận có chữ U ngược thực sự.</w:t>
      </w:r>
    </w:p>
    <w:p>
      <w:pPr>
        <w:pStyle w:val="BodyText"/>
      </w:pPr>
      <w:r>
        <w:t xml:space="preserve">Paternoster z-test cho so sánh điểm uốn:</w:t>
      </w:r>
    </w:p>
    <w:p>
      <w:pPr>
        <w:pStyle w:val="BodyText"/>
      </w:pPr>
      <m:oMathPara>
        <m:oMathParaPr>
          <m:jc m:val="center"/>
        </m:oMathParaPr>
        <m:oMath>
          <m:r>
            <m:t>z</m:t>
          </m:r>
          <m:r>
            <m:rPr>
              <m:sty m:val="p"/>
            </m:rPr>
            <m:t>=</m:t>
          </m:r>
          <m:f>
            <m:fPr>
              <m:type m:val="bar"/>
            </m:fPr>
            <m:num>
              <m:sSub>
                <m:e>
                  <m:acc>
                    <m:accPr>
                      <m:chr m:val="̂"/>
                    </m:accPr>
                    <m:e>
                      <m:r>
                        <m:t>β</m:t>
                      </m:r>
                    </m:e>
                  </m:acc>
                </m:e>
                <m:sub>
                  <m:r>
                    <m:t>1</m:t>
                  </m:r>
                </m:sub>
              </m:sSub>
              <m:r>
                <m:rPr>
                  <m:sty m:val="p"/>
                </m:rPr>
                <m:t>−</m:t>
              </m:r>
              <m:sSub>
                <m:e>
                  <m:acc>
                    <m:accPr>
                      <m:chr m:val="̂"/>
                    </m:accPr>
                    <m:e>
                      <m:r>
                        <m:t>β</m:t>
                      </m:r>
                    </m:e>
                  </m:acc>
                </m:e>
                <m:sub>
                  <m:r>
                    <m:t>2</m:t>
                  </m:r>
                </m:sub>
              </m:sSub>
            </m:num>
            <m:den>
              <m:rad>
                <m:radPr>
                  <m:degHide m:val="on"/>
                </m:radPr>
                <m:deg/>
                <m:e>
                  <m:r>
                    <m:t>S</m:t>
                  </m:r>
                  <m:sSubSup>
                    <m:e>
                      <m:r>
                        <m:t>E</m:t>
                      </m:r>
                    </m:e>
                    <m:sub>
                      <m:r>
                        <m:t>1</m:t>
                      </m:r>
                    </m:sub>
                    <m:sup>
                      <m:r>
                        <m:t>2</m:t>
                      </m:r>
                    </m:sup>
                  </m:sSubSup>
                  <m:r>
                    <m:rPr>
                      <m:sty m:val="p"/>
                    </m:rPr>
                    <m:t>+</m:t>
                  </m:r>
                  <m:r>
                    <m:t>S</m:t>
                  </m:r>
                  <m:sSubSup>
                    <m:e>
                      <m:r>
                        <m:t>E</m:t>
                      </m:r>
                    </m:e>
                    <m:sub>
                      <m:r>
                        <m:t>2</m:t>
                      </m:r>
                    </m:sub>
                    <m:sup>
                      <m:r>
                        <m:t>2</m:t>
                      </m:r>
                    </m:sup>
                  </m:sSubSup>
                </m:e>
              </m:rad>
            </m:den>
          </m:f>
        </m:oMath>
      </m:oMathPara>
    </w:p>
    <w:p>
      <w:pPr>
        <w:pStyle w:val="FirstParagraph"/>
      </w:pPr>
      <w:r>
        <w:t xml:space="preserve">Áp dụng: so sánh TP(Nhóm I) vs TP(Nhóm IV) cho H5; so sánh hệ số</w:t>
      </w:r>
      <w:r>
        <w:t xml:space="preserve"> </w:t>
      </w:r>
      <m:oMath>
        <m:sSup>
          <m:e>
            <m:r>
              <m:rPr>
                <m:nor/>
                <m:sty m:val="p"/>
              </m:rPr>
              <m:t>FSTS</m:t>
            </m:r>
          </m:e>
          <m:sup>
            <m:r>
              <m:t>2</m:t>
            </m:r>
          </m:sup>
        </m:sSup>
      </m:oMath>
      <w:r>
        <w:t xml:space="preserve"> </w:t>
      </w:r>
      <w:r>
        <w:t xml:space="preserve">giữa Year_bucket cho H6.</w:t>
      </w:r>
    </w:p>
    <w:p>
      <w:pPr>
        <w:pStyle w:val="BodyText"/>
      </w:pPr>
      <w:r>
        <w:t xml:space="preserve">LOWESS phi tham số: bộ làm trơn cục bộ (smoother; bandwidth = 0,4) vẽ ln(LP) ~ FSTS; nếu hình dạng trực quan nhất quán với chữ U ngược, đây là bằng chứng xác nhận không phụ thuộc giả định phân phối.</w:t>
      </w:r>
    </w:p>
    <w:p>
      <w:pPr>
        <w:pStyle w:val="BodyText"/>
      </w:pPr>
      <w:r>
        <w:t xml:space="preserve">Tầng 4, Nhân rộng mẫu con: Pool đủ lớn (101.185) cho phép chạy M0-M7 riêng cho từng nhóm ICRV (Nhóm I: ~6.500; Nhóm IV: ~28.000) để kiểm định tính không đồng nhất.</w:t>
      </w:r>
    </w:p>
    <w:bookmarkEnd w:id="78"/>
    <w:bookmarkEnd w:id="79"/>
    <w:bookmarkStart w:id="80" w:name="kế-hoạch-kiểm-định-độ-vững"/>
    <w:p>
      <w:pPr>
        <w:pStyle w:val="Heading4"/>
      </w:pPr>
      <w:r>
        <w:t xml:space="preserve">2.3.7 Kế hoạch kiểm định độ vững</w:t>
      </w:r>
    </w:p>
    <w:p>
      <w:pPr>
        <w:pStyle w:val="FirstParagraph"/>
      </w:pPr>
      <w:r>
        <w:t xml:space="preserve">Kế hoạch kiểm định độ vững được thiết kế theo sáu nhóm, mỗi nhóm trả lời một mối lo cụ thể.</w:t>
      </w:r>
    </w:p>
    <w:p>
      <w:pPr>
        <w:pStyle w:val="BodyText"/>
      </w:pPr>
      <w:r>
        <w:t xml:space="preserve">Bảng 2.12. Kế hoạch kiểm định độ vững, sáu nhóm.</w:t>
      </w:r>
    </w:p>
    <w:tbl>
      <w:tblPr>
        <w:tblStyle w:val="Table"/>
        <w:tblW w:type="pct" w:w="5000"/>
        <w:tblLook w:firstRow="1" w:lastRow="0" w:firstColumn="0" w:lastColumn="0" w:noHBand="0" w:noVBand="0" w:val="0020"/>
        <w:jc w:val="start"/>
      </w:tblPr>
      <w:tblGrid>
        <w:gridCol w:w="1188"/>
        <w:gridCol w:w="1584"/>
        <w:gridCol w:w="3366"/>
        <w:gridCol w:w="1782"/>
      </w:tblGrid>
      <w:tr>
        <w:trPr>
          <w:tblHeader w:val="true"/>
        </w:trPr>
        <w:tc>
          <w:tcPr/>
          <w:p>
            <w:pPr>
              <w:pStyle w:val="Compact"/>
              <w:jc w:val="left"/>
            </w:pPr>
            <w:r>
              <w:t xml:space="preserve">Nhóm</w:t>
            </w:r>
          </w:p>
        </w:tc>
        <w:tc>
          <w:tcPr/>
          <w:p>
            <w:pPr>
              <w:pStyle w:val="Compact"/>
              <w:jc w:val="left"/>
            </w:pPr>
            <w:r>
              <w:t xml:space="preserve">Mối lo</w:t>
            </w:r>
          </w:p>
        </w:tc>
        <w:tc>
          <w:tcPr/>
          <w:p>
            <w:pPr>
              <w:pStyle w:val="Compact"/>
              <w:jc w:val="left"/>
            </w:pPr>
            <w:r>
              <w:t xml:space="preserve">Kiểm định cụ thể</w:t>
            </w:r>
          </w:p>
        </w:tc>
        <w:tc>
          <w:tcPr/>
          <w:p>
            <w:pPr>
              <w:pStyle w:val="Compact"/>
              <w:jc w:val="left"/>
            </w:pPr>
            <w:r>
              <w:t xml:space="preserve">Kỳ vọng</w:t>
            </w:r>
          </w:p>
        </w:tc>
      </w:tr>
      <w:tr>
        <w:tc>
          <w:tcPr/>
          <w:p>
            <w:pPr>
              <w:pStyle w:val="Compact"/>
              <w:jc w:val="left"/>
            </w:pPr>
            <w:r>
              <w:t xml:space="preserve">R1 Thay đổi thước đo</w:t>
            </w:r>
          </w:p>
        </w:tc>
        <w:tc>
          <w:tcPr/>
          <w:p>
            <w:pPr>
              <w:pStyle w:val="Compact"/>
              <w:jc w:val="left"/>
            </w:pPr>
            <w:r>
              <w:t xml:space="preserve">Biến phụ thuộc/độc lập/điều tiết khác nhau</w:t>
            </w:r>
          </w:p>
        </w:tc>
        <w:tc>
          <w:tcPr/>
          <w:p>
            <w:pPr>
              <w:pStyle w:val="Compact"/>
              <w:jc w:val="left"/>
            </w:pPr>
            <w:r>
              <w:t xml:space="preserve">(a) Biến phụ thuộc thành ROS; (b) Biến độc lập thành dummy exporter; (c) TCI 3-item (loại h1); (d) DAI Tier 1 only (c22b) xuyên tất cả schema</w:t>
            </w:r>
          </w:p>
        </w:tc>
        <w:tc>
          <w:tcPr/>
          <w:p>
            <w:pPr>
              <w:pStyle w:val="Compact"/>
              <w:jc w:val="left"/>
            </w:pPr>
            <w:r>
              <w:t xml:space="preserve">Dấu hệ số giữ nguyên; magnitude có thể khác</w:t>
            </w:r>
          </w:p>
        </w:tc>
      </w:tr>
      <w:tr>
        <w:tc>
          <w:tcPr/>
          <w:p>
            <w:pPr>
              <w:pStyle w:val="Compact"/>
              <w:jc w:val="left"/>
            </w:pPr>
            <w:r>
              <w:t xml:space="preserve">R2 Lọc mẫu</w:t>
            </w:r>
          </w:p>
        </w:tc>
        <w:tc>
          <w:tcPr/>
          <w:p>
            <w:pPr>
              <w:pStyle w:val="Compact"/>
              <w:jc w:val="left"/>
            </w:pPr>
            <w:r>
              <w:t xml:space="preserve">Thiên lệch chọn lựa từ thành phần mẫu</w:t>
            </w:r>
          </w:p>
        </w:tc>
        <w:tc>
          <w:tcPr/>
          <w:p>
            <w:pPr>
              <w:pStyle w:val="Compact"/>
              <w:jc w:val="left"/>
            </w:pPr>
            <w:r>
              <w:t xml:space="preserve">(a) Loại doanh nghiệp vi mô (&lt;5 lao động); (b) Loại SOE (sở hữu nhà nước &gt;50%); (c) Chỉ sản xuất (ISIC 10-33); (d) Chỉ doanh nghiệp xuất khẩu (FSTS &gt; 0)</w:t>
            </w:r>
          </w:p>
        </w:tc>
        <w:tc>
          <w:tcPr/>
          <w:p>
            <w:pPr>
              <w:pStyle w:val="Compact"/>
              <w:jc w:val="left"/>
            </w:pPr>
            <w:r>
              <w:t xml:space="preserve">Kết quả cốt lõi vững với các mẫu khác nhau</w:t>
            </w:r>
          </w:p>
        </w:tc>
      </w:tr>
      <w:tr>
        <w:tc>
          <w:tcPr/>
          <w:p>
            <w:pPr>
              <w:pStyle w:val="Compact"/>
              <w:jc w:val="left"/>
            </w:pPr>
            <w:r>
              <w:t xml:space="preserve">R3 Thay đổi phương pháp</w:t>
            </w:r>
          </w:p>
        </w:tc>
        <w:tc>
          <w:tcPr/>
          <w:p>
            <w:pPr>
              <w:pStyle w:val="Compact"/>
              <w:jc w:val="left"/>
            </w:pPr>
            <w:r>
              <w:t xml:space="preserve">Vi phạm giả định OLS</w:t>
            </w:r>
          </w:p>
        </w:tc>
        <w:tc>
          <w:tcPr/>
          <w:p>
            <w:pPr>
              <w:pStyle w:val="Compact"/>
              <w:jc w:val="left"/>
            </w:pPr>
            <w:r>
              <w:t xml:space="preserve">(a) Hồi quy phân vị tại p25/p50/p75; (b) HC3 thay HC1; (c) Bootstrap SE (1.000 lần); (d) Clustered SE tại cấp quốc gia</w:t>
            </w:r>
          </w:p>
        </w:tc>
        <w:tc>
          <w:tcPr/>
          <w:p>
            <w:pPr>
              <w:pStyle w:val="Compact"/>
              <w:jc w:val="left"/>
            </w:pPr>
            <w:r>
              <w:t xml:space="preserve">Bảo toàn dấu; CI có thể rộng hơn</w:t>
            </w:r>
          </w:p>
        </w:tc>
      </w:tr>
      <w:tr>
        <w:tc>
          <w:tcPr/>
          <w:p>
            <w:pPr>
              <w:pStyle w:val="Compact"/>
              <w:jc w:val="left"/>
            </w:pPr>
            <w:r>
              <w:t xml:space="preserve">R4 Kiểm tra dạng hàm</w:t>
            </w:r>
          </w:p>
        </w:tc>
        <w:tc>
          <w:tcPr/>
          <w:p>
            <w:pPr>
              <w:pStyle w:val="Compact"/>
              <w:jc w:val="left"/>
            </w:pPr>
            <w:r>
              <w:t xml:space="preserve">Sai lệch dạng hàm</w:t>
            </w:r>
          </w:p>
        </w:tc>
        <w:tc>
          <w:tcPr/>
          <w:p>
            <w:pPr>
              <w:pStyle w:val="Compact"/>
              <w:jc w:val="left"/>
            </w:pPr>
            <w:r>
              <w:t xml:space="preserve">(a) LOWESS phi tham số; (b) RESET test; (c) Đa thức phân số; (d) Hồi quy spline với 3 knots</w:t>
            </w:r>
          </w:p>
        </w:tc>
        <w:tc>
          <w:tcPr/>
          <w:p>
            <w:pPr>
              <w:pStyle w:val="Compact"/>
              <w:jc w:val="left"/>
            </w:pPr>
            <w:r>
              <w:t xml:space="preserve">LOWESS nhất quán với fit bậc hai</w:t>
            </w:r>
          </w:p>
        </w:tc>
      </w:tr>
      <w:tr>
        <w:tc>
          <w:tcPr/>
          <w:p>
            <w:pPr>
              <w:pStyle w:val="Compact"/>
              <w:jc w:val="left"/>
            </w:pPr>
            <w:r>
              <w:t xml:space="preserve">R5 Placebo tests</w:t>
            </w:r>
          </w:p>
        </w:tc>
        <w:tc>
          <w:tcPr/>
          <w:p>
            <w:pPr>
              <w:pStyle w:val="Compact"/>
              <w:jc w:val="left"/>
            </w:pPr>
            <w:r>
              <w:t xml:space="preserve">Tương quan giả</w:t>
            </w:r>
          </w:p>
        </w:tc>
        <w:tc>
          <w:tcPr/>
          <w:p>
            <w:pPr>
              <w:pStyle w:val="Compact"/>
              <w:jc w:val="left"/>
            </w:pPr>
            <w:r>
              <w:t xml:space="preserve">(a) Thay FSTS bằng biến ngẫu nhiên, không tìm thấy phi tuyến; (b) Thay TCI bằng nhiễu, không có điều tiết; (c) Kiểm tra nhân quả đảo chiều</w:t>
            </w:r>
          </w:p>
        </w:tc>
        <w:tc>
          <w:tcPr/>
          <w:p>
            <w:pPr>
              <w:pStyle w:val="Compact"/>
              <w:jc w:val="left"/>
            </w:pPr>
            <w:r>
              <w:t xml:space="preserve">Placebo tests không cho kết quả có ý nghĩa</w:t>
            </w:r>
          </w:p>
        </w:tc>
      </w:tr>
      <w:tr>
        <w:tc>
          <w:tcPr/>
          <w:p>
            <w:pPr>
              <w:pStyle w:val="Compact"/>
              <w:jc w:val="left"/>
            </w:pPr>
            <w:r>
              <w:t xml:space="preserve">R6 Nhạy cảm thiết kế</w:t>
            </w:r>
          </w:p>
        </w:tc>
        <w:tc>
          <w:tcPr/>
          <w:p>
            <w:pPr>
              <w:pStyle w:val="Compact"/>
              <w:jc w:val="left"/>
            </w:pPr>
            <w:r>
              <w:t xml:space="preserve">Tự do lựa chọn của nhà nghiên cứu</w:t>
            </w:r>
          </w:p>
        </w:tc>
        <w:tc>
          <w:tcPr/>
          <w:p>
            <w:pPr>
              <w:pStyle w:val="Compact"/>
              <w:jc w:val="left"/>
            </w:pPr>
            <w:r>
              <w:t xml:space="preserve">(a) Ngưỡng ICRV khác (GNI thay PPP GDP); (b) Giai đoạn thời gian: 2009-11/12-16/17-25; (c) Loại từng quốc gia (jackknife 47 lần); (d) Ngưỡng Tier DAI khác nhau</w:t>
            </w:r>
          </w:p>
        </w:tc>
        <w:tc>
          <w:tcPr/>
          <w:p>
            <w:pPr>
              <w:pStyle w:val="Compact"/>
              <w:jc w:val="left"/>
            </w:pPr>
            <w:r>
              <w:t xml:space="preserve">Kết quả cốt lõi ổn định</w:t>
            </w:r>
          </w:p>
        </w:tc>
      </w:tr>
    </w:tbl>
    <w:p>
      <w:pPr>
        <w:pStyle w:val="BodyText"/>
      </w:pPr>
      <w:r>
        <w:t xml:space="preserve">Ngưỡng chấp nhận cho các tham số quan trọng qua kiểm định độ vững:</w:t>
      </w:r>
      <w:r>
        <w:t xml:space="preserve"> </w:t>
      </w:r>
      <m:oMath>
        <m:sSub>
          <m:e>
            <m:r>
              <m:t>β</m:t>
            </m:r>
          </m:e>
          <m:sub>
            <m:r>
              <m:t>1</m:t>
            </m:r>
          </m:sub>
        </m:sSub>
      </m:oMath>
      <w:r>
        <w:t xml:space="preserve">(FSTS) trong khoảng [0,1; 3,0];</w:t>
      </w:r>
      <w:r>
        <w:t xml:space="preserve"> </w:t>
      </w:r>
      <m:oMath>
        <m:sSub>
          <m:e>
            <m:r>
              <m:t>β</m:t>
            </m:r>
          </m:e>
          <m:sub>
            <m:r>
              <m:t>2</m:t>
            </m:r>
          </m:sub>
        </m:sSub>
      </m:oMath>
      <w:r>
        <w:t xml:space="preserve">(</w:t>
      </w:r>
      <m:oMath>
        <m:sSup>
          <m:e>
            <m:r>
              <m:rPr>
                <m:nor/>
                <m:sty m:val="p"/>
              </m:rPr>
              <m:t>FSTS</m:t>
            </m:r>
          </m:e>
          <m:sup>
            <m:r>
              <m:t>2</m:t>
            </m:r>
          </m:sup>
        </m:sSup>
      </m:oMath>
      <w:r>
        <w:t xml:space="preserve">) trong khoảng [−2,5; −0,1]; điểm uốn trong khoảng [20%; 90%]; β(TCI) trong khoảng [0,05; 0,5]; β(</w:t>
      </w:r>
      <m:oMath>
        <m:sSup>
          <m:e>
            <m:r>
              <m:rPr>
                <m:nor/>
                <m:sty m:val="p"/>
              </m:rPr>
              <m:t>FSTS</m:t>
            </m:r>
          </m:e>
          <m:sup>
            <m:r>
              <m:t>2</m:t>
            </m:r>
          </m:sup>
        </m:sSup>
      </m:oMath>
      <w:r>
        <w:t xml:space="preserve">×DAI) Nhóm I trong khoảng [0,5; 6,0].</w:t>
      </w:r>
    </w:p>
    <w:p>
      <w:pPr>
        <w:pStyle w:val="BodyText"/>
      </w:pPr>
      <w:r>
        <w:t xml:space="preserve">Quy trình báo cáo: nếu $</w:t>
      </w:r>
      <w:r>
        <w:t xml:space="preserve">$4/6 nhóm R1-R6 cho kết quả nhất quán với chuẩn (dấu đúng, p &lt; 0,10), kết quả được coi là</w:t>
      </w:r>
      <w:r>
        <w:t xml:space="preserve"> </w:t>
      </w:r>
      <w:r>
        <w:t xml:space="preserve">“</w:t>
      </w:r>
      <w:r>
        <w:t xml:space="preserve">xác nhận mạnh</w:t>
      </w:r>
      <w:r>
        <w:t xml:space="preserve">”</w:t>
      </w:r>
      <w:r>
        <w:t xml:space="preserve">. Nếu chỉ 2-3/6 nhóm nhất quán, kết quả là</w:t>
      </w:r>
      <w:r>
        <w:t xml:space="preserve"> </w:t>
      </w:r>
      <w:r>
        <w:t xml:space="preserve">“</w:t>
      </w:r>
      <w:r>
        <w:t xml:space="preserve">hỗ trợ có điều kiện</w:t>
      </w:r>
      <w:r>
        <w:t xml:space="preserve">”</w:t>
      </w:r>
      <w:r>
        <w:t xml:space="preserve">. Nếu &lt; 2/6 nhóm nhất quán, kết quả cần tái xem xét và không được tuyên bố giả thuyết được xác nhận.</w:t>
      </w:r>
    </w:p>
    <w:bookmarkEnd w:id="80"/>
    <w:bookmarkStart w:id="84" w:name="Xa7a3e024942ac139f282b38617464477c22cff4"/>
    <w:p>
      <w:pPr>
        <w:pStyle w:val="Heading4"/>
      </w:pPr>
      <w:r>
        <w:t xml:space="preserve">2.3.8 Thảo luận: đóng góp lý thuyết và thực tiễn</w:t>
      </w:r>
    </w:p>
    <w:bookmarkStart w:id="81" w:name="đóng-góp-lý-thuyết"/>
    <w:p>
      <w:pPr>
        <w:pStyle w:val="Heading5"/>
      </w:pPr>
      <w:r>
        <w:t xml:space="preserve">Đóng góp lý thuyết</w:t>
      </w:r>
    </w:p>
    <w:p>
      <w:pPr>
        <w:pStyle w:val="FirstParagraph"/>
      </w:pPr>
      <w:r>
        <w:t xml:space="preserve">Đóng góp 1: Khung tích hợp 4 tầng + Foundational Digital Adoption Framework cho châu Á. Không có khung tương đương trong các nghiên cứu IB cho khu vực 47 nền kinh tế bao gồm cả quốc đảo nhỏ Thái Bình Dương. Khung tích hợp Uppsala + RBV + Institutional Theory + Upper Echelons + Foundational Digital Adoption Framework cho phép giải thích đồng thời tính không đồng nhất quan sát được, điều mà các mô hình đơn lý thuyết không làm được.</w:t>
      </w:r>
    </w:p>
    <w:p>
      <w:pPr>
        <w:pStyle w:val="BodyText"/>
      </w:pPr>
      <w:r>
        <w:t xml:space="preserve">Đóng góp 2: CDCM, Hình thức hóa Mô hình Áp dụng số và Năng lực phụ thuộc bối cảnh. CDCM được phát hiện trong phân tích mô tả Chuyên đề Tiến sĩ số 1 và được làm sắc nét trong chuyên đề này qua H3: DAI là năng lực phụ thuộc bối cảnh (không phải phần thưởng đồng nhất), với tác động phụ thuộc ba chiều ngữ cảnh (chế độ × mức FSTS × bão hòa số). CDCM lấp đầy khoảng trống tại giao điểm của lý thuyết IB số và lý thuyết thể chế, chưa có trong các nghiên cứu.</w:t>
      </w:r>
    </w:p>
    <w:p>
      <w:pPr>
        <w:pStyle w:val="BodyText"/>
      </w:pPr>
      <w:r>
        <w:t xml:space="preserve">Đóng góp 3: Phân loại nhánh Advanced thành Nhóm I và Nhóm II. Phát hiện từ phân tích mô tả về tính không đồng nhất trong Advanced, Nhóm I (tiên tiến đổi mới: Singapore, Korea, HK, Đài Loan) vs. Nhóm II (tiên tiến tài nguyên: Saudi, Qatar, Kuwait, Bahrain), được tích hợp vào H5 như dự đoán lý thuyết: cùng GNI/người cao nhưng cơ chế I-P khác nhau do nguồn lực dẫn dắt khác nhau.</w:t>
      </w:r>
    </w:p>
    <w:p>
      <w:pPr>
        <w:pStyle w:val="BodyText"/>
      </w:pPr>
      <w:r>
        <w:t xml:space="preserve">Đóng góp 4: Giả thuyết gánh nặng bắt buộc trong khung I-P. Dạng hàm forced penalty (SIDS Nhóm VI) được tích hợp vào H5 như trường hợp cực đoan của dải biến thiên thể chế, SIDS không có chữ U ngược điển hình do quốc tế hóa bắt buộc (Briguglio, 1995). Tích hợp này mở rộng dòng nghiên cứu về quan hệ I-P từ châu Á lục địa sang các quốc đảo nhỏ Thái Bình Dương.</w:t>
      </w:r>
    </w:p>
    <w:bookmarkEnd w:id="81"/>
    <w:bookmarkStart w:id="82" w:name="đóng-góp-về-mô-hình-và-phương-pháp"/>
    <w:p>
      <w:pPr>
        <w:pStyle w:val="Heading5"/>
      </w:pPr>
      <w:r>
        <w:t xml:space="preserve">Đóng góp về mô hình và phương pháp</w:t>
      </w:r>
    </w:p>
    <w:p>
      <w:pPr>
        <w:pStyle w:val="FirstParagraph"/>
      </w:pPr>
      <w:r>
        <w:t xml:space="preserve">Đóng góp 5: Tám mô hình M0-M7 với điều tiết ba chiều (M7), và một ranh giới cấu trúc có giá trị lý thuyết. Chuỗi mô hình lồng nhau cho phép kiểm định từng cơ chế riêng biệt trước khi tích hợp. M7 là mô hình đầu tiên trong các nghiên cứu châu Á kiểm định đồng thời I×TCI×DAI điều tiết ba chiều kết hợp với tính không đồng nhất thời gian. Đáng chú ý, kết quả tổng hợp (phân tích đa quốc gia 45 nền kinh tế) cho thấy tương tác ba chiều FSTS×DAI×ICRV là null (β</w:t>
      </w:r>
      <w:r>
        <w:t xml:space="preserve"> </w:t>
      </w:r>
      <m:oMath>
        <m:r>
          <m:rPr>
            <m:sty m:val="p"/>
          </m:rPr>
          <m:t>≈</m:t>
        </m:r>
      </m:oMath>
      <w:r>
        <w:t xml:space="preserve"> </w:t>
      </w:r>
      <w:r>
        <w:t xml:space="preserve">−0,001), trong khi tương tác hai chiều DAI×ICRV (Lá chắn số) lại có ý nghĩa (p = 0,049). Đây không phải khiếm khuyết của thiết kế mà là một đóng góp định vị ranh giới: số hóa bề mặt Tier-1 không định hình lại độ cong đường cong I-P (bằng chứng về sự lỗi thời của công nghệ số bề mặt), nhưng năng lực số vẫn bảo vệ mặt bằng năng suất ở chế độ thể chế yếu. Khung do đó làm rõ ranh giới hiệu lực của DAI thay vì khuếch đại quá mức vai trò của nó.</w:t>
      </w:r>
    </w:p>
    <w:p>
      <w:pPr>
        <w:pStyle w:val="BodyText"/>
      </w:pPr>
      <w:r>
        <w:t xml:space="preserve">Đóng góp 6: Pool 101.185 doanh nghiệp, rộng nhất cho nghiên cứu I-P châu Á. Ba thế hệ schema WBES được hòa hợp qua giao thức chi tiết. Pool này đủ lớn để chạy nhân rộng mẫu con theo ICRV và giai đoạn thời gian với power đầy đủ.</w:t>
      </w:r>
    </w:p>
    <w:p>
      <w:pPr>
        <w:pStyle w:val="BodyText"/>
      </w:pPr>
      <w:r>
        <w:t xml:space="preserve">Đóng góp 7: Chiến lược nhận dạng đa tầng tích hợp biến công cụ. Kết hợp sai số chuẩn vững HC1/HC3, hiệu ứng cố định hai chiều, nhận dạng IV (F bậc một &gt; 16), và kiểm định z Paternoster cho so sánh xuyên nhóm tạo ra chiến lược nhận dạng mạnh nhất có thể với dữ liệu WBES cắt ngang. Đặc biệt, việc tách DAI nhân quả so với phụ thuộc chọn lựa (từ bằng chứng phân tích Việt Nam IV) là bước tiến quan trọng trong phân tích áp dụng số trong IB.</w:t>
      </w:r>
    </w:p>
    <w:p>
      <w:pPr>
        <w:pStyle w:val="BodyText"/>
      </w:pPr>
      <w:r>
        <w:t xml:space="preserve">Đóng góp 8: Thiết kế giai đoạn thời gian ba giai đoạn. Phân chia 14 sóng WBES thành ba giai đoạn (2009-12 / 2013-17 / 2018-25) và kiểm định tương tác FSTS×Year_bucket là thiết kế chưa được áp dụng trong các nghiên cứu về quan hệ I-P cho châu Á. Bằng chứng từ phân tích Việt Nam và Trung Quốc neo đậu kỳ vọng thực nghiệm.</w:t>
      </w:r>
    </w:p>
    <w:bookmarkEnd w:id="82"/>
    <w:bookmarkStart w:id="83" w:name="hàm-ý-chính-sách"/>
    <w:p>
      <w:pPr>
        <w:pStyle w:val="Heading5"/>
      </w:pPr>
      <w:r>
        <w:t xml:space="preserve">Hàm ý chính sách</w:t>
      </w:r>
    </w:p>
    <w:p>
      <w:pPr>
        <w:pStyle w:val="FirstParagraph"/>
      </w:pPr>
      <w:r>
        <w:t xml:space="preserve">Cho doanh nghiệp Việt Nam và châu Á mới nổi:</w:t>
      </w:r>
    </w:p>
    <w:p>
      <w:pPr>
        <w:pStyle w:val="BodyText"/>
      </w:pPr>
      <w:r>
        <w:t xml:space="preserve">Đầu tư vào TCI trước DAI: bằng chứng biến công cụ (phân tích Việt Nam) cho thấy chỉ TCI là nhân quả, trong khi DAI dương trong OLS là phụ thuộc chọn lựa. Doanh nghiệp nên ưu tiên xây dựng năng lực công nghệ thực chất (ISO, R&amp;D, công nghệ nước ngoài) trước khi đầu tư vào áp dụng số.</w:t>
      </w:r>
    </w:p>
    <w:p>
      <w:pPr>
        <w:pStyle w:val="BodyText"/>
      </w:pPr>
      <w:r>
        <w:t xml:space="preserve">Ngưỡng điểm uốn 39-46% FSTS cho Việt Nam: doanh nghiệp tiếp cận 40% FSTS cần đánh giá lại chiến lược quốc tế hóa, tăng cường năng lực điều phối thay vì chỉ tăng tỉ lệ xuất khẩu.</w:t>
      </w:r>
    </w:p>
    <w:p>
      <w:pPr>
        <w:pStyle w:val="BodyText"/>
      </w:pPr>
      <w:r>
        <w:t xml:space="preserve">DAI phát huy mạnh khi FSTS cao và môi trường thể chế tốt: Nhóm I (Singapore) cho thấy DAI×</w:t>
      </w:r>
      <m:oMath>
        <m:sSup>
          <m:e>
            <m:r>
              <m:rPr>
                <m:nor/>
                <m:sty m:val="p"/>
              </m:rPr>
              <m:t>FSTS</m:t>
            </m:r>
          </m:e>
          <m:sup>
            <m:r>
              <m:t>2</m:t>
            </m:r>
          </m:sup>
        </m:sSup>
      </m:oMath>
      <w:r>
        <w:t xml:space="preserve"> </w:t>
      </w:r>
      <w:r>
        <w:t xml:space="preserve">= +3,119, khi doanh nghiệp đã ở mức FSTS cao và hoạt động trong môi trường thể chế tốt, DAI mới trở thành đòn bẩy mở rộng.</w:t>
      </w:r>
    </w:p>
    <w:p>
      <w:pPr>
        <w:pStyle w:val="BodyText"/>
      </w:pPr>
      <w:r>
        <w:t xml:space="preserve">Cho nhà hoạch định chính sách:</w:t>
      </w:r>
    </w:p>
    <w:p>
      <w:pPr>
        <w:pStyle w:val="BodyText"/>
      </w:pPr>
      <w:r>
        <w:t xml:space="preserve">Dải biến thiên ICRV cho thấy chính sách hỗ trợ quốc tế hóa cần phân biệt theo chế độ thể chế, những gì hiệu quả ở Singapore không nhất thiết hiệu quả ở Bangladesh.</w:t>
      </w:r>
    </w:p>
    <w:p>
      <w:pPr>
        <w:pStyle w:val="BodyText"/>
      </w:pPr>
      <w:r>
        <w:t xml:space="preserve">Tính không đồng nhất thời gian H6, chính sách năm 2025 không thể sao chép chính sách năm 2009; AI bùng nổ tạo ra cơ hội mới cho DAI trong giai đoạn 2018 trở đi.</w:t>
      </w:r>
    </w:p>
    <w:p>
      <w:pPr>
        <w:pStyle w:val="BodyText"/>
      </w:pPr>
      <w:r>
        <w:t xml:space="preserve">SIDS gánh nặng bắt buộc, các quốc đảo nhỏ Thái Bình Dương cần khung chính sách khác hoàn toàn, không áp dụng cơ chế chữ U ngược chuẩn.</w:t>
      </w:r>
    </w:p>
    <w:p>
      <w:r>
        <w:pict>
          <v:rect style="width:0;height:1.5pt" o:hralign="center" o:hrstd="t" o:hr="t"/>
        </w:pict>
      </w:r>
    </w:p>
    <w:bookmarkEnd w:id="83"/>
    <w:bookmarkEnd w:id="84"/>
    <w:bookmarkEnd w:id="85"/>
    <w:bookmarkStart w:id="90" w:name="kết-luận-và-đề-xuất"/>
    <w:p>
      <w:pPr>
        <w:pStyle w:val="Heading3"/>
      </w:pPr>
      <w:r>
        <w:t xml:space="preserve">2.4 Kết luận và đề xuất</w:t>
      </w:r>
    </w:p>
    <w:bookmarkStart w:id="86" w:name="kết-luận"/>
    <w:p>
      <w:pPr>
        <w:pStyle w:val="Heading4"/>
      </w:pPr>
      <w:r>
        <w:t xml:space="preserve">2.4.1 Kết luận</w:t>
      </w:r>
    </w:p>
    <w:p>
      <w:pPr>
        <w:pStyle w:val="FirstParagraph"/>
      </w:pPr>
      <w:r>
        <w:t xml:space="preserve">Chuyên đề này xây dựng một mô hình nghiên cứu toàn diện về quan hệ quốc tế hóa - hiệu quả (I-P) cho châu Á và Thái Bình Dương. Mô hình tích hợp năm tầng lý thuyết, Uppsala, RBV, Institutional Theory, Upper Echelons, Foundational Digital Adoption Framework, vào tám mô hình thực nghiệm M0-M7 có thể kiểm định trên pool 101.185 doanh nghiệp WBES xuyên 47 nền kinh tế và 108 cặp quốc gia-năm. Hệ giả thuyết H1-H6 được phát triển có neo đậu thực nghiệm từ ba bản thảo đồng hành (phân tích Việt Nam, Singapore và Trung Quốc), xác nhận tính khả nghiệm của khung đề xuất trước khi áp dụng cho toàn pool.</w:t>
      </w:r>
    </w:p>
    <w:p>
      <w:pPr>
        <w:pStyle w:val="BodyText"/>
      </w:pPr>
      <w:r>
        <w:t xml:space="preserve">Kết quả dự kiến từ bằng chứng neo đậu: H1 (phi tuyến) xác nhận chữ U ngược ở hầu hết nhóm ICRV với độ cong (concavity / biên độ) sâu dần khi chất lượng thể chế suy giảm, điểm uốn theo nhóm không đồng nhất (cụm quanh ~40%) và không dịch chuyển đơn điệu; H2 (TCI nâng mặt bằng) TCI dương bền vững và nhân quả; H3a (DAI Emerging/Frontier) khám phá; H3b (DAI Advanced) β(</w:t>
      </w:r>
      <m:oMath>
        <m:sSup>
          <m:e>
            <m:r>
              <m:rPr>
                <m:nor/>
                <m:sty m:val="p"/>
              </m:rPr>
              <m:t>FSTS</m:t>
            </m:r>
          </m:e>
          <m:sup>
            <m:r>
              <m:t>2</m:t>
            </m:r>
          </m:sup>
        </m:sSup>
      </m:oMath>
      <w:r>
        <w:t xml:space="preserve">×DAI) dương trong Nhóm I (phân tích Singapore xác nhận), null/phụ thuộc chọn lựa trong Nhóm IV (phân tích Việt Nam IV null); H4 (kiểm soát quản trị nội sinh) đặc điểm nhà quản trị được ước lượng như nhóm biến kiểm soát quản trị nội sinh, không phải nhân tố điều tiết trọng tâm; H5 (ICRV) độ cong sâu dần theo dải biến thiên thể chế từ Nhóm I đến Nhóm V, Nhóm VI gánh nặng bắt buộc, củng cố bởi Lá chắn số DAI×ICRV (p = 0,049); H6 (Thời gian) DAI dịch chuyển 2009 đến 2023, TCI tăng cường theo thời gian.</w:t>
      </w:r>
    </w:p>
    <w:p>
      <w:pPr>
        <w:pStyle w:val="BodyText"/>
      </w:pPr>
      <w:r>
        <w:t xml:space="preserve">Đóng góp trung tâm, CDCM, giải thích tại sao DAI hoạt động như năng lực phụ thuộc bối cảnh chứ không phải phần thưởng đồng nhất: tác động phụ thuộc đồng thời vào chế độ thể chế, mức FSTS, và mức độ bão hòa số của nền kinh tế. Đây là bước tiến lý thuyết quan trọng, kết nối lý thuyết IB số với lý thuyết thể chế trong một khung thống nhất và có thể kiểm định.</w:t>
      </w:r>
    </w:p>
    <w:p>
      <w:pPr>
        <w:pStyle w:val="BodyText"/>
      </w:pPr>
      <w:r>
        <w:t xml:space="preserve">Thông điệp chính sách cốt lõi: không có một công thức duy nhất cho quốc tế hóa thành công, chế độ thể chế, năng lực công nghệ nội tại, và mức độ số hóa cùng quyết định hiệu quả của chiến lược xuất khẩu. Chính sách và chiến lược doanh nghiệp cần được hiệu chỉnh theo vị trí trên bản đồ ICRV.</w:t>
      </w:r>
    </w:p>
    <w:bookmarkEnd w:id="86"/>
    <w:bookmarkStart w:id="87" w:name="Xfec09e3154c2a245e7c18bb44949217926836d0"/>
    <w:p>
      <w:pPr>
        <w:pStyle w:val="Heading4"/>
      </w:pPr>
      <w:r>
        <w:t xml:space="preserve">2.4.2 Hàm ý quản trị: lộ trình chiến lược ba giai đoạn</w:t>
      </w:r>
    </w:p>
    <w:p>
      <w:pPr>
        <w:pStyle w:val="FirstParagraph"/>
      </w:pPr>
      <w:r>
        <w:t xml:space="preserve">Trước khi diễn giải thành lộ trình hành động, cần đặt ngay một rủi ro vĩ mô lên đầu bàn nghị sự. Điểm uốn toàn mẫu châu Á</w:t>
      </w:r>
      <w:r>
        <w:t xml:space="preserve"> </w:t>
      </w:r>
      <m:oMath>
        <m:r>
          <m:rPr>
            <m:sty m:val="p"/>
          </m:rPr>
          <m:t>≈</m:t>
        </m:r>
      </m:oMath>
      <w:r>
        <w:t xml:space="preserve"> </w:t>
      </w:r>
      <w:r>
        <w:t xml:space="preserve">37% không phải một cột mốc trung lập mà là một cái bẫy tiềm tàng: dưới các cú sốc thể chế hoặc đứt gãy chuỗi cung ứng (chiến tranh thương mại, đại dịch, tái cấu hình nguồn cung), vùng quanh ngưỡng ~37% là nơi hình phạt sau đỉnh trở nên gay gắt nhất ở các chế độ thể chế yếu, và là nơi doanh nghiệp dễ mắc kẹt nhất khi đã đổ vốn theo cường độ nhưng chưa kịp xây năng lực lõi. Phản bác lại hoài nghi rằng ngưỡng này quá cứng nhắc: Trung Quốc duy trì một ngưỡng bền bỉ ~48% doanh thu xuất khẩu xuyên suốt cả chiến tranh thương mại lẫn đại dịch (điểm uốn 49,4% năm 2012 và 47,2% năm 2024, Paternoster p = 0,545), cho thấy ngưỡng không phải con số ngẫu nhiên mà là một thuộc tính cấu trúc bền vững của chế độ thể chế, có thể cao và ổn định khi năng lực thể chế và năng lực doanh nghiệp đủ mạnh. Điều này biến điểm uốn thành công cụ hoạch định thực sự, không phải hiện vật thống kê.</w:t>
      </w:r>
    </w:p>
    <w:p>
      <w:pPr>
        <w:pStyle w:val="BodyText"/>
      </w:pPr>
      <w:r>
        <w:t xml:space="preserve">Từ bằng chứng neo đậu, các hệ số được chuyển dịch thành một lộ trình chiến lược ba giai đoạn trên trục doanh thu xuất khẩu, áp dụng trực tiếp cho doanh nghiệp Việt Nam và châu Á mới nổi:</w:t>
      </w:r>
    </w:p>
    <w:p>
      <w:pPr>
        <w:pStyle w:val="BodyText"/>
      </w:pPr>
      <w:r>
        <w:rPr>
          <w:bCs/>
          <w:b/>
        </w:rPr>
        <w:t xml:space="preserve">Giai đoạn 1, Vượt rào cản gia nhập (từ 0 đến FSTS dương, hấp thụ chi phí cố định).</w:t>
      </w:r>
      <w:r>
        <w:t xml:space="preserve"> </w:t>
      </w:r>
      <w:r>
        <w:t xml:space="preserve">Hành động chiến lược trọng tâm là vượt qua</w:t>
      </w:r>
      <w:r>
        <w:t xml:space="preserve"> </w:t>
      </w:r>
      <w:r>
        <w:t xml:space="preserve">“</w:t>
      </w:r>
      <w:r>
        <w:t xml:space="preserve">Vách gia nhập</w:t>
      </w:r>
      <w:r>
        <w:t xml:space="preserve">”</w:t>
      </w:r>
      <w:r>
        <w:t xml:space="preserve"> </w:t>
      </w:r>
      <w:r>
        <w:t xml:space="preserve">(H1a): chuyển từ không xuất khẩu sang có xuất khẩu mới là bậc nhảy năng suất lớn nhất, không phải việc tăng dần tỉ lệ. Doanh nghiệp nên dồn nguồn lực để hấp thụ trọn gói chi phí cố định một lần (đạt chứng nhận tiêu chuẩn quốc tế, thiết lập kênh phân phối, năng lực ngoại thương cơ bản) thay vì rải vốn theo cường độ. Tại giai đoạn này, một website Tier-1 và hạ tầng số cơ bản là điều kiện cần để hiện diện, nhưng không phải đòn bẩy lợi nhuận.</w:t>
      </w:r>
    </w:p>
    <w:p>
      <w:pPr>
        <w:pStyle w:val="BodyText"/>
      </w:pPr>
      <w:r>
        <w:rPr>
          <w:bCs/>
          <w:b/>
        </w:rPr>
        <w:t xml:space="preserve">Giai đoạn 2, Tích lũy năng lực công nghệ lõi (vùng ~30-46% doanh thu xuất khẩu).</w:t>
      </w:r>
      <w:r>
        <w:t xml:space="preserve"> </w:t>
      </w:r>
      <w:r>
        <w:t xml:space="preserve">Đây là vùng nguy hiểm bao quanh điểm uốn ~37% (và ~39-46% với Việt Nam). Khi doanh nghiệp đạt khoảng 40% doanh thu xuất khẩu, độ phức tạp vận hành đa thị trường dựng lên một bức tường vô hình: đổ thêm vốn vào website hoặc cường độ xuất khẩu thuần túy lúc này cho biên lợi nhuận âm. Chỉ năng lực công nghệ lõi thực chất (R&amp;D, ISO, công nghệ nước ngoài có bản quyền, chính là TCI nhân quả với β_IV = 1,639 ở phân tích Việt Nam) hoặc sự bảo chứng quốc tế mới phá được bức tường đó và nâng mặt bằng năng suất một cách bền vững. Thông điệp ưu tiên rõ ràng: đầu tư TCI trước, DAI sau, vì chỉ TCI là nhân quả còn DAI dương trong OLS phản ánh phụ thuộc chọn lựa (phân tích Việt Nam IV null, β = 0,018).</w:t>
      </w:r>
    </w:p>
    <w:p>
      <w:pPr>
        <w:pStyle w:val="BodyText"/>
      </w:pPr>
      <w:r>
        <w:rPr>
          <w:bCs/>
          <w:b/>
        </w:rPr>
        <w:t xml:space="preserve">Giai đoạn 3, Tích hợp số hóa chiều sâu (sau khi đã có năng lực lõi và cường độ cao).</w:t>
      </w:r>
      <w:r>
        <w:t xml:space="preserve"> </w:t>
      </w:r>
      <w:r>
        <w:t xml:space="preserve">Số hóa chỉ trở thành đòn bẩy mở rộng khi doanh nghiệp đã ở mức FSTS cao và hoạt động trong môi trường thể chế phù hợp, đúng như Singapore với DAI×</w:t>
      </w:r>
      <m:oMath>
        <m:sSup>
          <m:e>
            <m:r>
              <m:rPr>
                <m:nor/>
                <m:sty m:val="p"/>
              </m:rPr>
              <m:t>FSTS</m:t>
            </m:r>
          </m:e>
          <m:sup>
            <m:r>
              <m:t>2</m:t>
            </m:r>
          </m:sup>
        </m:sSup>
      </m:oMath>
      <w:r>
        <w:t xml:space="preserve"> </w:t>
      </w:r>
      <w:r>
        <w:t xml:space="preserve">= +3,119 ở vùng FSTS cao tiệm cận ~82%. Lưu ý chiến lược quan trọng từ ranh giới cấu trúc: số hóa bề mặt Tier-1 (website tĩnh) đã lỗi thời như đòn bẩy chiến lược (tương tác ba chiều FSTS×DAI×ICRV β</w:t>
      </w:r>
      <w:r>
        <w:t xml:space="preserve"> </w:t>
      </w:r>
      <m:oMath>
        <m:r>
          <m:rPr>
            <m:sty m:val="p"/>
          </m:rPr>
          <m:t>≈</m:t>
        </m:r>
      </m:oMath>
      <w:r>
        <w:t xml:space="preserve"> </w:t>
      </w:r>
      <w:r>
        <w:t xml:space="preserve">−0,001, không có ý nghĩa); giá trị nằm ở tích hợp số chiều sâu, không phải ở sự hiện diện số tối thiểu. Ở những chế độ thể chế yếu, vai trò hữu ích nhất của năng lực số là</w:t>
      </w:r>
      <w:r>
        <w:t xml:space="preserve"> </w:t>
      </w:r>
      <w:r>
        <w:t xml:space="preserve">“</w:t>
      </w:r>
      <w:r>
        <w:t xml:space="preserve">Lá chắn số</w:t>
      </w:r>
      <w:r>
        <w:t xml:space="preserve">”</w:t>
      </w:r>
      <w:r>
        <w:t xml:space="preserve"> </w:t>
      </w:r>
      <w:r>
        <w:t xml:space="preserve">(Digital Shield, DAI×ICRV p = 0,049): bù đắp khoảng trống thể chế để giữ mặt bằng năng suất, chứ không phải để tái định hình đường cong lợi nhuận.</w:t>
      </w:r>
    </w:p>
    <w:bookmarkEnd w:id="87"/>
    <w:bookmarkStart w:id="88" w:name="hạn-chế-nghiên-cứu"/>
    <w:p>
      <w:pPr>
        <w:pStyle w:val="Heading4"/>
      </w:pPr>
      <w:r>
        <w:t xml:space="preserve">2.4.3 Hạn chế nghiên cứu</w:t>
      </w:r>
    </w:p>
    <w:p>
      <w:pPr>
        <w:pStyle w:val="FirstParagraph"/>
      </w:pPr>
      <w:r>
        <w:t xml:space="preserve">Chuyên đề này có ba giới hạn suy diễn cần được thừa nhận rõ ràng theo cấu trúc ba phần: điều không thể kết luận, phương pháp khắc phục, và nguồn tham chiếu phương pháp.</w:t>
      </w:r>
    </w:p>
    <w:p>
      <w:pPr>
        <w:pStyle w:val="BodyText"/>
      </w:pPr>
      <w:r>
        <w:rPr>
          <w:bCs/>
          <w:b/>
        </w:rPr>
        <w:t xml:space="preserve">(a) Điều không thể kết luận từ khung nghiên cứu này:</w:t>
      </w:r>
    </w:p>
    <w:p>
      <w:pPr>
        <w:pStyle w:val="BodyText"/>
      </w:pPr>
      <w:r>
        <w:t xml:space="preserve">Thứ nhất, dữ liệu WBES không phải panel chuẩn, mỗi sóng là thiết kế cắt ngang với mẫu mới, không theo dõi cùng một doanh nghiệp qua thời gian. Do đó, mô hình M0-M7 xác lập</w:t>
      </w:r>
      <w:r>
        <w:t xml:space="preserve"> </w:t>
      </w:r>
      <w:r>
        <w:rPr>
          <w:iCs/>
          <w:i/>
        </w:rPr>
        <w:t xml:space="preserve">liên kết có điều kiện</w:t>
      </w:r>
      <w:r>
        <w:t xml:space="preserve"> </w:t>
      </w:r>
      <w:r>
        <w:t xml:space="preserve">chứ không phải</w:t>
      </w:r>
      <w:r>
        <w:t xml:space="preserve"> </w:t>
      </w:r>
      <w:r>
        <w:rPr>
          <w:iCs/>
          <w:i/>
        </w:rPr>
        <w:t xml:space="preserve">tác động nhân quả</w:t>
      </w:r>
      <w:r>
        <w:t xml:space="preserve"> </w:t>
      </w:r>
      <w:r>
        <w:t xml:space="preserve">giữa quốc tế hóa và hiệu quả; không thể loại trừ khả năng doanh nghiệp vốn hiệu quả hơn sẽ xuất khẩu nhiều hơn (reverse causality) mà không có biến công cụ hợp lệ hoặc thiết kế thực nghiệm tự nhiên.</w:t>
      </w:r>
    </w:p>
    <w:p>
      <w:pPr>
        <w:pStyle w:val="BodyText"/>
      </w:pPr>
      <w:r>
        <w:t xml:space="preserve">Thứ hai, DAI bị giới hạn ở Tier 1-2 (website và e-payment) do hạn chế schema WBES. Không thể kết luận về vai trò của năng lực số Tier 3-4, tích hợp ERP, triển khai AI, quản trị dữ liệu xuyên biên giới, đối với mối quan hệ I-P. Kết luận H3 chỉ hợp lệ trong ranh giới đo lường Tier 1-2; ngoài ranh giới này, CDCM chưa được kiểm định thực nghiệm.</w:t>
      </w:r>
    </w:p>
    <w:p>
      <w:pPr>
        <w:pStyle w:val="BodyText"/>
      </w:pPr>
      <w:r>
        <w:t xml:space="preserve">Thứ ba, FSTS (Foreign Sales to Total Sales) chỉ nắm bắt xuất khẩu hàng hóa và dịch vụ trực tiếp, bỏ qua FDI, licensing, franchising, và các hình thức quốc tế hóa phi xuất khẩu khác. H1 (phi tuyến) có thể có dạng hàm khác nhau nếu đo bằng chỉ số quốc tế hóa đa chiều hơn như DOI hoặc entropy index.</w:t>
      </w:r>
    </w:p>
    <w:p>
      <w:pPr>
        <w:pStyle w:val="BodyText"/>
      </w:pPr>
      <w:r>
        <w:t xml:space="preserve">Thứ tư, biến nhà quản trị trong H4a-H4c bị hạn chế do WBES không đo khoảng cách tâm lý, gắn kết mạng lưới quốc tế, hay cấu trúc hội đồng quản trị đầy đủ. Kiểm định H4a-H4c vì vậy là</w:t>
      </w:r>
      <w:r>
        <w:t xml:space="preserve"> </w:t>
      </w:r>
      <w:r>
        <w:rPr>
          <w:iCs/>
          <w:i/>
        </w:rPr>
        <w:t xml:space="preserve">chỉ báo gián tiếp</w:t>
      </w:r>
      <w:r>
        <w:t xml:space="preserve"> </w:t>
      </w:r>
      <w:r>
        <w:t xml:space="preserve">của cơ chế Upper Echelons (Hambrick &amp; Mason, 1984), không phải kiểm định trực tiếp các cấu trúc lý thuyết gốc.</w:t>
      </w:r>
    </w:p>
    <w:p>
      <w:pPr>
        <w:pStyle w:val="BodyText"/>
      </w:pPr>
      <w:r>
        <w:rPr>
          <w:bCs/>
          <w:b/>
        </w:rPr>
        <w:t xml:space="preserve">(b) Phương pháp khắc phục cho nghiên cứu tương lai:</w:t>
      </w:r>
    </w:p>
    <w:p>
      <w:pPr>
        <w:pStyle w:val="BodyText"/>
      </w:pPr>
      <w:r>
        <w:t xml:space="preserve">Để giải quyết vấn đề nhân quả, các nghiên cứu tiếp theo có thể sử dụng: (i) biến công cụ dựa trên tỷ lệ áp dụng trung bình ngành × vùng × sóng như IV cho TCI và DAI (chiến lược đã áp dụng thành công trong phân tích Việt Nam với F bậc một = 22-35, vượt ngưỡng Staiger-Stock); (ii) thiết kế difference-in-differences khai thác các cú sốc chính sách ngoại sinh (ví dụ: CPTPP 2018, chiến tranh thương mại Mỹ-Trung 2018-2019) như ranh giới thực nghiệm tự nhiên; hoặc (iii) phân tích panel dài với dữ liệu WBES core panel 2023-2027 khi có sẵn.</w:t>
      </w:r>
    </w:p>
    <w:p>
      <w:pPr>
        <w:pStyle w:val="BodyText"/>
      </w:pPr>
      <w:r>
        <w:t xml:space="preserve">Để mở rộng đo lường số hóa, nghiên cứu tương lai có thể kết hợp WBES với dữ liệu nền tảng số cấp ngành (World Bank Digital Progress and Trends Report, ITU DDI) hoặc thu thập dữ liệu Tier 3-4 từ báo cáo thường niên doanh nghiệp niêm yết. Khi schema B-READY bổ sung thêm mô-đun về AI và ERP, CDCM có thể được kiểm định đầy đủ hơn.</w:t>
      </w:r>
    </w:p>
    <w:p>
      <w:pPr>
        <w:pStyle w:val="BodyText"/>
      </w:pPr>
      <w:r>
        <w:t xml:space="preserve">Để mở rộng thước đo quốc tế hóa vượt FSTS, nghiên cứu có thể tích hợp dữ liệu UNCTAD FDI Bilateral Investment Matrix với WBES theo mã quốc gia-ngành, hoặc dùng entropy index đa thị trường như trong Contractor et al. (2003).</w:t>
      </w:r>
    </w:p>
    <w:p>
      <w:pPr>
        <w:pStyle w:val="BodyText"/>
      </w:pPr>
      <w:r>
        <w:rPr>
          <w:bCs/>
          <w:b/>
        </w:rPr>
        <w:t xml:space="preserve">(c) Phương pháp và nguồn tham chiếu:</w:t>
      </w:r>
    </w:p>
    <w:p>
      <w:pPr>
        <w:pStyle w:val="BodyText"/>
      </w:pPr>
      <w:r>
        <w:t xml:space="preserve">Về nhân quả hóa I-P: Angrist &amp; Pischke (2009); Oster (2019) về δ-stability bounds; Wolfolds &amp; Siegel (2019) về điều kiện hợp lệ của Heckman. Về tổng hợp bằng chứng xuyên bối cảnh: Sutton &amp; Higgins (2008), panel meta-analysis; Borenstein et al. (2021), Bayesian meta-regression với thông tin tiền nghiệm. Về mở rộng bậc số hóa: Verhoef et al. (2021), phân cấp Tier 1-4. Về mở rộng quốc tế hóa đa chiều: Contractor et al. (2003); Sullivan (1994) về DOI composite.</w:t>
      </w:r>
    </w:p>
    <w:p>
      <w:r>
        <w:pict>
          <v:rect style="width:0;height:1.5pt" o:hralign="center" o:hrstd="t" o:hr="t"/>
        </w:pict>
      </w:r>
    </w:p>
    <w:bookmarkEnd w:id="88"/>
    <w:bookmarkStart w:id="89" w:name="hướng-nghiên-cứu-tiếp-theo"/>
    <w:p>
      <w:pPr>
        <w:pStyle w:val="Heading4"/>
      </w:pPr>
      <w:r>
        <w:t xml:space="preserve">2.4.4 Hướng nghiên cứu tiếp theo</w:t>
      </w:r>
    </w:p>
    <w:p>
      <w:pPr>
        <w:pStyle w:val="FirstParagraph"/>
      </w:pPr>
      <w:r>
        <w:t xml:space="preserve">Chuyên đề này đặt nền tảng lý thuyết và thực nghiệm cho năm hướng nghiên cứu cụ thể trong chuỗi luận án và xa hơn:</w:t>
      </w:r>
    </w:p>
    <w:p>
      <w:pPr>
        <w:pStyle w:val="BodyText"/>
      </w:pPr>
      <w:r>
        <w:rPr>
          <w:bCs/>
          <w:b/>
        </w:rPr>
        <w:t xml:space="preserve">Hướng 1, phân tích tổng hợp: Tổng quan định lượng ba tầng:</w:t>
      </w:r>
      <w:r>
        <w:t xml:space="preserve"> </w:t>
      </w:r>
      <w:r>
        <w:t xml:space="preserve">Bản thảo phân tích tổng hợp đã hoàn thành, mở rộng mức cơ sở (baseline) ICBEF 2025 (Đỗ &amp; Phan, 2024, k=113) lên</w:t>
      </w:r>
      <w:r>
        <w:t xml:space="preserve"> </w:t>
      </w:r>
      <w:r>
        <w:rPr>
          <w:bCs/>
          <w:b/>
        </w:rPr>
        <w:t xml:space="preserve">k=238</w:t>
      </w:r>
      <w:r>
        <w:t xml:space="preserve"> </w:t>
      </w:r>
      <w:r>
        <w:t xml:space="preserve">(K=288 mức độ ảnh hưởng, 45 nền kinh tế) với hệ thống tìm kiếm PRISMA 2020 trên Web of Science + Scopus (1977-2026). Ba biến điều tiết mới: (i) cDAI, mức độ số hóa cấp quốc gia; (ii) ICRV 6 nhóm; (iii) DPL phase. Kết quả MARA xác nhận: hiệu ứng tổng hợp</w:t>
      </w:r>
      <w:r>
        <w:t xml:space="preserve"> </w:t>
      </w:r>
      <w:r>
        <w:rPr>
          <w:iCs/>
          <w:i/>
        </w:rPr>
        <w:t xml:space="preserve">r</w:t>
      </w:r>
      <w:r>
        <w:t xml:space="preserve">=0,074 (CI [0,060; 0,088]),</w:t>
      </w:r>
      <w:r>
        <w:t xml:space="preserve"> </w:t>
      </w:r>
      <m:oMath>
        <m:sSup>
          <m:e>
            <m:r>
              <m:t>I</m:t>
            </m:r>
          </m:e>
          <m:sup>
            <m:r>
              <m:t>2</m:t>
            </m:r>
          </m:sup>
        </m:sSup>
      </m:oMath>
      <w:r>
        <w:t xml:space="preserve">=87,8%; ICRV Q_M=17,35 (p = 0,002), H1 điều tiết thể chế được hỗ trợ; cDAI và DPL không có ý nghĩa (H2, H3 không được hỗ trợ). Phát hiện chính: thiên lệch xuất bản (publication bias) xác nhận qua hai kiểm định model-based độc lập (Begg-Mazumdar τ = −0,134, p &lt; 0,001; mô hình lựa chọn ba tham số Vevea-Hedges LRT χ² = 12,29, p = 0,002). Sáu kiểm định bao quát hiệu ứng hiệu chỉnh trong khoảng</w:t>
      </w:r>
      <w:r>
        <w:t xml:space="preserve"> </w:t>
      </w:r>
      <w:r>
        <w:rPr>
          <w:iCs/>
          <w:i/>
        </w:rPr>
        <w:t xml:space="preserve">r</w:t>
      </w:r>
      <w:r>
        <w:t xml:space="preserve"> </w:t>
      </w:r>
      <w:r>
        <w:t xml:space="preserve">∈ [0,035; 0,077]: trim-and-fill cho</w:t>
      </w:r>
      <w:r>
        <w:t xml:space="preserve"> </w:t>
      </w:r>
      <w:r>
        <w:rPr>
          <w:iCs/>
          <w:i/>
        </w:rPr>
        <w:t xml:space="preserve">r</w:t>
      </w:r>
      <w:r>
        <w:t xml:space="preserve">_adj = 0,035 (mạnh nhất, có thể over-correct dưới I² = 87,8%), PET-PEESE cho</w:t>
      </w:r>
      <w:r>
        <w:t xml:space="preserve"> </w:t>
      </w:r>
      <w:r>
        <w:rPr>
          <w:iCs/>
          <w:i/>
        </w:rPr>
        <w:t xml:space="preserve">r</w:t>
      </w:r>
      <w:r>
        <w:t xml:space="preserve">_adj = 0,061, Vevea-Hedges cho</w:t>
      </w:r>
      <w:r>
        <w:t xml:space="preserve"> </w:t>
      </w:r>
      <w:r>
        <w:rPr>
          <w:iCs/>
          <w:i/>
        </w:rPr>
        <w:t xml:space="preserve">r</w:t>
      </w:r>
      <w:r>
        <w:t xml:space="preserve">_adj = 0,077 (bảo thủ nhất). Hàm ý: hiệu ứng tổng hợp được báo cáo có thể thấp hơn ước lượng thô,</w:t>
      </w:r>
      <w:r>
        <w:t xml:space="preserve"> </w:t>
      </w:r>
      <w:r>
        <w:rPr>
          <w:iCs/>
          <w:i/>
        </w:rPr>
        <w:t xml:space="preserve">mức</w:t>
      </w:r>
      <w:r>
        <w:t xml:space="preserve"> </w:t>
      </w:r>
      <w:r>
        <w:t xml:space="preserve">thổi phồng tùy giả định selection-process. Đóng góp của phân tích tổng hợp trong khuôn khổ CD2: xác nhận dải biến thiên ICRV tổng thể (Q_M có ý nghĩa) nhưng không đủ k ở mỗi nhóm để xác nhận đường dải biến thiên đơn điệu E1a/E1b.</w:t>
      </w:r>
    </w:p>
    <w:p>
      <w:pPr>
        <w:pStyle w:val="BodyText"/>
      </w:pPr>
      <w:r>
        <w:rPr>
          <w:bCs/>
          <w:b/>
        </w:rPr>
        <w:t xml:space="preserve">Hướng 2, phân tích đa quốc gia: Kiểm định H1-H6 toàn pool 45 nền kinh tế:</w:t>
      </w:r>
      <w:r>
        <w:t xml:space="preserve"> </w:t>
      </w:r>
      <w:r>
        <w:t xml:space="preserve">phân tích đa quốc gia đã hoàn thành, N = 82.302 (M2) đến 98.658 (pool) doanh nghiệp, 45 nền kinh tế châu Á và Thái Bình Dương, 98 cặp quốc gia-năm khảo sát, 6 nhóm ICRV. Kết quả xác nhận: H1 (phi tuyến) điểm uốn toàn mẫu</w:t>
      </w:r>
      <w:r>
        <w:t xml:space="preserve"> </w:t>
      </w:r>
      <m:oMath>
        <m:r>
          <m:rPr>
            <m:sty m:val="p"/>
          </m:rPr>
          <m:t>≈</m:t>
        </m:r>
      </m:oMath>
      <w:r>
        <w:t xml:space="preserve"> </w:t>
      </w:r>
      <w:r>
        <w:t xml:space="preserve">37%; H2 TCI có hiệu ứng cấp độ β</w:t>
      </w:r>
      <w:r>
        <w:t xml:space="preserve"> </w:t>
      </w:r>
      <m:oMath>
        <m:r>
          <m:rPr>
            <m:sty m:val="p"/>
          </m:rPr>
          <m:t>≈</m:t>
        </m:r>
      </m:oMath>
      <w:r>
        <w:t xml:space="preserve"> </w:t>
      </w:r>
      <w:r>
        <w:t xml:space="preserve">+0,344 (p &lt; 0,05); H3 DAI có hiệu ứng cấp độ phổ quát β = +0,155 (p &lt; 0,001) cùng cả hai số hạng tương tác độ cong; H5 ICRV điều tiết theo dạng độ cong (concavity / biên độ): hình chữ U ngược cong sâu hơn ở SIDS/Frontier và phẳng dần về gần tuyến tính ở nhóm tiên tiến đổi mới (Advanced Innovation), điểm uốn theo nhóm không đồng nhất và không dịch chuyển đơn điệu (tương tác M10 có ý nghĩa: FSTS×ICRV β = +1,85,</w:t>
      </w:r>
      <w:r>
        <w:t xml:space="preserve"> </w:t>
      </w:r>
      <m:oMath>
        <m:sSup>
          <m:e>
            <m:r>
              <m:rPr>
                <m:nor/>
                <m:sty m:val="p"/>
              </m:rPr>
              <m:t>FSTS</m:t>
            </m:r>
          </m:e>
          <m:sup>
            <m:r>
              <m:t>2</m:t>
            </m:r>
          </m:sup>
        </m:sSup>
      </m:oMath>
      <w:r>
        <w:t xml:space="preserve">×ICRV β = −2,93). Lá chắn số (Digital Shield) hai chiều DAI×ICRV có ý nghĩa (p = 0,049), mạnh nhất khi thể chế yếu; tương tác ba chiều FSTS×DAI×ICRV (β</w:t>
      </w:r>
      <w:r>
        <w:t xml:space="preserve"> </w:t>
      </w:r>
      <m:oMath>
        <m:r>
          <m:rPr>
            <m:sty m:val="p"/>
          </m:rPr>
          <m:t>≈</m:t>
        </m:r>
      </m:oMath>
      <w:r>
        <w:t xml:space="preserve"> </w:t>
      </w:r>
      <w:r>
        <w:t xml:space="preserve">−0,001, không có ý nghĩa) cho thấy một ranh giới cấu trúc: số hóa bề mặt Tier-1 không định hình lại được hình dạng đường cong I-P. phân tích Việt Nam (Nhóm IV), phân tích Singapore (Nhóm I), phân tích Trung Quốc (Nhóm III) cung cấp neo đậu xuyên bối cảnh (cross-context) đã được xác nhận bởi kết quả tổng hợp 45 nền kinh tế.</w:t>
      </w:r>
    </w:p>
    <w:p>
      <w:pPr>
        <w:pStyle w:val="BodyText"/>
      </w:pPr>
      <w:r>
        <w:rPr>
          <w:bCs/>
          <w:b/>
        </w:rPr>
        <w:t xml:space="preserve">Hướng 3, phân tích SIDS Thái Bình Dương: SIDS Thái Bình Dương, gánh nặng bắt buộc:</w:t>
      </w:r>
      <w:r>
        <w:t xml:space="preserve"> </w:t>
      </w:r>
      <w:r>
        <w:t xml:space="preserve">phân tích SIDS Thái Bình Dương đã hoàn thành, N=1.469 doanh nghiệp, 9 nước SIDS (Nhóm VI ICRV: Fiji, Kiribati, PNG, Samoa, Solomon Islands, Tonga, Vanuatu + Comoros + Timor-Leste), β(FSTS_c)=−0,404* xác nhận Forced Internationalization Penalty: quan hệ âm đơn điệu không có điểm uốn (turning point), nhất quán với giả thuyết gánh nặng bắt buộc (Briguglio, 1995; Bertram, 2006). Khoảng trống H1b trong CD2 đã được lấp đầy bởi phân tích SIDS Thái Bình Dương. Quan trọng hơn, kết quả này không nên đọc như một trường hợp biên thứ yếu: đặt cạnh cực tiên tiến đổi mới (Advanced Innovation) (Singapore, điểm uốn xuất hiện muộn, khoảng 82%, xuất khẩu để tối ưu hóa biên lợi nhuận), SIDS Nhóm VI là cực đối lập, quốc tế hóa để sinh tồn, nơi đường cong chữ U ngược sụp đổ hoàn toàn thành quan hệ âm đơn điệu. Hai cực này xác lập một trục lý thuyết, từ quốc tế hóa để mở rộng quy mô đến quốc tế hóa để sinh tồn, mà toàn bộ dải ICRV nằm trên đó; FIP do đó là điều kiện biên xác định ranh giới nơi điều tiết về mức độ (degree) nhường chỗ cho đảo dấu về bản chất (sign), và là một đóng góp lý thuyết trung tâm chứ không phải một phụ lục cuối luận án.</w:t>
      </w:r>
    </w:p>
    <w:p>
      <w:pPr>
        <w:pStyle w:val="BodyText"/>
      </w:pPr>
      <w:r>
        <w:rPr>
          <w:bCs/>
          <w:b/>
        </w:rPr>
        <w:t xml:space="preserve">Hướng 4, CDCM Tier 3-4 extension (MIS Quarterly hoặc Information Systems Research):</w:t>
      </w:r>
      <w:r>
        <w:t xml:space="preserve"> </w:t>
      </w:r>
      <w:r>
        <w:t xml:space="preserve">Khi schema B-READY (World Bank, 2023-2027) và WBES mới bổ sung thêm mô-đun AI, ERP, và quản trị dữ liệu, CDCM có thể được kiểm định đầy đủ bốn tầng Verhoef et al. (2021). Câu hỏi lý thuyết: liệu DAI Tier 3-4 có chuyển vai trò từ nguồn lực tình huống (chỉ phát huy ở FSTS cao) thành nguồn lực nền tảng (nâng mặt bằng đồng nhất), và điều kiện chuyển đổi là gì (ngưỡng thể chế, quy mô doanh nghiệp, hay sóng công nghệ)?</w:t>
      </w:r>
    </w:p>
    <w:p>
      <w:pPr>
        <w:pStyle w:val="BodyText"/>
      </w:pPr>
      <w:r>
        <w:rPr>
          <w:bCs/>
          <w:b/>
        </w:rPr>
        <w:t xml:space="preserve">Hướng 5, Panel longitudinal WBES core 2023-2027 (JIBS hoặc SMJ):</w:t>
      </w:r>
      <w:r>
        <w:t xml:space="preserve"> </w:t>
      </w:r>
      <w:r>
        <w:t xml:space="preserve">WBES core panel theo dõi một nhóm doanh nghiệp trong ít nhất hai sóng liên tiếp, cho phép kiểm định nhân quả từ TCI đến năng suất và từ DAI đến FSTS (theo hướng: số hóa có thúc đẩy xuất khẩu không, thay vì chỉ làm tăng năng suất?) không phụ thuộc vào giả định IV. Đây là hướng nghiên cứu thiết yếu để chuyển H2 và H3 từ liên kết có điều kiện thành tác động nhân quả được xác nhận.</w:t>
      </w:r>
    </w:p>
    <w:p>
      <w:r>
        <w:pict>
          <v:rect style="width:0;height:1.5pt" o:hralign="center" o:hrstd="t" o:hr="t"/>
        </w:pict>
      </w:r>
    </w:p>
    <w:bookmarkEnd w:id="89"/>
    <w:bookmarkEnd w:id="90"/>
    <w:bookmarkEnd w:id="91"/>
    <w:bookmarkStart w:id="92" w:name="tài-liệu-tham-khảo"/>
    <w:p>
      <w:pPr>
        <w:pStyle w:val="Heading2"/>
      </w:pPr>
      <w:r>
        <w:t xml:space="preserve">TÀI LIỆU THAM KHẢO</w:t>
      </w:r>
    </w:p>
    <w:p>
      <w:pPr>
        <w:pStyle w:val="FirstParagraph"/>
      </w:pPr>
      <w:r>
        <w:t xml:space="preserve">Angrist, J. D., &amp; Pischke, J.-S. (2009).</w:t>
      </w:r>
      <w:r>
        <w:t xml:space="preserve"> </w:t>
      </w:r>
      <w:r>
        <w:rPr>
          <w:iCs/>
          <w:i/>
        </w:rPr>
        <w:t xml:space="preserve">Mostly harmless econometrics: An empiricist’s companion</w:t>
      </w:r>
      <w:r>
        <w:t xml:space="preserve">. Princeton University Press.</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 https://doi.org/10.1057/s41267-019-00243-7</w:t>
      </w:r>
    </w:p>
    <w:p>
      <w:pPr>
        <w:pStyle w:val="BodyText"/>
      </w:pPr>
      <w:r>
        <w:t xml:space="preserve">Barney, J. (1991). Firm resources and sustained competitive advantage.</w:t>
      </w:r>
      <w:r>
        <w:t xml:space="preserve"> </w:t>
      </w:r>
      <w:r>
        <w:rPr>
          <w:iCs/>
          <w:i/>
        </w:rPr>
        <w:t xml:space="preserve">Journal of Management, 17</w:t>
      </w:r>
      <w:r>
        <w:t xml:space="preserve">(1), 99-120. https://doi.org/10.1177/014920639101700108</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Bertram, G. (2006). Introduction: The MIRAB model in the twenty-first century.</w:t>
      </w:r>
      <w:r>
        <w:t xml:space="preserve"> </w:t>
      </w:r>
      <w:r>
        <w:rPr>
          <w:iCs/>
          <w:i/>
        </w:rPr>
        <w:t xml:space="preserve">Asia Pacific Viewpoint, 47</w:t>
      </w:r>
      <w:r>
        <w:t xml:space="preserve">(1), 1-13.</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 https://doi.org/10.25300/MISQ/2013/37:2.3</w:t>
      </w:r>
    </w:p>
    <w:p>
      <w:pPr>
        <w:pStyle w:val="BodyText"/>
      </w:pPr>
      <w:r>
        <w:t xml:space="preserve">Bhandari, K. R., Ranta, M., &amp; Salo, J. (2023). The resource-based view, stakeholder capitalism, ESG, and sustainable competitive advantage: The firm’s embeddedness into ecology, society, and governance.</w:t>
      </w:r>
      <w:r>
        <w:t xml:space="preserve"> </w:t>
      </w:r>
      <w:r>
        <w:rPr>
          <w:iCs/>
          <w:i/>
        </w:rPr>
        <w:t xml:space="preserve">Business Strategy and the Environment, 32</w:t>
      </w:r>
      <w:r>
        <w:t xml:space="preserve">(4), 1525-1541.</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 https://doi.org/10.1016/0305-750X(95)00065-K</w:t>
      </w:r>
    </w:p>
    <w:p>
      <w:pPr>
        <w:pStyle w:val="BodyText"/>
      </w:pPr>
      <w:r>
        <w:t xml:space="preserve">Cannella, A. A., Jr., Park, J.-H., &amp; Lee, H.-U. (2008). Top management team functional background diversity and firm performance: Examining the roles of team member colocation and environmental uncertainty.</w:t>
      </w:r>
      <w:r>
        <w:t xml:space="preserve"> </w:t>
      </w:r>
      <w:r>
        <w:rPr>
          <w:iCs/>
          <w:i/>
        </w:rPr>
        <w:t xml:space="preserve">Academy of Management Journal, 51</w:t>
      </w:r>
      <w:r>
        <w:t xml:space="preserve">(4), 768-784. https://doi.org/10.5465/amj.2008.33665310</w:t>
      </w:r>
    </w:p>
    <w:p>
      <w:pPr>
        <w:pStyle w:val="BodyText"/>
      </w:pPr>
      <w:r>
        <w:t xml:space="preserve">Chen, S., &amp; Tan, H. (2012). Region effects in the internationalization-performance relationship in Chinese firms.</w:t>
      </w:r>
      <w:r>
        <w:t xml:space="preserve"> </w:t>
      </w:r>
      <w:r>
        <w:rPr>
          <w:iCs/>
          <w:i/>
        </w:rPr>
        <w:t xml:space="preserve">Journal of World Business, 47</w:t>
      </w:r>
      <w:r>
        <w:t xml:space="preserve">(1), 73-80. https://doi.org/10.1016/j.jwb.2010.10.019</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Coltman, T., Devinney, T. M., Midgley, D. F., &amp; Venaik, S. (2008). Formative versus reflective measurement models: Two applications of formative measurement.</w:t>
      </w:r>
      <w:r>
        <w:t xml:space="preserve"> </w:t>
      </w:r>
      <w:r>
        <w:rPr>
          <w:iCs/>
          <w:i/>
        </w:rPr>
        <w:t xml:space="preserve">Journal of Business Research, 61</w:t>
      </w:r>
      <w:r>
        <w:t xml:space="preserve">(12), 1250-1262. https://doi.org/10.1016/j.jbusres.2008.01.013</w:t>
      </w:r>
    </w:p>
    <w:p>
      <w:pPr>
        <w:pStyle w:val="BodyText"/>
      </w:pPr>
      <w:r>
        <w:t xml:space="preserve">Contractor, F. J. (2012). Why do multinational firms exist? A theory note about the effect of multinational expansion on performance and recent methodological critiques.</w:t>
      </w:r>
      <w:r>
        <w:t xml:space="preserve"> </w:t>
      </w:r>
      <w:r>
        <w:rPr>
          <w:iCs/>
          <w:i/>
        </w:rPr>
        <w:t xml:space="preserve">Global Strategy Journal, 2</w:t>
      </w:r>
      <w:r>
        <w:t xml:space="preserve">(4), 318-331.</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p>
    <w:p>
      <w:pPr>
        <w:pStyle w:val="BodyText"/>
      </w:pPr>
      <w:r>
        <w:t xml:space="preserve">Đỗ, T. H., &amp; Phan, A. T. (2026). Unveiling the impact of Chinese manufacturing SMEs’ internationalization on performance.</w:t>
      </w:r>
      <w:r>
        <w:t xml:space="preserve"> </w:t>
      </w:r>
      <w:r>
        <w:rPr>
          <w:iCs/>
          <w:i/>
        </w:rPr>
        <w:t xml:space="preserve">Journal of Finance and Accounting Research</w:t>
      </w:r>
      <w:r>
        <w:t xml:space="preserve">. Advance online publication. [P2, Trung Quốc SMEs, đã công bố]</w:t>
      </w:r>
    </w:p>
    <w:p>
      <w:pPr>
        <w:pStyle w:val="BodyText"/>
      </w:pPr>
      <w:r>
        <w:t xml:space="preserve">Geringer, J. M., Beamish, P. W., &amp; daCosta, R. C. (1989). Diversification strategy and internationalization: Implications for MNE performance.</w:t>
      </w:r>
      <w:r>
        <w:t xml:space="preserve"> </w:t>
      </w:r>
      <w:r>
        <w:rPr>
          <w:iCs/>
          <w:i/>
        </w:rPr>
        <w:t xml:space="preserve">Strategic Management Journal, 10</w:t>
      </w:r>
      <w:r>
        <w:t xml:space="preserve">(2), 109-119.</w:t>
      </w:r>
    </w:p>
    <w:p>
      <w:pPr>
        <w:pStyle w:val="BodyText"/>
      </w:pPr>
      <w:r>
        <w:t xml:space="preserve">Glaum, M., &amp; Oesterle, M.-J. (2007). 40 years of research on internationalization and firm performance: More questions than answers?</w:t>
      </w:r>
      <w:r>
        <w:t xml:space="preserve"> </w:t>
      </w:r>
      <w:r>
        <w:rPr>
          <w:iCs/>
          <w:i/>
        </w:rPr>
        <w:t xml:space="preserve">Management International Review, 47</w:t>
      </w:r>
      <w:r>
        <w:t xml:space="preserve">(3), 307-317.</w:t>
      </w:r>
    </w:p>
    <w:p>
      <w:pPr>
        <w:pStyle w:val="BodyTex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 https://doi.org/10.1057/palgrave.jibs.8490065</w:t>
      </w:r>
    </w:p>
    <w:p>
      <w:pPr>
        <w:pStyle w:val="BodyText"/>
      </w:pPr>
      <w:r>
        <w:t xml:space="preserve">Greene, W. H. (2018).</w:t>
      </w:r>
      <w:r>
        <w:t xml:space="preserve"> </w:t>
      </w:r>
      <w:r>
        <w:rPr>
          <w:iCs/>
          <w:i/>
        </w:rPr>
        <w:t xml:space="preserve">Econometric analysis</w:t>
      </w:r>
      <w:r>
        <w:t xml:space="preserve"> </w:t>
      </w:r>
      <w:r>
        <w:t xml:space="preserve">(8th ed.). Pearson.</w:t>
      </w:r>
    </w:p>
    <w:p>
      <w:pPr>
        <w:pStyle w:val="BodyText"/>
      </w:pPr>
      <w:r>
        <w:t xml:space="preserve">Hambrick, D. C. (2007). Upper echelons theory: An update.</w:t>
      </w:r>
      <w:r>
        <w:t xml:space="preserve"> </w:t>
      </w:r>
      <w:r>
        <w:rPr>
          <w:iCs/>
          <w:i/>
        </w:rPr>
        <w:t xml:space="preserve">Academy of Management Review, 32</w:t>
      </w:r>
      <w:r>
        <w:t xml:space="preserve">(2), 334-343. https://doi.org/10.5465/amr.2007.24345254</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https://doi.org/10.2307/256948</w:t>
      </w:r>
    </w:p>
    <w:p>
      <w:pPr>
        <w:pStyle w:val="BodyText"/>
      </w:pPr>
      <w:r>
        <w:t xml:space="preserve">Hsu, C.-C., &amp; Boggs, D. J. (2003). Internationalization and performance: Traditional measures and their decomposition.</w:t>
      </w:r>
      <w:r>
        <w:t xml:space="preserve"> </w:t>
      </w:r>
      <w:r>
        <w:rPr>
          <w:iCs/>
          <w:i/>
        </w:rPr>
        <w:t xml:space="preserve">Multinational Business Review, 11</w:t>
      </w:r>
      <w:r>
        <w:t xml:space="preserve">(3), 23-50.</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 https://doi.org/10.1057/palgrave.jibs.8490676</w:t>
      </w:r>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 https://doi.org/10.1057/jibs.2009.24</w:t>
      </w:r>
    </w:p>
    <w:p>
      <w:pPr>
        <w:pStyle w:val="BodyText"/>
      </w:pPr>
      <w:r>
        <w:t xml:space="preserve">Kafouros, M., Aliyev, M., &amp; Krammer, S. (2023). Do firms benefit from country-level institutional reforms? The role of internal firm resources and capabilities.</w:t>
      </w:r>
      <w:r>
        <w:t xml:space="preserve"> </w:t>
      </w:r>
      <w:r>
        <w:rPr>
          <w:iCs/>
          <w:i/>
        </w:rPr>
        <w:t xml:space="preserve">Global Strategy Journal, 13</w:t>
      </w:r>
      <w:r>
        <w:t xml:space="preserve">(1), 70-100. https://doi.org/10.1002/gsj.1433</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Hoppner, J. J., Miller, J. C., &amp; White, R. C. (2012). Firm-specific assets, multinationality, and financial performance: A meta-analytic review and theoretical integration.</w:t>
      </w:r>
      <w:r>
        <w:t xml:space="preserve"> </w:t>
      </w:r>
      <w:r>
        <w:rPr>
          <w:iCs/>
          <w:i/>
        </w:rPr>
        <w:t xml:space="preserve">Academy of Management Journal, 55</w:t>
      </w:r>
      <w:r>
        <w:t xml:space="preserve">(1), 47-73. https://doi.org/10.5465/amj.2009.0703</w:t>
      </w:r>
    </w:p>
    <w:p>
      <w:pPr>
        <w:pStyle w:val="BodyText"/>
      </w:pPr>
      <w:r>
        <w:t xml:space="preserve">Knight, G. A., &amp; Cavusgil, S. T. (2004). Innovation, organizational capabilities, and the born-global firm.</w:t>
      </w:r>
      <w:r>
        <w:t xml:space="preserve"> </w:t>
      </w:r>
      <w:r>
        <w:rPr>
          <w:iCs/>
          <w:i/>
        </w:rPr>
        <w:t xml:space="preserve">Journal of International Business Studies, 35</w:t>
      </w:r>
      <w:r>
        <w:t xml:space="preserve">(2), 124-141.</w:t>
      </w:r>
    </w:p>
    <w:p>
      <w:pPr>
        <w:pStyle w:val="BodyText"/>
      </w:pPr>
      <w:r>
        <w:t xml:space="preserve">Lall, S. (1992). Technological capabilities and industrialization.</w:t>
      </w:r>
      <w:r>
        <w:t xml:space="preserve"> </w:t>
      </w:r>
      <w:r>
        <w:rPr>
          <w:iCs/>
          <w:i/>
        </w:rPr>
        <w:t xml:space="preserve">World Development, 20</w:t>
      </w:r>
      <w:r>
        <w:t xml:space="preserve">(2), 165-186. https://doi.org/10.1016/0305-750X(92)90097-F</w:t>
      </w:r>
    </w:p>
    <w:p>
      <w:pPr>
        <w:pStyle w:val="BodyText"/>
      </w:pPr>
      <w:r>
        <w:t xml:space="preserve">Li, J., Chen, L., Yi, J., Mao, J., &amp; Liao, J. (2022). Ecosystem-specific advantages in international digital commerce.</w:t>
      </w:r>
      <w:r>
        <w:t xml:space="preserve"> </w:t>
      </w:r>
      <w:r>
        <w:rPr>
          <w:iCs/>
          <w:i/>
        </w:rPr>
        <w:t xml:space="preserve">Journal of International Business Studies, 53</w:t>
      </w:r>
      <w:r>
        <w:t xml:space="preserve">(4), 677-695.</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 https://doi.org/10.1080/00031305.2000.10474549</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Luo, Y., &amp; Tung, R. L. (2007). International expansion of emerging market enterprises: A springboard perspective.</w:t>
      </w:r>
      <w:r>
        <w:t xml:space="preserve"> </w:t>
      </w:r>
      <w:r>
        <w:rPr>
          <w:iCs/>
          <w:i/>
        </w:rPr>
        <w:t xml:space="preserve">Journal of International Business Studies, 38</w:t>
      </w:r>
      <w:r>
        <w:t xml:space="preserve">(4), 481-498.</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https://doi.org/10.1177/0149206316648proper</w:t>
      </w:r>
    </w:p>
    <w:p>
      <w:pPr>
        <w:pStyle w:val="BodyText"/>
      </w:pPr>
      <w:r>
        <w:t xml:space="preserve">Mathews, J. A. (2002). Dragon multinationals: Towards a new model of global growth.</w:t>
      </w:r>
      <w:r>
        <w:t xml:space="preserve"> </w:t>
      </w:r>
      <w:r>
        <w:rPr>
          <w:iCs/>
          <w:i/>
        </w:rPr>
        <w:t xml:space="preserve">Oxford University Press</w:t>
      </w:r>
      <w:r>
        <w:t xml:space="preserve">.</w:t>
      </w:r>
    </w:p>
    <w:p>
      <w:pPr>
        <w:pStyle w:val="BodyText"/>
      </w:pPr>
      <w:r>
        <w:t xml:space="preserve">Melitz, M. J. (2003). The impact of trade on intra-industry reallocations and aggregate industry productivity.</w:t>
      </w:r>
      <w:r>
        <w:t xml:space="preserve"> </w:t>
      </w:r>
      <w:r>
        <w:rPr>
          <w:iCs/>
          <w:i/>
        </w:rPr>
        <w:t xml:space="preserve">Econometrica, 71</w:t>
      </w:r>
      <w:r>
        <w:t xml:space="preserve">(6), 1695-1725.</w:t>
      </w:r>
    </w:p>
    <w:p>
      <w:pPr>
        <w:pStyle w:val="BodyText"/>
      </w:pPr>
      <w:r>
        <w:t xml:space="preserve">Meyer, K. E., Mudambi, R., &amp; Narula, R. (2017). Multinational enterprises and local contexts: The opportunities and challenges of multiple embeddedness.</w:t>
      </w:r>
      <w:r>
        <w:t xml:space="preserve"> </w:t>
      </w:r>
      <w:r>
        <w:rPr>
          <w:iCs/>
          <w:i/>
        </w:rPr>
        <w:t xml:space="preserve">Journal of Management Studies, 48</w:t>
      </w:r>
      <w:r>
        <w:t xml:space="preserve">(2), 235-252.</w:t>
      </w:r>
    </w:p>
    <w:p>
      <w:pPr>
        <w:pStyle w:val="BodyText"/>
      </w:pPr>
      <w:r>
        <w:t xml:space="preserve">Nielsen, B. B., &amp; Nielsen, S. (2011). The role of top management team international orientation in international strategic decision-making: The choice of foreign entry mode.</w:t>
      </w:r>
      <w:r>
        <w:t xml:space="preserve"> </w:t>
      </w:r>
      <w:r>
        <w:rPr>
          <w:iCs/>
          <w:i/>
        </w:rPr>
        <w:t xml:space="preserve">Journal of World Business, 46</w:t>
      </w:r>
      <w:r>
        <w:t xml:space="preserve">(2), 185-193. https://doi.org/10.1016/j.jwb.2010.05.003</w:t>
      </w:r>
    </w:p>
    <w:p>
      <w:pPr>
        <w:pStyle w:val="BodyText"/>
      </w:pPr>
      <w:r>
        <w:t xml:space="preserve">North, D. C. (1990).</w:t>
      </w:r>
      <w:r>
        <w:t xml:space="preserve"> </w:t>
      </w:r>
      <w:r>
        <w:rPr>
          <w:iCs/>
          <w:i/>
        </w:rPr>
        <w:t xml:space="preserve">Institutions, institutional change and economic performance</w:t>
      </w:r>
      <w:r>
        <w:t xml:space="preserve">. Cambridge University Press. https://doi.org/10.1017/CBO9780511808678</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p>
    <w:p>
      <w:pPr>
        <w:pStyle w:val="BodyText"/>
      </w:pPr>
      <w:r>
        <w:t xml:space="preserve">Peng, M. W. (2003). Institutional transitions and strategic choices.</w:t>
      </w:r>
      <w:r>
        <w:t xml:space="preserve"> </w:t>
      </w:r>
      <w:r>
        <w:rPr>
          <w:iCs/>
          <w:i/>
        </w:rPr>
        <w:t xml:space="preserve">Academy of Management Review, 28</w:t>
      </w:r>
      <w:r>
        <w:t xml:space="preserve">(2), 275-296. https://doi.org/10.5465/amr.2003.9416341</w:t>
      </w:r>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 https://doi.org/10.1057/palgrave.jibs.8400377</w:t>
      </w:r>
    </w:p>
    <w:p>
      <w:pPr>
        <w:pStyle w:val="BodyText"/>
      </w:pPr>
      <w:r>
        <w:t xml:space="preserve">Riahi-Belkaoui, A. (1998). The effects of the degree of internationalization on firm performance.</w:t>
      </w:r>
      <w:r>
        <w:t xml:space="preserve"> </w:t>
      </w:r>
      <w:r>
        <w:rPr>
          <w:iCs/>
          <w:i/>
        </w:rPr>
        <w:t xml:space="preserve">International Business Review, 7</w:t>
      </w:r>
      <w:r>
        <w:t xml:space="preserve">(3), 315-321.</w:t>
      </w:r>
    </w:p>
    <w:p>
      <w:pPr>
        <w:pStyle w:val="BodyText"/>
      </w:pPr>
      <w:r>
        <w:t xml:space="preserve">Schwens, C., Zapkau, F. B., Brouthers, K. D., &amp; Hollender, L. (2018). Limits to outside-in open innovation in SMEs: When it helps and when it does not help with international performance.</w:t>
      </w:r>
      <w:r>
        <w:t xml:space="preserve"> </w:t>
      </w:r>
      <w:r>
        <w:rPr>
          <w:iCs/>
          <w:i/>
        </w:rPr>
        <w:t xml:space="preserve">Journal of World Business, 53</w:t>
      </w:r>
      <w:r>
        <w:t xml:space="preserve">(2), 168-177.</w:t>
      </w:r>
    </w:p>
    <w:p>
      <w:pPr>
        <w:pStyle w:val="BodyText"/>
      </w:pPr>
      <w:r>
        <w:t xml:space="preserve">Solon, G., Haider, S. J., &amp; Wooldridge, J. M. (2015). What are we weighting for?</w:t>
      </w:r>
      <w:r>
        <w:t xml:space="preserve"> </w:t>
      </w:r>
      <w:r>
        <w:rPr>
          <w:iCs/>
          <w:i/>
        </w:rPr>
        <w:t xml:space="preserve">Journal of Human Resources, 50</w:t>
      </w:r>
      <w:r>
        <w:t xml:space="preserve">(2), 301-316. https://doi.org/10.3368/jhr.50.2.301</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 https://doi.org/10.1002/gsj.1336</w:t>
      </w:r>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w:t>
      </w:r>
    </w:p>
    <w:p>
      <w:pPr>
        <w:pStyle w:val="BodyText"/>
      </w:pPr>
      <w:r>
        <w:t xml:space="preserve">Torraco, R. J. (2005). Writing integrative literature reviews: Guidelines and examples.</w:t>
      </w:r>
      <w:r>
        <w:t xml:space="preserve"> </w:t>
      </w:r>
      <w:r>
        <w:rPr>
          <w:iCs/>
          <w:i/>
        </w:rPr>
        <w:t xml:space="preserve">Human Resource Development Review, 4</w:t>
      </w:r>
      <w:r>
        <w:t xml:space="preserve">(3), 356-367.</w:t>
      </w:r>
    </w:p>
    <w:p>
      <w:pPr>
        <w:pStyle w:val="BodyText"/>
      </w:pPr>
      <w:r>
        <w:t xml:space="preserve">Verhoef, P. C., Broekhuizen, T., Bart, Y., Bhatt,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p>
      <w:pPr>
        <w:pStyle w:val="BodyText"/>
      </w:pPr>
      <w:r>
        <w:t xml:space="preserve">Wernerfelt, B. (1984). A resource-based view of the firm.</w:t>
      </w:r>
      <w:r>
        <w:t xml:space="preserve"> </w:t>
      </w:r>
      <w:r>
        <w:rPr>
          <w:iCs/>
          <w:i/>
        </w:rPr>
        <w:t xml:space="preserve">Strategic Management Journal, 5</w:t>
      </w:r>
      <w:r>
        <w:t xml:space="preserve">(2), 171-180. https://doi.org/10.1002/smj.4250050207</w:t>
      </w:r>
    </w:p>
    <w:p>
      <w:pPr>
        <w:pStyle w:val="BodyText"/>
      </w:pPr>
      <w:r>
        <w:t xml:space="preserve">Wooldridge, J. M. (2010).</w:t>
      </w:r>
      <w:r>
        <w:t xml:space="preserve"> </w:t>
      </w:r>
      <w:r>
        <w:rPr>
          <w:iCs/>
          <w:i/>
        </w:rPr>
        <w:t xml:space="preserve">Econometric analysis of cross section and panel data</w:t>
      </w:r>
      <w:r>
        <w:t xml:space="preserve"> </w:t>
      </w:r>
      <w:r>
        <w:t xml:space="preserve">(2nd ed.). MIT Press.</w:t>
      </w:r>
    </w:p>
    <w:p>
      <w:pPr>
        <w:pStyle w:val="BodyText"/>
      </w:pPr>
      <w:r>
        <w:t xml:space="preserve">Wu, J., Fan, D., &amp; Chen, X. (2022). Revisiting the internationalization-performance relationship: A twenty-year meta-analysis of emerging market multinationals.</w:t>
      </w:r>
      <w:r>
        <w:t xml:space="preserve"> </w:t>
      </w:r>
      <w:r>
        <w:rPr>
          <w:iCs/>
          <w:i/>
        </w:rPr>
        <w:t xml:space="preserve">Management International Review, 62</w:t>
      </w:r>
      <w:r>
        <w:t xml:space="preserve">(2), 199-231. https://doi.org/10.1007/s11575-022-00462-x</w:t>
      </w:r>
    </w:p>
    <w:p>
      <w:pPr>
        <w:pStyle w:val="BodyText"/>
      </w:pPr>
      <w:r>
        <w:t xml:space="preserve">Xiao, S. S., Jeong, I., Moon, J. J., Chung, C. C., &amp; Chung, J. (2013). Internationalization and performance of firms in China.</w:t>
      </w:r>
      <w:r>
        <w:t xml:space="preserve"> </w:t>
      </w:r>
      <w:r>
        <w:rPr>
          <w:iCs/>
          <w:i/>
        </w:rPr>
        <w:t xml:space="preserve">Journal of International Management, 19</w:t>
      </w:r>
      <w:r>
        <w:t xml:space="preserve">(2), 118-137. https://doi.org/10.1016/j.intman.2013.01.003</w:t>
      </w:r>
    </w:p>
    <w:p>
      <w:pPr>
        <w:pStyle w:val="BodyText"/>
      </w:pPr>
      <w:r>
        <w:t xml:space="preserve">Xu, D. (2024). From de jure to de facto: Institutional distance and firm internationalization.</w:t>
      </w:r>
      <w:r>
        <w:t xml:space="preserve"> </w:t>
      </w:r>
      <w:r>
        <w:rPr>
          <w:iCs/>
          <w:i/>
        </w:rPr>
        <w:t xml:space="preserve">Global Strategy Journal, 14</w:t>
      </w:r>
      <w:r>
        <w:t xml:space="preserve">(1), 1-28.</w:t>
      </w:r>
    </w:p>
    <w:p>
      <w:pPr>
        <w:pStyle w:val="BodyText"/>
      </w:pPr>
      <w:r>
        <w:t xml:space="preserve">Yang, Z., Zhao, Y., &amp; Wei, Z. (2025). Digital capability as a moderator of internationalization-performance in emerging Asia: Evidence from WBES 2018-2023.</w:t>
      </w:r>
      <w:r>
        <w:t xml:space="preserve"> </w:t>
      </w:r>
      <w:r>
        <w:rPr>
          <w:iCs/>
          <w:i/>
        </w:rPr>
        <w:t xml:space="preserve">Asia Pacific Journal of Management</w:t>
      </w:r>
      <w:r>
        <w:t xml:space="preserve"> </w:t>
      </w:r>
      <w:r>
        <w:t xml:space="preserve">[in press].</w:t>
      </w:r>
    </w:p>
    <w:p>
      <w:r>
        <w:pict>
          <v:rect style="width:0;height:1.5pt" o:hralign="center" o:hrstd="t" o:hr="t"/>
        </w:pict>
      </w:r>
    </w:p>
    <w:bookmarkEnd w:id="92"/>
    <w:bookmarkStart w:id="97" w:name="phụ-lục"/>
    <w:p>
      <w:pPr>
        <w:pStyle w:val="Heading2"/>
      </w:pPr>
      <w:r>
        <w:t xml:space="preserve">PHỤ LỤC</w:t>
      </w:r>
    </w:p>
    <w:bookmarkStart w:id="93" w:name="X4f7d30b1bba41a8911338bb6cb3079208caeb7a"/>
    <w:p>
      <w:pPr>
        <w:pStyle w:val="Heading3"/>
      </w:pPr>
      <w:r>
        <w:t xml:space="preserve">Phụ lục A, Danh sách 47 nền kinh tế theo nhóm ICRV</w:t>
      </w:r>
    </w:p>
    <w:p>
      <w:pPr>
        <w:pStyle w:val="FirstParagraph"/>
      </w:pPr>
      <w:r>
        <w:t xml:space="preserve">ICRV Nhóm I, Tiên tiến đổi mới sáng tạo dẫn dắt (5 nền kinh tế):</w:t>
      </w:r>
      <w:r>
        <w:t xml:space="preserve"> </w:t>
      </w:r>
      <w:r>
        <w:t xml:space="preserve">Singapore, Hong Kong SAR, Hàn Quốc, Đài Loan, Israel.</w:t>
      </w:r>
    </w:p>
    <w:p>
      <w:pPr>
        <w:pStyle w:val="BodyText"/>
      </w:pPr>
      <w:r>
        <w:t xml:space="preserve">ICRV Nhóm II, Tiên tiến tài nguyên dẫn dắt (5 nền kinh tế):</w:t>
      </w:r>
      <w:r>
        <w:t xml:space="preserve"> </w:t>
      </w:r>
      <w:r>
        <w:t xml:space="preserve">Saudi Arabia, Qatar, Kuwait, Bahrain, Brunei.</w:t>
      </w:r>
    </w:p>
    <w:p>
      <w:pPr>
        <w:pStyle w:val="BodyText"/>
      </w:pPr>
      <w:r>
        <w:t xml:space="preserve">ICRV Nhóm III, Trung bình cao (6 nền kinh tế):</w:t>
      </w:r>
      <w:r>
        <w:t xml:space="preserve"> </w:t>
      </w:r>
      <w:r>
        <w:t xml:space="preserve">Trung Quốc, Malaysia, Thái Lan, Kazakhstan, Armenia, Georgia.</w:t>
      </w:r>
    </w:p>
    <w:p>
      <w:pPr>
        <w:pStyle w:val="BodyText"/>
      </w:pPr>
      <w:r>
        <w:t xml:space="preserve">ICRV Nhóm IV, Đang nổi (7 nền kinh tế):</w:t>
      </w:r>
      <w:r>
        <w:t xml:space="preserve"> </w:t>
      </w:r>
      <w:r>
        <w:t xml:space="preserve">Việt Nam, Indonesia, Philippines, Ấn Độ, Sri Lanka, Jordan, Mông Cổ.</w:t>
      </w:r>
    </w:p>
    <w:p>
      <w:pPr>
        <w:pStyle w:val="BodyText"/>
      </w:pPr>
      <w:r>
        <w:t xml:space="preserve">ICRV Nhóm V, Cận biên (17 nền kinh tế):</w:t>
      </w:r>
      <w:r>
        <w:t xml:space="preserve"> </w:t>
      </w:r>
      <w:r>
        <w:t xml:space="preserve">Bangladesh, Pakistan, Lào, Campuchia, Myanmar, Nepal, Bhutan, Maldives, Uzbekistan, Tajikistan, Kyrgyzstan, Turkmenistan, Afghanistan, Timor-Leste, Iraq, Lebanon, Yemen.</w:t>
      </w:r>
    </w:p>
    <w:p>
      <w:pPr>
        <w:pStyle w:val="BodyText"/>
      </w:pPr>
      <w:r>
        <w:t xml:space="preserve">ICRV Nhóm VI, SIDS Thái Bình Dương, trường hợp biên (7 nền kinh tế):</w:t>
      </w:r>
      <w:r>
        <w:t xml:space="preserve"> </w:t>
      </w:r>
      <w:r>
        <w:t xml:space="preserve">Fiji, Kiribati, Papua New Guinea, Samoa, Solomon Islands, Tonga, Vanuatu.</w:t>
      </w:r>
      <w:r>
        <w:t xml:space="preserve"> </w:t>
      </w:r>
      <w:r>
        <w:rPr>
          <w:iCs/>
          <w:i/>
        </w:rPr>
        <w:t xml:space="preserve">(Ghi chú: phân tích SIDS Thái Bình Dương dùng bộ lọc WBES SIDS_small gồm 9 nước, bổ sung thêm Comoros và Timor-Leste.)</w:t>
      </w:r>
    </w:p>
    <w:p>
      <w:pPr>
        <w:pStyle w:val="BodyText"/>
      </w:pPr>
      <w:r>
        <w:t xml:space="preserve">Tổng: 5 + 5 + 6 + 7 + 17 + 7 = 47 nền kinh tế.</w:t>
      </w:r>
    </w:p>
    <w:bookmarkEnd w:id="93"/>
    <w:bookmarkStart w:id="94" w:name="Xbad1bc84f3d3d9be9a613f7519fe2cb13fab848"/>
    <w:p>
      <w:pPr>
        <w:pStyle w:val="Heading3"/>
      </w:pPr>
      <w:r>
        <w:t xml:space="preserve">Phụ lục B, Tóm tắt ba phân tích quốc gia thành phần</w:t>
      </w:r>
    </w:p>
    <w:p>
      <w:pPr>
        <w:pStyle w:val="FirstParagraph"/>
      </w:pPr>
      <w:r>
        <w:t xml:space="preserve">Phân tích Việt Nam: 2.958 doanh nghiệp WBES ba sóng 2009/2015/2023. Kết quả chính: chữ U ngược xác nhận (Lind-Mehlum p &lt; 0,001 tổng hợp); điểm uốn 46,2% (2009), 39,3% (2015), 41,6% (2023), 39,7% (tổng hợp); TCI nhân quả (β = 1,639, F bậc một = 22,1); DAI phụ thuộc chọn lựa (β_IV = 0,018, F bậc một = 34,6); Paternoster z = 3,353 giữa điểm uốn 2009 và 2015 (p &lt; 0,001).</w:t>
      </w:r>
    </w:p>
    <w:p>
      <w:pPr>
        <w:pStyle w:val="BodyText"/>
      </w:pPr>
      <w:r>
        <w:t xml:space="preserve">Phân tích Singapore: 623 doanh nghiệp WBES 2023. Kết quả chính: đường cong I-P chủ yếu dương; điểm uốn hàm ý ~82% (vùng thưa dữ liệu; Lind-Mehlum p = 0,303); DAI×</w:t>
      </w:r>
      <m:oMath>
        <m:sSup>
          <m:e>
            <m:r>
              <m:rPr>
                <m:nor/>
                <m:sty m:val="p"/>
              </m:rPr>
              <m:t>FSTS</m:t>
            </m:r>
          </m:e>
          <m:sup>
            <m:r>
              <m:t>2</m:t>
            </m:r>
          </m:sup>
        </m:sSup>
      </m:oMath>
      <w:r>
        <w:t xml:space="preserve"> </w:t>
      </w:r>
      <w:r>
        <w:t xml:space="preserve">= +3,119 (p = 0,005), DAI là năng lực phụ thuộc bối cảnh; TCI β = 0,153.</w:t>
      </w:r>
    </w:p>
    <w:p>
      <w:pPr>
        <w:pStyle w:val="BodyText"/>
      </w:pPr>
      <w:r>
        <w:t xml:space="preserve">Phân tích Trung Quốc: 4.559 doanh nghiệp WBES hai sóng 2012/2024. Kết quả chính: chữ U ngược bền vững cấu trúc, điểm uốn 49,4% (2012), 47,2% (2024), Paternoster</w:t>
      </w:r>
      <w:r>
        <w:t xml:space="preserve"> </w:t>
      </w:r>
      <m:oMath>
        <m:sSup>
          <m:e>
            <m:r>
              <m:rPr>
                <m:nor/>
                <m:sty m:val="p"/>
              </m:rPr>
              <m:t>FSTS</m:t>
            </m:r>
          </m:e>
          <m:sup>
            <m:r>
              <m:t>2</m:t>
            </m:r>
          </m:sup>
        </m:sSup>
      </m:oMath>
      <w:r>
        <w:t xml:space="preserve"> </w:t>
      </w:r>
      <w:r>
        <w:t xml:space="preserve">p = 0,545 (không có sự khác biệt đáng kể); TCI tăng cường theo thời gian (+0,260 lên +0,426, Paternoster p = 0,011).</w:t>
      </w:r>
    </w:p>
    <w:bookmarkEnd w:id="94"/>
    <w:bookmarkStart w:id="95" w:name="phụ-lục-c-quy-ước-báo-cáo-thống-kê"/>
    <w:p>
      <w:pPr>
        <w:pStyle w:val="Heading3"/>
      </w:pPr>
      <w:r>
        <w:t xml:space="preserve">Phụ lục C, Quy ước báo cáo thống kê</w:t>
      </w:r>
    </w:p>
    <w:p>
      <w:pPr>
        <w:pStyle w:val="FirstParagraph"/>
      </w:pPr>
      <w:r>
        <w:t xml:space="preserve">Hệ số hồi quy trình bày không chuẩn hóa với HC1 SE trong ngoặc. Điểm uốn trình bày trên thang FSTS gốc (0-1) với 95% CI bằng delta method. Mức ý nghĩa: *** p &lt; 0,001; ** p &lt; 0,01; * p &lt; 0,05; † p &lt; 0,10.</w:t>
      </w:r>
      <w:r>
        <w:t xml:space="preserve"> </w:t>
      </w:r>
      <m:oMath>
        <m:sSup>
          <m:e>
            <m:r>
              <m:t>R</m:t>
            </m:r>
          </m:e>
          <m:sup>
            <m:r>
              <m:t>2</m:t>
            </m:r>
          </m:sup>
        </m:sSup>
      </m:oMath>
      <w:r>
        <w:t xml:space="preserve"> </w:t>
      </w:r>
      <w:r>
        <w:t xml:space="preserve">báo cáo cho từng mô hình cộng với</w:t>
      </w:r>
      <w:r>
        <w:t xml:space="preserve"> </w:t>
      </w:r>
      <m:oMath>
        <m:r>
          <m:t>Δ</m:t>
        </m:r>
        <m:sSup>
          <m:e>
            <m:r>
              <m:t>R</m:t>
            </m:r>
          </m:e>
          <m:sup>
            <m:r>
              <m:t>2</m:t>
            </m:r>
          </m:sup>
        </m:sSup>
      </m:oMath>
      <w:r>
        <w:t xml:space="preserve"> </w:t>
      </w:r>
      <w:r>
        <w:t xml:space="preserve">tăng thêm.</w:t>
      </w:r>
    </w:p>
    <w:p>
      <w:pPr>
        <w:pStyle w:val="BodyText"/>
      </w:pPr>
      <w:r>
        <w:t xml:space="preserve">Kiểm định Lind-Mehlum: báo cáo p-value cho H₀ (không có chữ U ngược), điểm uốn, và 95% CI điểm uốn.</w:t>
      </w:r>
    </w:p>
    <w:p>
      <w:pPr>
        <w:pStyle w:val="BodyText"/>
      </w:pPr>
      <w:r>
        <w:t xml:space="preserve">Kiểm định Paternoster: báo cáo z-statistic và p-value hai chiều cho so sánh hệ số giữa hai nhóm hoặc hai giai đoạn.</w:t>
      </w:r>
    </w:p>
    <w:bookmarkEnd w:id="95"/>
    <w:bookmarkStart w:id="96" w:name="Xa84ffce5c253a184851e54c82ab1310212e4bc3"/>
    <w:p>
      <w:pPr>
        <w:pStyle w:val="Heading3"/>
      </w:pPr>
      <w:r>
        <w:t xml:space="preserve">Phụ lục D, Đặc tả Stata: Sai số chuẩn cluster</w:t>
      </w:r>
    </w:p>
    <w:p>
      <w:pPr>
        <w:pStyle w:val="FirstParagraph"/>
      </w:pPr>
      <w:r>
        <w:t xml:space="preserve">Toàn bộ quy trình phân tích (pipeline) sử dụng Stata 18. Mô hình chuẩn (Mục 6.4) dùng sai số chuẩn vững HC1 cho điều chỉnh phương sai không đồng nhất cấp doanh nghiệp. Để kiểm định độ vững với clustering ở cấp quốc gia × ngành (country × industry cluster), thêm bước sau trước khi chạy mô hình hồi quy:</w:t>
      </w:r>
    </w:p>
    <w:p>
      <w:pPr>
        <w:pStyle w:val="SourceCode"/>
      </w:pPr>
      <w:r>
        <w:rPr>
          <w:rStyle w:val="NormalTok"/>
        </w:rPr>
        <w:t xml:space="preserve">* === Tạo biến </w:t>
      </w:r>
      <w:r>
        <w:rPr>
          <w:rStyle w:val="KeywordTok"/>
        </w:rPr>
        <w:t xml:space="preserve">cluster</w:t>
      </w:r>
      <w:r>
        <w:rPr>
          <w:rStyle w:val="NormalTok"/>
        </w:rPr>
        <w:t xml:space="preserve"> country × industry ===</w:t>
      </w:r>
      <w:r>
        <w:br/>
      </w:r>
      <w:r>
        <w:rPr>
          <w:rStyle w:val="KeywordTok"/>
        </w:rPr>
        <w:t xml:space="preserve">gen</w:t>
      </w:r>
      <w:r>
        <w:rPr>
          <w:rStyle w:val="NormalTok"/>
        </w:rPr>
        <w:t xml:space="preserve"> cluster_id = country_iso3 + </w:t>
      </w:r>
      <w:r>
        <w:rPr>
          <w:rStyle w:val="StringTok"/>
        </w:rPr>
        <w:t xml:space="preserve">"_"</w:t>
      </w:r>
      <w:r>
        <w:rPr>
          <w:rStyle w:val="NormalTok"/>
        </w:rPr>
        <w:t xml:space="preserve"> + </w:t>
      </w:r>
      <w:r>
        <w:rPr>
          <w:rStyle w:val="FunctionTok"/>
        </w:rPr>
        <w:t xml:space="preserve">string</w:t>
      </w:r>
      <w:r>
        <w:rPr>
          <w:rStyle w:val="NormalTok"/>
        </w:rPr>
        <w:t xml:space="preserve">(sector_main)</w:t>
      </w:r>
      <w:r>
        <w:br/>
      </w:r>
      <w:r>
        <w:br/>
      </w:r>
      <w:r>
        <w:rPr>
          <w:rStyle w:val="NormalTok"/>
        </w:rPr>
        <w:t xml:space="preserve">* === M1 với </w:t>
      </w:r>
      <w:r>
        <w:rPr>
          <w:rStyle w:val="KeywordTok"/>
        </w:rPr>
        <w:t xml:space="preserve">cluster</w:t>
      </w:r>
      <w:r>
        <w:rPr>
          <w:rStyle w:val="NormalTok"/>
        </w:rPr>
        <w:t xml:space="preserve"> </w:t>
      </w:r>
      <w:r>
        <w:rPr>
          <w:rStyle w:val="KeywordTok"/>
        </w:rPr>
        <w:t xml:space="preserve">SE</w:t>
      </w:r>
      <w:r>
        <w:rPr>
          <w:rStyle w:val="NormalTok"/>
        </w:rPr>
        <w:t xml:space="preserve"> (kiểm định H1) ===</w:t>
      </w:r>
      <w:r>
        <w:br/>
      </w:r>
      <w:r>
        <w:rPr>
          <w:rStyle w:val="KeywordTok"/>
        </w:rPr>
        <w:t xml:space="preserve">reg</w:t>
      </w:r>
      <w:r>
        <w:rPr>
          <w:rStyle w:val="NormalTok"/>
        </w:rPr>
        <w:t xml:space="preserve"> ln_lp fsts_c fsts_c2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M2 với </w:t>
      </w:r>
      <w:r>
        <w:rPr>
          <w:rStyle w:val="KeywordTok"/>
        </w:rPr>
        <w:t xml:space="preserve">cluster</w:t>
      </w:r>
      <w:r>
        <w:rPr>
          <w:rStyle w:val="NormalTok"/>
        </w:rPr>
        <w:t xml:space="preserve"> </w:t>
      </w:r>
      <w:r>
        <w:rPr>
          <w:rStyle w:val="KeywordTok"/>
        </w:rPr>
        <w:t xml:space="preserve">SE</w:t>
      </w:r>
      <w:r>
        <w:rPr>
          <w:rStyle w:val="NormalTok"/>
        </w:rPr>
        <w:t xml:space="preserve"> (kiểm định H2: TCI) ===</w:t>
      </w:r>
      <w:r>
        <w:br/>
      </w:r>
      <w:r>
        <w:rPr>
          <w:rStyle w:val="KeywordTok"/>
        </w:rPr>
        <w:t xml:space="preserve">reg</w:t>
      </w:r>
      <w:r>
        <w:rPr>
          <w:rStyle w:val="NormalTok"/>
        </w:rPr>
        <w:t xml:space="preserve"> ln_lp fsts_c fsts_c2 tci_z c.fsts_c#c.tci_z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M3 với </w:t>
      </w:r>
      <w:r>
        <w:rPr>
          <w:rStyle w:val="KeywordTok"/>
        </w:rPr>
        <w:t xml:space="preserve">cluster</w:t>
      </w:r>
      <w:r>
        <w:rPr>
          <w:rStyle w:val="NormalTok"/>
        </w:rPr>
        <w:t xml:space="preserve"> </w:t>
      </w:r>
      <w:r>
        <w:rPr>
          <w:rStyle w:val="KeywordTok"/>
        </w:rPr>
        <w:t xml:space="preserve">SE</w:t>
      </w:r>
      <w:r>
        <w:rPr>
          <w:rStyle w:val="NormalTok"/>
        </w:rPr>
        <w:t xml:space="preserve"> (kiểm định H3: DAI) ===</w:t>
      </w:r>
      <w:r>
        <w:br/>
      </w:r>
      <w:r>
        <w:rPr>
          <w:rStyle w:val="KeywordTok"/>
        </w:rPr>
        <w:t xml:space="preserve">reg</w:t>
      </w:r>
      <w:r>
        <w:rPr>
          <w:rStyle w:val="NormalTok"/>
        </w:rPr>
        <w:t xml:space="preserve"> ln_lp fsts_c fsts_c2 dai_z c.fsts_c#c.dai_z c.fsts_c2#c.dai_z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M5 với </w:t>
      </w:r>
      <w:r>
        <w:rPr>
          <w:rStyle w:val="KeywordTok"/>
        </w:rPr>
        <w:t xml:space="preserve">cluster</w:t>
      </w:r>
      <w:r>
        <w:rPr>
          <w:rStyle w:val="NormalTok"/>
        </w:rPr>
        <w:t xml:space="preserve"> </w:t>
      </w:r>
      <w:r>
        <w:rPr>
          <w:rStyle w:val="KeywordTok"/>
        </w:rPr>
        <w:t xml:space="preserve">SE</w:t>
      </w:r>
      <w:r>
        <w:rPr>
          <w:rStyle w:val="NormalTok"/>
        </w:rPr>
        <w:t xml:space="preserve"> (kiểm định H4a-H4c) ===</w:t>
      </w:r>
      <w:r>
        <w:br/>
      </w:r>
      <w:r>
        <w:rPr>
          <w:rStyle w:val="NormalTok"/>
        </w:rPr>
        <w:t xml:space="preserve">* H4a: kinh nghiệm</w:t>
      </w:r>
      <w:r>
        <w:br/>
      </w:r>
      <w:r>
        <w:rPr>
          <w:rStyle w:val="KeywordTok"/>
        </w:rPr>
        <w:t xml:space="preserve">reg</w:t>
      </w:r>
      <w:r>
        <w:rPr>
          <w:rStyle w:val="NormalTok"/>
        </w:rPr>
        <w:t xml:space="preserve"> ln_lp fsts_c fsts_c2 exp_manager c.fsts_c#c.exp_manager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H4b: học vấn</w:t>
      </w:r>
      <w:r>
        <w:br/>
      </w:r>
      <w:r>
        <w:rPr>
          <w:rStyle w:val="KeywordTok"/>
        </w:rPr>
        <w:t xml:space="preserve">reg</w:t>
      </w:r>
      <w:r>
        <w:rPr>
          <w:rStyle w:val="NormalTok"/>
        </w:rPr>
        <w:t xml:space="preserve"> ln_lp fsts_c fsts_c2 educ_manager c.fsts_c#c.educ_manager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H4c: giới tính (exploratory, </w:t>
      </w:r>
      <w:r>
        <w:rPr>
          <w:rStyle w:val="KeywordTok"/>
        </w:rPr>
        <w:t xml:space="preserve">two</w:t>
      </w:r>
      <w:r>
        <w:rPr>
          <w:rStyle w:val="NormalTok"/>
        </w:rPr>
        <w:t xml:space="preserve">-sided, không đặt kỳ vọng)</w:t>
      </w:r>
      <w:r>
        <w:br/>
      </w:r>
      <w:r>
        <w:rPr>
          <w:rStyle w:val="KeywordTok"/>
        </w:rPr>
        <w:t xml:space="preserve">reg</w:t>
      </w:r>
      <w:r>
        <w:rPr>
          <w:rStyle w:val="NormalTok"/>
        </w:rPr>
        <w:t xml:space="preserve"> ln_lp fsts_c fsts_c2 gender_manager c.fsts_c#c.gender_manager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Lind-Mehlum utest sau mỗi mô hình có $\</w:t>
      </w:r>
      <w:r>
        <w:rPr>
          <w:rStyle w:val="BaseNTok"/>
        </w:rPr>
        <w:t xml:space="preserve">text</w:t>
      </w:r>
      <w:r>
        <w:rPr>
          <w:rStyle w:val="NormalTok"/>
        </w:rPr>
        <w:t xml:space="preserve">{FSTS}^2$ ===</w:t>
      </w:r>
      <w:r>
        <w:br/>
      </w:r>
      <w:r>
        <w:rPr>
          <w:rStyle w:val="NormalTok"/>
        </w:rPr>
        <w:t xml:space="preserve">* (cài đặt: </w:t>
      </w:r>
      <w:r>
        <w:rPr>
          <w:rStyle w:val="KeywordTok"/>
        </w:rPr>
        <w:t xml:space="preserve">ssc</w:t>
      </w:r>
      <w:r>
        <w:rPr>
          <w:rStyle w:val="NormalTok"/>
        </w:rPr>
        <w:t xml:space="preserve"> install utest)</w:t>
      </w:r>
      <w:r>
        <w:br/>
      </w:r>
      <w:r>
        <w:rPr>
          <w:rStyle w:val="NormalTok"/>
        </w:rPr>
        <w:t xml:space="preserve">utest fsts_c fsts_c2</w:t>
      </w:r>
      <w:r>
        <w:br/>
      </w:r>
      <w:r>
        <w:br/>
      </w:r>
      <w:r>
        <w:rPr>
          <w:rStyle w:val="NormalTok"/>
        </w:rPr>
        <w:t xml:space="preserve">* === Kiểm tra số </w:t>
      </w:r>
      <w:r>
        <w:rPr>
          <w:rStyle w:val="KeywordTok"/>
        </w:rPr>
        <w:t xml:space="preserve">cluster</w:t>
      </w:r>
      <w:r>
        <w:rPr>
          <w:rStyle w:val="NormalTok"/>
        </w:rPr>
        <w:t xml:space="preserve"> ===</w:t>
      </w:r>
      <w:r>
        <w:br/>
      </w:r>
      <w:r>
        <w:rPr>
          <w:rStyle w:val="NormalTok"/>
        </w:rPr>
        <w:t xml:space="preserve">* Số </w:t>
      </w:r>
      <w:r>
        <w:rPr>
          <w:rStyle w:val="KeywordTok"/>
        </w:rPr>
        <w:t xml:space="preserve">cluster</w:t>
      </w:r>
      <w:r>
        <w:rPr>
          <w:rStyle w:val="NormalTok"/>
        </w:rPr>
        <w:t xml:space="preserve"> tối thiểu khuyến nghị: $\geq$ 50 (Cameron &amp; Miller, 2015)</w:t>
      </w:r>
      <w:r>
        <w:br/>
      </w:r>
      <w:r>
        <w:rPr>
          <w:rStyle w:val="NormalTok"/>
        </w:rPr>
        <w:t xml:space="preserve">* Pool 47 quốc gia × 5 ngành chính $\approx$ 235 </w:t>
      </w:r>
      <w:r>
        <w:rPr>
          <w:rStyle w:val="KeywordTok"/>
        </w:rPr>
        <w:t xml:space="preserve">cluster</w:t>
      </w:r>
      <w:r>
        <w:rPr>
          <w:rStyle w:val="NormalTok"/>
        </w:rPr>
        <w:t xml:space="preserve">, thỏa mãn</w:t>
      </w:r>
      <w:r>
        <w:br/>
      </w:r>
      <w:r>
        <w:rPr>
          <w:rStyle w:val="KeywordTok"/>
        </w:rPr>
        <w:t xml:space="preserve">tab</w:t>
      </w:r>
      <w:r>
        <w:rPr>
          <w:rStyle w:val="NormalTok"/>
        </w:rPr>
        <w:t xml:space="preserve"> cluster_id </w:t>
      </w:r>
      <w:r>
        <w:rPr>
          <w:rStyle w:val="KeywordTok"/>
        </w:rPr>
        <w:t xml:space="preserve">if</w:t>
      </w:r>
      <w:r>
        <w:rPr>
          <w:rStyle w:val="NormalTok"/>
        </w:rPr>
        <w:t xml:space="preserve"> </w:t>
      </w:r>
      <w:r>
        <w:rPr>
          <w:rStyle w:val="FunctionTok"/>
        </w:rPr>
        <w:t xml:space="preserve">e</w:t>
      </w:r>
      <w:r>
        <w:rPr>
          <w:rStyle w:val="NormalTok"/>
        </w:rPr>
        <w:t xml:space="preserve">(</w:t>
      </w:r>
      <w:r>
        <w:rPr>
          <w:rStyle w:val="KeywordTok"/>
        </w:rPr>
        <w:t xml:space="preserve">sample</w:t>
      </w:r>
      <w:r>
        <w:rPr>
          <w:rStyle w:val="NormalTok"/>
        </w:rPr>
        <w:t xml:space="preserve">) == 1, </w:t>
      </w:r>
      <w:r>
        <w:rPr>
          <w:rStyle w:val="KeywordTok"/>
        </w:rPr>
        <w:t xml:space="preserve">sum</w:t>
      </w:r>
      <w:r>
        <w:rPr>
          <w:rStyle w:val="NormalTok"/>
        </w:rPr>
        <w:t xml:space="preserve">(ln_lp)</w:t>
      </w:r>
    </w:p>
    <w:p>
      <w:pPr>
        <w:pStyle w:val="FirstParagraph"/>
      </w:pPr>
      <w:r>
        <w:rPr>
          <w:bCs/>
          <w:b/>
        </w:rPr>
        <w:t xml:space="preserve">Lưu ý kỹ thuật</w:t>
      </w:r>
      <w:r>
        <w:t xml:space="preserve">:</w:t>
      </w:r>
      <w:r>
        <w:t xml:space="preserve"> </w:t>
      </w:r>
      <w:r>
        <w:rPr>
          <w:rStyle w:val="VerbatimChar"/>
        </w:rPr>
        <w:t xml:space="preserve">vce(cluster cluster_id)</w:t>
      </w:r>
      <w:r>
        <w:t xml:space="preserve"> </w:t>
      </w:r>
      <w:r>
        <w:t xml:space="preserve">điều chỉnh cho tương quan trong cùng nhóm quốc gia-ngành (intra-cluster correlation), khác với HC1 ở chỗ cho phép phương sai không đồng nhất lẫn tương quan trong cluster. Kết quả kỳ vọng: SE có thể tăng lên so với HC1 trong các cluster có nhiều doanh nghiệp tương tự (ví dụ, nhóm Ấn Độ sản xuất). Hệ số điểm ước lượng (point estimates) không thay đổi.</w:t>
      </w:r>
    </w:p>
    <w:p>
      <w:pPr>
        <w:pStyle w:val="BodyText"/>
      </w:pPr>
      <w:r>
        <w:rPr>
          <w:bCs/>
          <w:b/>
        </w:rPr>
        <w:t xml:space="preserve">Tham chiếu</w:t>
      </w:r>
      <w:r>
        <w:t xml:space="preserve">: Cameron, A. C., &amp; Miller, D. L. (2015). A practitioner’s guide to cluster-robust inference.</w:t>
      </w:r>
      <w:r>
        <w:t xml:space="preserve"> </w:t>
      </w:r>
      <w:r>
        <w:rPr>
          <w:iCs/>
          <w:i/>
        </w:rPr>
        <w:t xml:space="preserve">Journal of Human Resources, 50</w:t>
      </w:r>
      <w:r>
        <w:t xml:space="preserve">(2), 317-372.</w:t>
      </w:r>
    </w:p>
    <w:bookmarkEnd w:id="96"/>
    <w:bookmarkEnd w:id="97"/>
    <w:bookmarkEnd w:id="98"/>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2026-05-31T12:24:23Z</dcterms:created>
  <dcterms:modified xsi:type="dcterms:W3CDTF">2026-05-31T12:24:23Z</dcterms:modified>
</cp:coreProperties>
</file>

<file path=docProps/custom.xml><?xml version="1.0" encoding="utf-8"?>
<Properties xmlns="http://schemas.openxmlformats.org/officeDocument/2006/custom-properties" xmlns:vt="http://schemas.openxmlformats.org/officeDocument/2006/docPropsVTypes"/>
</file>