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CDCM (Context-Contingent Digital-and-Capability Model, Mô hình năng lực và chấp nhận số phụ thuộc bối cảnh) như một</w:t>
      </w:r>
      <w:r>
        <w:t xml:space="preserve"> </w:t>
      </w:r>
      <w:r>
        <w:rPr>
          <w:iCs/>
          <w:i/>
        </w:rPr>
        <w:t xml:space="preserve">khung tổ chức tích hợp</w:t>
      </w:r>
      <w:r>
        <w:t xml:space="preserve"> </w:t>
      </w:r>
      <w:r>
        <w:t xml:space="preserve">(integrative organizing framework) cho việc kiểm định đồng thời H1-H6, chứ không phải một lý thuyết mới. CDCM kế thừa và kết hợp bốn lý thuyết nền và lớp số đã thảo luận ở Mục 2.2: bối cảnh thể chế ở tầng vĩ mô được vận hành hóa bằng ICRV (mở rộng dải sáu chế độ từ Marano et al., 2016 và Khanna &amp; Palepu, 2010); năng lực doanh nghiệp ở tầng tổ chức tách TCI khỏi DAI (chuẩn bị bởi Bhandari et al., 2023; Verhoef et al., 2021); đặc điểm nhà quản trị ở tầng cá nhân được đưa vào như khối kiểm soát quản trị nội sinh (kế thừa Hambrick &amp; Mason, 1984); và lớp mở rộng năng lực số đan cài qua tất cả các tầng. Đóng góp của CDCM không phải ở chỗ tạo ra lý thuyết mới mà ở chỗ tích hợp các tầng đã được nghiên cứu rời rạc thành một mô hình thực nghiệm kiểm định được, có thể adjudicate giữa các dự đoán cạnh tranh từ các lý thuyết nền khi áp dụng trên cùng một bộ dữ liệu đa quốc gia.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2026-05-31T12:24:18Z</dcterms:created>
  <dcterms:modified xsi:type="dcterms:W3CDTF">2026-05-31T12:24:18Z</dcterms:modified>
</cp:coreProperties>
</file>

<file path=docProps/custom.xml><?xml version="1.0" encoding="utf-8"?>
<Properties xmlns="http://schemas.openxmlformats.org/officeDocument/2006/custom-properties" xmlns:vt="http://schemas.openxmlformats.org/officeDocument/2006/docPropsVTypes"/>
</file>