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dưới ánh sáng của khung lý thuyết CDCM cùng bốn lý thuyết nền là Uppsala, RBV, lý thuyết thể chế và lý thuyết thượng tầng quản trị. Chương gồm sáu phần: bàn luận kết quả theo khung lý thuyết; so sánh với nghiên cứu trước; đóng góp lý thuyết; đề xuất chính sách và quản trị; hạn chế cùng hướng nghiên cứu tương lai; và kết luận tổng thể của luận án.</w:t>
      </w:r>
    </w:p>
    <w:p>
      <w:r>
        <w:pict>
          <v:rect style="width:0;height:1.5pt" o:hralign="center" o:hrstd="t" o:hr="t"/>
        </w:pict>
      </w:r>
    </w:p>
    <w:bookmarkEnd w:id="21"/>
    <w:bookmarkStart w:id="27" w:name="Xff8cef3ed320f9cf6f3fba4ff558bfed3af19c6"/>
    <w:p>
      <w:pPr>
        <w:pStyle w:val="Heading2"/>
      </w:pPr>
      <w:r>
        <w:t xml:space="preserve">5.1 Bàn luận kết quả theo khung lý thuyết CDCM</w:t>
      </w:r>
    </w:p>
    <w:bookmarkStart w:id="22" w:name="X15bf1096964ce027ae5f38ba61f44ecafa6a90e"/>
    <w:p>
      <w:pPr>
        <w:pStyle w:val="Heading3"/>
      </w:pPr>
      <w:r>
        <w:t xml:space="preserve">5.1.1 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bổ sung cho nhau cùng chỉ về vai trò quyết định của chế độ thể chế, song ở hai cấp độ khác nhau. Ở cấp tổng hợp, phân tích tổng hợp xác nhận chế độ thể chế là yếu tố điều tiết có ý nghĩa của quan hệ gộp I-P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tức các chế độ</w:t>
      </w:r>
      <w:r>
        <w:t xml:space="preserve"> </w:t>
      </w:r>
      <w:r>
        <w:rPr>
          <w:bCs/>
          <w:b/>
        </w:rPr>
        <w:t xml:space="preserve">khác biệt</w:t>
      </w:r>
      <w:r>
        <w:t xml:space="preserve"> </w:t>
      </w:r>
      <w:r>
        <w:t xml:space="preserve">nhau; bản thân kiểm định này chưa xác lập một dải biến thiên đơn điệu theo chất lượng thể chế, và thực ra</w:t>
      </w:r>
      <w:r>
        <w:t xml:space="preserve"> </w:t>
      </w:r>
      <w:r>
        <w:rPr>
          <w:bCs/>
          <w:b/>
        </w:rPr>
        <w:t xml:space="preserve">không bền vững</w:t>
      </w:r>
      <w:r>
        <w:t xml:space="preserve">: ý nghĩa</w:t>
      </w:r>
      <w:r>
        <w:t xml:space="preserve"> </w:t>
      </w:r>
      <m:oMath>
        <m:sSub>
          <m:e>
            <m:r>
              <m:t>Q</m:t>
            </m:r>
          </m:e>
          <m:sub>
            <m:r>
              <m:t>M</m:t>
            </m:r>
          </m:sub>
        </m:sSub>
      </m:oMath>
      <w:r>
        <w:t xml:space="preserve"> </w:t>
      </w:r>
      <w:r>
        <w:t xml:space="preserve">gần như hoàn toàn do ô Frontier mỏng (k = 3) tạo ra, bỏ ô này thì omnibus về không có ý nghĩa (</w:t>
      </w:r>
      <m:oMath>
        <m:sSub>
          <m:e>
            <m:r>
              <m:t>Q</m:t>
            </m:r>
          </m:e>
          <m:sub>
            <m:r>
              <m:t>M</m:t>
            </m:r>
          </m:sub>
        </m:sSub>
        <m:r>
          <m:rPr>
            <m:sty m:val="p"/>
          </m:rPr>
          <m:t>=</m:t>
        </m:r>
        <m:r>
          <m:t>1</m:t>
        </m:r>
        <m:r>
          <m:rPr>
            <m:sty m:val="p"/>
          </m:rPr>
          <m:t>,</m:t>
        </m:r>
        <m:r>
          <m:t>49</m:t>
        </m:r>
      </m:oMath>
      <w:r>
        <w:t xml:space="preserve">,</w:t>
      </w:r>
      <w:r>
        <w:t xml:space="preserve"> </w:t>
      </w:r>
      <m:oMath>
        <m:r>
          <m:t>d</m:t>
        </m:r>
        <m:r>
          <m:t>f</m:t>
        </m:r>
        <m:r>
          <m:rPr>
            <m:sty m:val="p"/>
          </m:rPr>
          <m:t>=</m:t>
        </m:r>
        <m:r>
          <m:t>3</m:t>
        </m:r>
      </m:oMath>
      <w:r>
        <w:t xml:space="preserve">,</w:t>
      </w:r>
      <w:r>
        <w:t xml:space="preserve"> </w:t>
      </w:r>
      <m:oMath>
        <m:r>
          <m:t>p</m:t>
        </m:r>
        <m:r>
          <m:rPr>
            <m:sty m:val="p"/>
          </m:rPr>
          <m:t>=</m:t>
        </m:r>
        <m:r>
          <m:rPr>
            <m:sty m:val="p"/>
          </m:rPr>
          <m:t>,</m:t>
        </m:r>
        <m:r>
          <m:t>68</m:t>
        </m:r>
      </m:oMath>
      <w:r>
        <w:t xml:space="preserve">). Hình dạng cụ thể của dải biến thiên được xác lập độc lập bằng dữ liệu sơ cấp toàn mẫu (phân tích đa quốc gia,</w:t>
      </w:r>
      <w:r>
        <w:t xml:space="preserve"> </w:t>
      </w:r>
      <m:oMath>
        <m:r>
          <m:t>N</m:t>
        </m:r>
        <m:r>
          <m:rPr>
            <m:sty m:val="p"/>
          </m:rPr>
          <m:t>=</m:t>
        </m:r>
        <m:r>
          <m:t>82.302</m:t>
        </m:r>
      </m:oMath>
      <w:r>
        <w:t xml:space="preserve"> </w:t>
      </w:r>
      <w:r>
        <w:t xml:space="preserve">quan sát từ 45 nền kinh tế): độ cong (concavity) của quan hệ I-P</w:t>
      </w:r>
      <w:r>
        <w:t xml:space="preserve"> </w:t>
      </w:r>
      <w:r>
        <w:rPr>
          <w:bCs/>
          <w:b/>
        </w:rPr>
        <w:t xml:space="preserve">sâu dần</w:t>
      </w:r>
      <w:r>
        <w:t xml:space="preserve"> </w:t>
      </w:r>
      <w:r>
        <w:t xml:space="preserve">khi chất lượng thể chế suy giảm, phẳng, gần như tuyến tính ở nhóm tiên tiến và rõ nét nhất (hình chữ U ngược) ở nhóm đảo nhỏ và cận biên, với điểm uốn dao động quanh ~40% thay vì dịch chuyển đơn điệu. Nói cách khác, ở các nền kinh tế thể chế mạnh, quan hệ I–P gần như tuyến tính trong khoảng quan sát và doanh nghiệp ít chịu hình phạt suy giảm khi quốc tế hóa sâu; còn ở các nền kinh tế thể chế yếu, hình chữ U ngược biểu hiện rõ nét, phản ánh chi phí phối hợp và lợi suất giảm dần gay gắt hơn khi đẩy mạnh xuất khẩu.</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Hiểu theo cơ chế, ICRV vận hành như một</w:t>
      </w:r>
      <w:r>
        <w:t xml:space="preserve"> </w:t>
      </w:r>
      <w:r>
        <w:rPr>
          <w:bCs/>
          <w:b/>
        </w:rPr>
        <w:t xml:space="preserve">bộ lọc chi phí giao dịch (transaction cost filter)</w:t>
      </w:r>
      <w:r>
        <w:t xml:space="preserve"> </w:t>
      </w:r>
      <w:r>
        <w:t xml:space="preserve">và sáu chế độ hợp thành một</w:t>
      </w:r>
      <w:r>
        <w:t xml:space="preserve"> </w:t>
      </w:r>
      <w:r>
        <w:rPr>
          <w:bCs/>
          <w:b/>
        </w:rPr>
        <w:t xml:space="preserve">bản đồ địa hình xuất khẩu chiến lược (strategic export topography)</w:t>
      </w:r>
      <w:r>
        <w:t xml:space="preserve">: chính chất lượng thể chế quy định nơi điểm uốn của quan hệ I-P xuất hiện, còn năng lực số đóng vai trò lá chắn bù đắp khi bộ lọc tắc nghẽn. Lý thuyết thể chế của North (1990) cùng Khanna và Palepu (2010) dự đoán rằng thể chế định hình chi phí giao dịch và cấu trúc khuyến khích; dải biến thiên ICRV chính là biểu hiện thực nghiệm của cơ chế đó, ở quy mô 45 nền kinh tế châu Á và Thái Bình Dương (phân tích đa quốc gia 45 nền kinh tế).</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22"/>
    <w:bookmarkStart w:id="23"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(Việt Nam) và Trung Quốc (Trung Quốc) đến toàn mẫu (phân tích đa quốc gia 45 nền kinh tế),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(Việt Nam), nơi môi trường chuyển đổi và sự phân mảnh thể chế tạo điều kiện cho TCI tái định hình hiệu ứng. Vai trò này không phổ quát trên toàn mẫu 45 nền kinh tế: ở phân tích đa quốc gia,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và nhiều sắc thái hơn TCI. Trên toàn mẫu đa quốc gia gồm 45 nền kinh tế, DAI có hiệu ứng nâng mặt bằng năng suất dương và có ý nghĩa (</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049</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(phân tích Singapore,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(phân tích Việt Nam,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(Việt Nam)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0,049) trong phân tích đa quốc gia: DAI</w:t>
      </w:r>
      <w:r>
        <w:t xml:space="preserve"> </w:t>
      </w:r>
      <w:r>
        <w:rPr>
          <w:bCs/>
          <w:b/>
        </w:rPr>
        <w:t xml:space="preserve">mạnh hơn</w:t>
      </w:r>
      <w:r>
        <w:t xml:space="preserve"> </w:t>
      </w:r>
      <w:r>
        <w:t xml:space="preserve">nơi thể chế yếu, tức hiệu ứng thay thế số cho thể chế phát huy mạnh nhất khi nền tảng thể chế còn thiếu hụt, chứ không phải khi thể chế đã hoàn thiện.</w:t>
      </w:r>
    </w:p>
    <w:bookmarkEnd w:id="24"/>
    <w:bookmarkStart w:id="25" w:name="Xece9a1da6f346a507472622c3a51811b77b548d"/>
    <w:p>
      <w:pPr>
        <w:pStyle w:val="Heading3"/>
      </w:pPr>
      <w:r>
        <w:t xml:space="preserve">5.1.4 Đặc điểm nhà quản trị là kiểm soát quản trị nội sinh, hỗ trợ có điều kiện H4</w:t>
      </w:r>
    </w:p>
    <w:p>
      <w:pPr>
        <w:pStyle w:val="FirstParagraph"/>
      </w:pPr>
      <w:r>
        <w:t xml:space="preserve">Kết quả về H4 từ phân tích đa quốc gia cho thấy đặc điểm nhà quản trị cấp cao tác động ở dạng hiệu ứng mức (level effect). Giới tính nữ của nhà quản trị (</w:t>
      </w:r>
      <m:oMath>
        <m:acc>
          <m:accPr>
            <m:chr m:val="̂"/>
          </m:accPr>
          <m:e>
            <m:r>
              <m:t>β</m:t>
            </m:r>
          </m:e>
        </m:acc>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nhất quán nâng mặt bằng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 Tuy vậy, các đặc điểm này được đưa vào khung như khối kiểm soát quản trị nội sinh chứ không phải nhân tố điều tiết trọng tâm định hình độ cong của đường quan hệ I-P. Để bảo vệ tính nhân quả riêng phần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 Việc kiểm soát các kênh này khóa chặt thiên lệch nội sinh phát sinh từ năng lực và sự đa dạng giới của nhà quản trị.</w:t>
      </w:r>
    </w:p>
    <w:p>
      <w:pPr>
        <w:pStyle w:val="BodyText"/>
      </w:pPr>
      <w:r>
        <w:t xml:space="preserve">Dù vậy, cần lưu ý rằng hiệu ứng mức này được phát hiện ở cấp gộp toàn mẫu (phân tích đa quốc gia 45 nền kinh tế); việc tách riêng và kiểm định khả năng điều tiết theo từng bối cảnh ICRV thuộc về hướng nghiên cứu tương lai.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25"/>
    <w:bookmarkStart w:id="26" w:name="Xec64c810cb028afb72ecad1fcf3407044422350"/>
    <w:p>
      <w:pPr>
        <w:pStyle w:val="Heading3"/>
      </w:pPr>
      <w:r>
        <w:t xml:space="preserve">5.1.5 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p>
      <w:r>
        <w:pict>
          <v:rect style="width:0;height:1.5pt" o:hralign="center" o:hrstd="t" o:hr="t"/>
        </w:pict>
      </w:r>
    </w:p>
    <w:bookmarkEnd w:id="26"/>
    <w:bookmarkEnd w:id="27"/>
    <w:bookmarkStart w:id="31" w:name="so-sánh-với-nghiên-cứu-trước-đây"/>
    <w:p>
      <w:pPr>
        <w:pStyle w:val="Heading2"/>
      </w:pPr>
      <w:r>
        <w:t xml:space="preserve">5.2 So sánh với nghiên cứu trước đây</w:t>
      </w:r>
    </w:p>
    <w:bookmarkStart w:id="28" w:name="nhất-quán-với-nền-tảng-icbef-2024"/>
    <w:p>
      <w:pPr>
        <w:pStyle w:val="Heading3"/>
      </w:pPr>
      <w:r>
        <w:t xml:space="preserve">5.2.1 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(phân tích tổng hợp)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phân tích tổng hợp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phân tích tổng hợp so với nền tảng không nằm ở giá trị</w:t>
      </w:r>
      <w:r>
        <w:t xml:space="preserve"> </w:t>
      </w:r>
      <m:oMath>
        <m:r>
          <m:t>r</m:t>
        </m:r>
      </m:oMath>
      <w:r>
        <w:t xml:space="preserve"> </w:t>
      </w:r>
      <w:r>
        <w:t xml:space="preserve">tổng hợp, mà ở hai phát hiện sắc bén hơn. Phát hiện thứ nhất là cấu trúc dị biệt: việc phân tách</w:t>
      </w:r>
      <w:r>
        <w:t xml:space="preserve"> </w:t>
      </w:r>
      <m:oMath>
        <m:sSup>
          <m:e>
            <m:r>
              <m:t>I</m:t>
            </m:r>
          </m:e>
          <m:sup>
            <m:r>
              <m:t>2</m:t>
            </m:r>
          </m:sup>
        </m:sSup>
        <m:r>
          <m:rPr>
            <m:sty m:val="p"/>
          </m:rPr>
          <m:t>=</m:t>
        </m:r>
        <m:r>
          <m:t>87</m:t>
        </m:r>
        <m:r>
          <m:rPr>
            <m:sty m:val="p"/>
          </m:rPr>
          <m:t>,</m:t>
        </m:r>
        <m:r>
          <m:t>8</m:t>
        </m:r>
        <m:r>
          <m:rPr>
            <m:sty m:val="p"/>
          </m:rPr>
          <m:t>%</m:t>
        </m:r>
      </m:oMath>
      <w:r>
        <w:t xml:space="preserve"> </w:t>
      </w:r>
      <w:r>
        <w:t xml:space="preserve">thành 76,1% ở tầng 2 và 11,8%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 Phát hiện thứ hai, và là một đóng góp hiệu chỉnh đối với toàn bộ văn liệu, là</w:t>
      </w:r>
      <w:r>
        <w:t xml:space="preserve"> </w:t>
      </w:r>
      <w:r>
        <w:rPr>
          <w:bCs/>
          <w:b/>
        </w:rPr>
        <w:t xml:space="preserve">mức độ thiên lệch công bố được bao quát bởi sáu kiểm định bổ sung cho nhau</w:t>
      </w:r>
      <w:r>
        <w:t xml:space="preserve">: trim-and-fill cho</w:t>
      </w:r>
      <w:r>
        <w:t xml:space="preserve"> </w:t>
      </w:r>
      <m:oMath>
        <m:sSub>
          <m:e>
            <m:r>
              <m:t>r</m:t>
            </m:r>
          </m:e>
          <m:sub>
            <m:r>
              <m:rPr>
                <m:nor/>
                <m:sty m:val="p"/>
              </m:rPr>
              <m:t>adj</m:t>
            </m:r>
          </m:sub>
        </m:sSub>
        <m:r>
          <m:rPr>
            <m:sty m:val="p"/>
          </m:rPr>
          <m:t>=</m:t>
        </m:r>
        <m:r>
          <m:t>0</m:t>
        </m:r>
        <m:r>
          <m:rPr>
            <m:sty m:val="p"/>
          </m:rPr>
          <m:t>,</m:t>
        </m:r>
        <m:r>
          <m:t>035</m:t>
        </m:r>
      </m:oMath>
      <w:r>
        <w:t xml:space="preserve"> </w:t>
      </w:r>
      <w:r>
        <w:t xml:space="preserve">(mạnh nhất, có thể over-correct dưới dị biệt cao theo Terrin et al., 2003), PET-PEESE cho</w:t>
      </w:r>
      <w:r>
        <w:t xml:space="preserve"> </w:t>
      </w:r>
      <m:oMath>
        <m:sSub>
          <m:e>
            <m:r>
              <m:t>r</m:t>
            </m:r>
          </m:e>
          <m:sub>
            <m:r>
              <m:rPr>
                <m:nor/>
                <m:sty m:val="p"/>
              </m:rPr>
              <m:t>adj</m:t>
            </m:r>
          </m:sub>
        </m:sSub>
        <m:r>
          <m:rPr>
            <m:sty m:val="p"/>
          </m:rPr>
          <m:t>=</m:t>
        </m:r>
        <m:r>
          <m:t>0</m:t>
        </m:r>
        <m:r>
          <m:rPr>
            <m:sty m:val="p"/>
          </m:rPr>
          <m:t>,</m:t>
        </m:r>
        <m:r>
          <m:t>061</m:t>
        </m:r>
      </m:oMath>
      <w:r>
        <w:t xml:space="preserve">, và mô hình lựa chọn ba tham số Vevea-Hedges cho</w:t>
      </w:r>
      <w:r>
        <w:t xml:space="preserve"> </w:t>
      </w:r>
      <m:oMath>
        <m:sSub>
          <m:e>
            <m:r>
              <m:t>r</m:t>
            </m:r>
          </m:e>
          <m:sub>
            <m:r>
              <m:rPr>
                <m:nor/>
                <m:sty m:val="p"/>
              </m:rPr>
              <m:t>adj</m:t>
            </m:r>
          </m:sub>
        </m:sSub>
        <m:r>
          <m:rPr>
            <m:sty m:val="p"/>
          </m:rPr>
          <m:t>=</m:t>
        </m:r>
        <m:r>
          <m:t>0</m:t>
        </m:r>
        <m:r>
          <m:rPr>
            <m:sty m:val="p"/>
          </m:rPr>
          <m:t>,</m:t>
        </m:r>
        <m:r>
          <m:t>077</m:t>
        </m:r>
      </m:oMath>
      <w:r>
        <w:t xml:space="preserve"> </w:t>
      </w:r>
      <w:r>
        <w:t xml:space="preserve">(bảo thủ nhất). Khoảng hiệu chỉnh</w:t>
      </w:r>
      <w:r>
        <w:t xml:space="preserve"> </w:t>
      </w:r>
      <m:oMath>
        <m:r>
          <m:t>r</m:t>
        </m:r>
        <m:r>
          <m:rPr>
            <m:sty m:val="p"/>
          </m:rPr>
          <m:t>∈</m:t>
        </m:r>
        <m:d>
          <m:dPr>
            <m:begChr m:val="["/>
            <m:endChr m:val="]"/>
            <m:sepChr m:val=""/>
            <m:grow/>
          </m:dPr>
          <m:e>
            <m:r>
              <m:t>0</m:t>
            </m:r>
            <m:r>
              <m:rPr>
                <m:sty m:val="p"/>
              </m:rPr>
              <m:t>,</m:t>
            </m:r>
            <m:r>
              <m:t>035</m:t>
            </m:r>
            <m:r>
              <m:rPr>
                <m:sty m:val="p"/>
              </m:rPr>
              <m:t>;</m:t>
            </m:r>
            <m:r>
              <m:t>0</m:t>
            </m:r>
            <m:r>
              <m:rPr>
                <m:sty m:val="p"/>
              </m:rPr>
              <m:t>,</m:t>
            </m:r>
            <m:r>
              <m:t>077</m:t>
            </m:r>
          </m:e>
        </m:d>
      </m:oMath>
      <w:r>
        <w:t xml:space="preserve"> </w:t>
      </w:r>
      <w:r>
        <w:t xml:space="preserve">hàm ý quan hệ I-P trung bình được báo cáo suốt bốn thập kỷ có thể đã bị thổi phồng đáng kể,</w:t>
      </w:r>
      <w:r>
        <w:t xml:space="preserve"> </w:t>
      </w:r>
      <w:r>
        <w:rPr>
          <w:iCs/>
          <w:i/>
        </w:rPr>
        <w:t xml:space="preserve">mức</w:t>
      </w:r>
      <w:r>
        <w:t xml:space="preserve"> </w:t>
      </w:r>
      <w:r>
        <w:t xml:space="preserve">thổi phồng tùy giả định selection-process. Bằng chứng selection thực sự tồn tại được củng cố vững chắc bởi kiểm định Begg có ý nghĩa (</w:t>
      </w:r>
      <m:oMath>
        <m:r>
          <m:t>τ</m:t>
        </m:r>
        <m:r>
          <m:rPr>
            <m:sty m:val="p"/>
          </m:rPr>
          <m:t>=</m:t>
        </m:r>
        <m:r>
          <m:rPr>
            <m:sty m:val="p"/>
          </m:rPr>
          <m:t>−</m:t>
        </m:r>
        <m:r>
          <m:t>0</m:t>
        </m:r>
        <m:r>
          <m:rPr>
            <m:sty m:val="p"/>
          </m:rPr>
          <m:t>,</m:t>
        </m:r>
        <m:r>
          <m:t>134</m:t>
        </m:r>
      </m:oMath>
      <w:r>
        <w:t xml:space="preserve">,</w:t>
      </w:r>
      <w:r>
        <w:t xml:space="preserve"> </w:t>
      </w:r>
      <m:oMath>
        <m:r>
          <m:t>p</m:t>
        </m:r>
        <m:r>
          <m:rPr>
            <m:sty m:val="p"/>
          </m:rPr>
          <m:t>&lt;</m:t>
        </m:r>
        <m:r>
          <m:rPr>
            <m:sty m:val="p"/>
          </m:rPr>
          <m:t>,</m:t>
        </m:r>
        <m:r>
          <m:t>001</m:t>
        </m:r>
      </m:oMath>
      <w:r>
        <w:t xml:space="preserve">) và mô hình Vevea-Hedges LRT bác bỏ giả thuyết không-selection (</w:t>
      </w:r>
      <m:oMath>
        <m:sSup>
          <m:e>
            <m:r>
              <m:t>χ</m:t>
            </m:r>
          </m:e>
          <m:sup>
            <m:r>
              <m:t>2</m:t>
            </m:r>
          </m:sup>
        </m:sSup>
        <m:r>
          <m:rPr>
            <m:sty m:val="p"/>
          </m:rPr>
          <m:t>=</m:t>
        </m:r>
        <m:r>
          <m:t>12</m:t>
        </m:r>
        <m:r>
          <m:rPr>
            <m:sty m:val="p"/>
          </m:rPr>
          <m:t>,</m:t>
        </m:r>
        <m:r>
          <m:t>29</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002</m:t>
        </m:r>
      </m:oMath>
      <w:r>
        <w:t xml:space="preserve">); kiểm định Egger chỉ ở mức biên (</w:t>
      </w:r>
      <m:oMath>
        <m:r>
          <m:t>p</m:t>
        </m:r>
        <m:r>
          <m:rPr>
            <m:sty m:val="p"/>
          </m:rPr>
          <m:t>=</m:t>
        </m:r>
        <m:r>
          <m:rPr>
            <m:sty m:val="p"/>
          </m:rPr>
          <m:t>,</m:t>
        </m:r>
        <m:r>
          <m:t>057</m:t>
        </m:r>
      </m:oMath>
      <w:r>
        <w:t xml:space="preserve">). Luận án trình bày khoảng bao quát này như một tín hiệu định hướng mạnh thay vì khẳng định một độ lớn đã chốt.</w:t>
      </w:r>
    </w:p>
    <w:bookmarkEnd w:id="28"/>
    <w:bookmarkStart w:id="29"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một bối cảnh còn ít được đại diện trong các nghiên cứu của Lu và Beamish.</w:t>
      </w:r>
    </w:p>
    <w:bookmarkEnd w:id="29"/>
    <w:bookmarkStart w:id="30" w:name="Xa9e0768422fd6621b6e86563bb0c71b914b0101"/>
    <w:p>
      <w:pPr>
        <w:pStyle w:val="Heading3"/>
      </w:pPr>
      <w:r>
        <w:t xml:space="preserve">5.2.3 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Marano et al. (2016) vẫn là tham chiếu nền tảng cho điều tiết thể chế trong tài liệu I-P; phát hiện của họ ở cấp tổng hợp (k = 359) chưa bị luận án này bác bỏ. Đóng góp của luận án là</w:t>
      </w:r>
      <w:r>
        <w:t xml:space="preserve"> </w:t>
      </w:r>
      <w:r>
        <w:rPr>
          <w:iCs/>
          <w:i/>
        </w:rPr>
        <w:t xml:space="preserve">bổ sung phân giải</w:t>
      </w:r>
      <w:r>
        <w:t xml:space="preserve"> </w:t>
      </w:r>
      <w:r>
        <w:t xml:space="preserve">chứ không phải lật ngược: sáu nhóm con ICRV nắm bắt được sự đa dạng ngay trong nội bộ nhóm</w:t>
      </w:r>
      <w:r>
        <w:t xml:space="preserve"> </w:t>
      </w:r>
      <w:r>
        <w:t xml:space="preserve">“</w:t>
      </w:r>
      <w:r>
        <w:t xml:space="preserve">mới nổi</w:t>
      </w:r>
      <w:r>
        <w:t xml:space="preserve">”</w:t>
      </w:r>
      <w:r>
        <w:t xml:space="preserve"> </w:t>
      </w:r>
      <w:r>
        <w:t xml:space="preserve">(phân biệt Trung Quốc với Việt Nam, Bangladesh và các nền kinh tế đảo nhỏ), đồng thời phân biệt trong nhóm</w:t>
      </w:r>
      <w:r>
        <w:t xml:space="preserve"> </w:t>
      </w:r>
      <w:r>
        <w:t xml:space="preserve">“</w:t>
      </w:r>
      <w:r>
        <w:t xml:space="preserve">tiên tiến</w:t>
      </w:r>
      <w:r>
        <w:t xml:space="preserve">”</w:t>
      </w:r>
      <w:r>
        <w:t xml:space="preserve"> </w:t>
      </w:r>
      <w:r>
        <w:t xml:space="preserve">(tách Singapore dẫn dắt bằng đổi mới khỏi các nền kinh tế vùng Vịnh dẫn dắt bằng tài nguyên). Phân loại nhị phân của Marano gộp các biến thiên này, làm mất thông tin về dải biến thiên ICRV mà luận án này phát hiện ở cấp doanh nghiệp (FSTS×ICRV và FSTS²×ICRV, p &lt; ,001 trong phân tích đa quốc gia). Đáng chú ý, ở cấp meta-analytic của riêng luận án, omnibus ICRV lại</w:t>
      </w:r>
      <w:r>
        <w:t xml:space="preserve"> </w:t>
      </w:r>
      <w:r>
        <w:rPr>
          <w:bCs/>
          <w:b/>
        </w:rPr>
        <w:t xml:space="preserve">không bền vững</w:t>
      </w:r>
      <w:r>
        <w:t xml:space="preserve"> </w:t>
      </w:r>
      <w:r>
        <w:t xml:space="preserve">(bỏ ô Frontier →</w:t>
      </w:r>
      <w:r>
        <w:t xml:space="preserve"> </w:t>
      </w:r>
      <m:oMath>
        <m:sSub>
          <m:e>
            <m:r>
              <m:t>Q</m:t>
            </m:r>
          </m:e>
          <m:sub>
            <m:r>
              <m:t>M</m:t>
            </m:r>
          </m:sub>
        </m:sSub>
        <m:r>
          <m:rPr>
            <m:sty m:val="p"/>
          </m:rPr>
          <m:t>=</m:t>
        </m:r>
        <m:r>
          <m:t>1</m:t>
        </m:r>
        <m:r>
          <m:rPr>
            <m:sty m:val="p"/>
          </m:rPr>
          <m:t>,</m:t>
        </m:r>
        <m:r>
          <m:t>49</m:t>
        </m:r>
      </m:oMath>
      <w:r>
        <w:t xml:space="preserve">,</w:t>
      </w:r>
      <w:r>
        <w:t xml:space="preserve"> </w:t>
      </w:r>
      <m:oMath>
        <m:r>
          <m:t>p</m:t>
        </m:r>
        <m:r>
          <m:rPr>
            <m:sty m:val="p"/>
          </m:rPr>
          <m:t>=</m:t>
        </m:r>
        <m:r>
          <m:rPr>
            <m:sty m:val="p"/>
          </m:rPr>
          <m:t>,</m:t>
        </m:r>
        <m:r>
          <m:t>68</m:t>
        </m:r>
      </m:oMath>
      <w:r>
        <w:t xml:space="preserve">), nghĩa là phân loại sáu chế độ chưa làm tăng độ phát hiện điều tiết ở cấp văn liệu so với phân loại nhị phân; lợi ích của ICRV chủ yếu nằm ở phân tích cấp doanh nghiệp.</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p>
      <w:r>
        <w:pict>
          <v:rect style="width:0;height:1.5pt" o:hralign="center" o:hrstd="t" o:hr="t"/>
        </w:pict>
      </w:r>
    </w:p>
    <w:bookmarkEnd w:id="30"/>
    <w:bookmarkEnd w:id="31"/>
    <w:bookmarkStart w:id="35" w:name="đóng-góp-lý-thuyết"/>
    <w:p>
      <w:pPr>
        <w:pStyle w:val="Heading2"/>
      </w:pPr>
      <w:r>
        <w:t xml:space="preserve">5.3 Đóng góp lý thuyết</w:t>
      </w:r>
    </w:p>
    <w:bookmarkStart w:id="32"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+0,172, p &lt; 0,001, mẫu gộp N=82.302 từ 45 nền kinh tế), nhưng vai trò uốn đường cong I-P lại</w:t>
      </w:r>
      <w:r>
        <w:t xml:space="preserve"> </w:t>
      </w:r>
      <w:r>
        <w:rPr>
          <w:bCs/>
          <w:b/>
        </w:rPr>
        <w:t xml:space="preserve">phụ thuộc bối cảnh</w:t>
      </w:r>
      <w:r>
        <w:t xml:space="preserve"> </w:t>
      </w:r>
      <w:r>
        <w:t xml:space="preserve">(DAI×ICRV: p = 0,049).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0,049) cho thấy hiệu ứng điều tiết của DAI</w:t>
      </w:r>
      <w:r>
        <w:t xml:space="preserve"> </w:t>
      </w:r>
      <w:r>
        <w:rPr>
          <w:bCs/>
          <w:b/>
        </w:rPr>
        <w:t xml:space="preserve">mạnh hơn</w:t>
      </w:r>
      <w:r>
        <w:t xml:space="preserve"> </w:t>
      </w:r>
      <w:r>
        <w:t xml:space="preserve">ở các nền kinh tế thể chế yếu (cận biên, đảo nhỏ): năng lực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32"/>
    <w:bookmarkStart w:id="33" w:name="Xe11ed3cb35243ecfe6b42fdec73f61db3ecc52a"/>
    <w:p>
      <w:pPr>
        <w:pStyle w:val="Heading3"/>
      </w:pPr>
      <w:r>
        <w:t xml:space="preserve">5.3.2 FIP, Điều kiện biên cho SIDS có nền tảng SIDS literature</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w:t>
      </w:r>
      <w:r>
        <w:t xml:space="preserve">như một điều kiện biên rõ ràng cho mô hình chữ U ngược I-P, nối tiếp dòng nghiên cứu nền tảng SIDS của Briguglio (1995) và mô hình MIRAB của Bertram (2006). Khái niệm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 Đóng góp tăng thêm của luận án so với SIDS literature trước là (i) chính thức kết nối ba ràng buộc SIDS với dấu của hệ số FSTS trong hồi quy I-P ở cấp doanh nghiệp, (ii) cung cấp ước lượng định lượng đầu tiên (β = −0,404, p = ,032) trên dữ liệu WBES, (iii) đặt FIP làm điều kiện biên rõ ràng cho lý thuyết I-P phi tuyến.</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33"/>
    <w:bookmarkStart w:id="34" w:name="X7352a2da659179c15b73f9225773fcebe172e9a"/>
    <w:p>
      <w:pPr>
        <w:pStyle w:val="Heading3"/>
      </w:pPr>
      <w:r>
        <w:t xml:space="preserve">5.3.3 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độ cong (concavity / biên độ) của quan hệ I-P sâu dần khi chất lượng thể chế suy giảm, từ gần tuyến tính ở chế độ tiên tiến dẫn dắt bằng đổi mới đến hình chữ U ngược rõ nét với hình phạt sau đỉnh gay gắt ở chế độ cận biên và đảo nhỏ, trong khi điểm uốn theo nhóm không đồng nhất và không dịch chuyển đơn điệu. Thể chế càng yếu, hình phạt cho quốc tế hóa quá mức càng gay gắt, đúng như giá trị dự đoán của phân loại.</w:t>
      </w:r>
    </w:p>
    <w:p>
      <w:r>
        <w:pict>
          <v:rect style="width:0;height:1.5pt" o:hralign="center" o:hrstd="t" o:hr="t"/>
        </w:pict>
      </w:r>
    </w:p>
    <w:bookmarkEnd w:id="34"/>
    <w:bookmarkEnd w:id="35"/>
    <w:bookmarkStart w:id="40" w:name="đề-xuất-chính-sách-và-quản-trị"/>
    <w:p>
      <w:pPr>
        <w:pStyle w:val="Heading2"/>
      </w:pPr>
      <w:r>
        <w:t xml:space="preserve">5.4 Đề xuất chính sách và quản trị</w:t>
      </w:r>
    </w:p>
    <w:bookmarkStart w:id="36"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36"/>
    <w:bookmarkStart w:id="37"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01"/>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01"/>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01"/>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37"/>
    <w:bookmarkStart w:id="38" w:name="X8eb24980ca890fc6da7d7cc40ee5058abf48ce9"/>
    <w:p>
      <w:pPr>
        <w:pStyle w:val="Heading3"/>
      </w:pPr>
      <w:r>
        <w:t xml:space="preserve">5.4.3 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38"/>
    <w:bookmarkStart w:id="39"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phân tích Việt Nam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phân tích Việt Nam,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cấu trúc ngành buộc tỷ trọng xuất khẩu thường vượt 50-70% tổng doanh thu. Kết quả phân tích Việt Nam gợi ý rằng nhiều doanh nghiệp trong số đó đang ở phía bên phải điểm uốn, tức đang gánh chi phí phối hợp quốc tế mà năng suất không tăng tương ứng. Vì không có thị trường nội địa đủ lớn để thay thế, giải pháp không thể là giảm xuất khẩu, mà phải là</w:t>
      </w:r>
      <w:r>
        <w:t xml:space="preserve"> </w:t>
      </w:r>
      <w:r>
        <w:rPr>
          <w:bCs/>
          <w:b/>
        </w:rPr>
        <w:t xml:space="preserve">kéo dài đỉnh của đường cong chữ U</w:t>
      </w:r>
      <w:r>
        <w:t xml:space="preserve">, tức mở rộng vùng cường độ xuất khẩu còn sinh lợi bằng cách nâng năng lực để đẩy điểm uốn sang phải.</w:t>
      </w:r>
    </w:p>
    <w:p>
      <w:pPr>
        <w:pStyle w:val="BodyText"/>
      </w:pPr>
      <w:r>
        <w:t xml:space="preserve">Điều then chốt là phải dịch khái niệm trừu tượng</w:t>
      </w:r>
      <w:r>
        <w:t xml:space="preserve"> </w:t>
      </w:r>
      <w:r>
        <w:t xml:space="preserve">“</w:t>
      </w:r>
      <w:r>
        <w:t xml:space="preserve">nâng TCI</w:t>
      </w:r>
      <w:r>
        <w:t xml:space="preserve">”</w:t>
      </w:r>
      <w:r>
        <w:t xml:space="preserve"> </w:t>
      </w:r>
      <w:r>
        <w:t xml:space="preserve">thành một lộ trình hành động gắn chặt với đặc thù chuỗi cung ứng nông – thủy sản, thay vì một khuyến nghị chung chung. Với một nhà máy chế biến cá tra hay tôm, nâng TCI không có nghĩa là theo đuổi công nghệ cao trừu tượng, mà cụ thể là</w:t>
      </w:r>
      <w:r>
        <w:t xml:space="preserve"> </w:t>
      </w:r>
      <w:r>
        <w:rPr>
          <w:bCs/>
          <w:b/>
        </w:rPr>
        <w:t xml:space="preserve">đạt các chứng nhận chất lượng quốc tế khắt khe như ASC (Aquaculture Stewardship Council) và BAP (Best Aquaculture Practices) cho thủy sản, hoặc GlobalGAP và SRP (Sustainable Rice Platform) cho gạo</w:t>
      </w:r>
      <w:r>
        <w:t xml:space="preserve">. Trong ngữ cảnh này, chứng nhận vận hành như một thứ vũ khí kép: nó giúp doanh nghiệp vượt qua các rào cản kỹ thuật trong thương mại (TBT/SPS) tại các thị trường EU, Hoa Kỳ và Nhật Bản, đồng thời biến chính chi phí tuân thủ thành một rào cản gia nhập đối với đối thủ năng lực thấp hơn, qua đó nâng biên lợi nhuận trên mỗi đơn vị xuất khẩu và đẩy điểm uốn về phía cường độ cao hơn.</w:t>
      </w:r>
    </w:p>
    <w:p>
      <w:pPr>
        <w:pStyle w:val="BodyText"/>
      </w:pPr>
      <w:r>
        <w:t xml:space="preserve">Về số hóa, bằng chứng đối chiếu giữa kết quả không có ý nghĩa (null) của DAI Tier-1 tại Việt Nam và hiệu ứng khuếch đại mạnh của DAI Tier-1+2 tại Singapore cung cấp một minh chứng thực nghiệm sắc bén: ở một thị trường chuyển đổi như Việt Nam, số hóa Tier-1 (chỉ gồm trang web, thư điện tử) đã trở thành một</w:t>
      </w:r>
      <w:r>
        <w:t xml:space="preserve"> </w:t>
      </w:r>
      <w:r>
        <w:rPr>
          <w:bCs/>
          <w:b/>
        </w:rPr>
        <w:t xml:space="preserve">yếu tố vệ sinh</w:t>
      </w:r>
      <w:r>
        <w:t xml:space="preserve"> </w:t>
      </w:r>
      <w:r>
        <w:t xml:space="preserve">(hygiene factor) phổ cập, hiện diện gần như khắp nơi nên không còn tạo khác biệt cạnh tranh và không đủ sức uốn cong đường hiệu quả. Hàm ý cho Đồng bằng sông Cửu Long do đó không phải là</w:t>
      </w:r>
      <w:r>
        <w:t xml:space="preserve"> </w:t>
      </w:r>
      <w:r>
        <w:t xml:space="preserve">“</w:t>
      </w:r>
      <w:r>
        <w:t xml:space="preserve">chuyển đổi số</w:t>
      </w:r>
      <w:r>
        <w:t xml:space="preserve">”</w:t>
      </w:r>
      <w:r>
        <w:t xml:space="preserve"> </w:t>
      </w:r>
      <w:r>
        <w:t xml:space="preserve">chung chung, mà là vượt qua</w:t>
      </w:r>
      <w:r>
        <w:t xml:space="preserve"> </w:t>
      </w:r>
      <w:r>
        <w:rPr>
          <w:bCs/>
          <w:b/>
        </w:rPr>
        <w:t xml:space="preserve">ngưỡng độ sâu</w:t>
      </w:r>
      <w:r>
        <w:t xml:space="preserve"> </w:t>
      </w:r>
      <w:r>
        <w:t xml:space="preserve">từ Tier-1 lên Tier-2, nơi năng lực số mới thực sự phát huy vai trò nguồn lực phụ thuộc bối cảnh và khuếch đại lợi nhuận ở mức quốc tế hóa cao. Cụ thể, DAI Tier-2 trong ngành nông – thủy sản chính là</w:t>
      </w:r>
      <w:r>
        <w:t xml:space="preserve"> </w:t>
      </w:r>
      <w:r>
        <w:rPr>
          <w:bCs/>
          <w:b/>
        </w:rPr>
        <w:t xml:space="preserve">hệ thống truy xuất nguồn gốc trên nền blockchain</w:t>
      </w:r>
      <w:r>
        <w:t xml:space="preserve"> </w:t>
      </w:r>
      <w:r>
        <w:t xml:space="preserve">và</w:t>
      </w:r>
      <w:r>
        <w:t xml:space="preserve"> </w:t>
      </w:r>
      <w:r>
        <w:rPr>
          <w:bCs/>
          <w:b/>
        </w:rPr>
        <w:t xml:space="preserve">phần mềm ERP kết nối trực tiếp nhà máy với hộ nông dân và vùng nuôi</w:t>
      </w:r>
      <w:r>
        <w:t xml:space="preserve">, kèm thanh toán điện tử xuyên suốt chuỗi. Đây chính là cơ chế</w:t>
      </w:r>
      <w:r>
        <w:t xml:space="preserve"> </w:t>
      </w:r>
      <w:r>
        <w:rPr>
          <w:bCs/>
          <w:b/>
        </w:rPr>
        <w:t xml:space="preserve">thay thế số cho thể chế</w:t>
      </w:r>
      <w:r>
        <w:t xml:space="preserve"> </w:t>
      </w:r>
      <w:r>
        <w:t xml:space="preserve">(digital-for-institutional substitution): ở nơi thể chế trung gian địa phương còn khoảng trống (hợp đồng khó thực thi, thông tin thị trường thiếu, chuẩn chất lượng khó giám sát), các công cụ số này hạ chi phí giao dịch bị đội lên do khoảng trống thể chế, đồng thời đáp ứng yêu cầu minh bạch nguồn gốc ngày càng ngặt nghèo từ nhà nhập khẩu. Bằng cách định nghĩa lại TCI và DAI bằng đúng ngôn ngữ của ngành hàng, các đề xuất này chuyển từ khuyến nghị hàn lâm sang một cẩm nang công nghệ khả thi cho doanh nghiệp và nhà hoạch định chính sách vùng, đúng tinh thần Chương trình Chuyển đổi số Quốc gia 2025-2030. Nghiên cứu trên dữ liệu WBES Việt Nam 2023, đợt khảo sát gần nhất, sẽ cung cấp bằng chứng cập nhật hơn cho các hàm ý này.</w:t>
      </w:r>
    </w:p>
    <w:p>
      <w:r>
        <w:pict>
          <v:rect style="width:0;height:1.5pt" o:hralign="center" o:hrstd="t" o:hr="t"/>
        </w:pict>
      </w:r>
    </w:p>
    <w:bookmarkEnd w:id="39"/>
    <w:bookmarkEnd w:id="40"/>
    <w:bookmarkStart w:id="45" w:name="hạn-chế-và-hướng-nghiên-cứu-tương-lai"/>
    <w:p>
      <w:pPr>
        <w:pStyle w:val="Heading2"/>
      </w:pPr>
      <w:r>
        <w:t xml:space="preserve">5.5 Hạn chế và hướng nghiên cứu tương lai</w:t>
      </w:r>
    </w:p>
    <w:bookmarkStart w:id="41" w:name="hạn-chế-về-đo-lường-dai"/>
    <w:p>
      <w:pPr>
        <w:pStyle w:val="Heading3"/>
      </w:pPr>
      <w:r>
        <w:t xml:space="preserve">5.5.1 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(Việt Nam),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Tuy nhiên, cần phân biệt rõ giữa một giới hạn đo lường thuần túy và một phát hiện lý thuyết bị che lấp dưới hình thức giới hạn đo lường. Việc giải thích kết quả null của DAI tại Việt Nam đơn thuần như một khiếm khuyết dữ liệu của WBES là một lập luận phòng thủ và khiên cưỡng. Một cách diễn giải chặt chẽ hơn là xem Tier-1 không phải</w:t>
      </w:r>
      <w:r>
        <w:t xml:space="preserve"> </w:t>
      </w:r>
      <w:r>
        <w:t xml:space="preserve">“</w:t>
      </w:r>
      <w:r>
        <w:t xml:space="preserve">dữ liệu kém</w:t>
      </w:r>
      <w:r>
        <w:t xml:space="preserve">”</w:t>
      </w:r>
      <w:r>
        <w:t xml:space="preserve"> </w:t>
      </w:r>
      <w:r>
        <w:t xml:space="preserve">mà là một</w:t>
      </w:r>
      <w:r>
        <w:t xml:space="preserve"> </w:t>
      </w:r>
      <w:r>
        <w:rPr>
          <w:bCs/>
          <w:b/>
        </w:rPr>
        <w:t xml:space="preserve">rào cản tối thiểu đã bị bão hòa</w:t>
      </w:r>
      <w:r>
        <w:t xml:space="preserve">: tại các thị trường chuyển đổi, sự hiện diện số ở mức Tier-1 (có trang web, thư điện tử) đã phổ cập đến mức trở thành yếu tố vệ sinh, hiện diện gần như đồng đều giữa các doanh nghiệp nên không còn phương sai đủ để tạo khác biệt cạnh tranh hay làm bộ đệm uốn cong đường hiệu quả. Theo cách đọc này, kết quả null tại Việt Nam (chỉ Tier-1) đặt cạnh hiệu ứng khuếch đại có ý nghĩa tại Singapore (Tier-1+2) không phải là hai mảnh bằng chứng mâu thuẫn, mà cùng xác nhận một mệnh đề lý thuyết duy nhất: DAI là một nguồn lực phụ thuộc bối cảnh đòi hỏi một</w:t>
      </w:r>
      <w:r>
        <w:t xml:space="preserve"> </w:t>
      </w:r>
      <w:r>
        <w:rPr>
          <w:bCs/>
          <w:b/>
        </w:rPr>
        <w:t xml:space="preserve">ngưỡng độ sâu</w:t>
      </w:r>
      <w:r>
        <w:t xml:space="preserve"> </w:t>
      </w:r>
      <w:r>
        <w:t xml:space="preserve">nhất định, là sự chuyển dịch từ số hóa thông tin sang tích hợp số vào quy trình, mới đủ sức điều tiết quan hệ I-P. Diễn giải này biến một điểm yếu phương pháp thành một đóng góp lý thuyết, đồng thời định hướng cụ thể cho việc đo lường DAI đa tầng trong các nghiên cứu tương lai.</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41"/>
    <w:bookmarkStart w:id="42" w:name="X9c6addda56cacda8a31e56c0f8a748c29f6b6eb"/>
    <w:p>
      <w:pPr>
        <w:pStyle w:val="Heading3"/>
      </w:pPr>
      <w:r>
        <w:t xml:space="preserve">5.5.2 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42"/>
    <w:bookmarkStart w:id="43" w:name="hạn-chế-về-suy-luận-nhân-quả"/>
    <w:p>
      <w:pPr>
        <w:pStyle w:val="Heading3"/>
      </w:pPr>
      <w:r>
        <w:t xml:space="preserve">5.5.3 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43"/>
    <w:bookmarkStart w:id="44" w:name="hướng-nghiên-cứu-tương-lai"/>
    <w:p>
      <w:pPr>
        <w:pStyle w:val="Heading3"/>
      </w:pPr>
      <w:r>
        <w:t xml:space="preserve">5.5.4 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trong luận án này đặc điểm nhà quản trị cấp cao (H4, gồm kinh nghiệm, học vấn và giới tính) được đưa vào như khối kiểm soát quản trị nội sinh chứ không phải nhân tố điều tiết trọng tâm; một hướng nghiên cứu tương lai là tách riêng và kiểm định khả năng điều tiết theo bối cảnh của các đặc điểm này trong từng chế độ ICRV, nhất là ở nhóm cận biên và đảo nhỏ, nơi tầng năng lực và thể chế đều yếu hơn, để xem liệu chất lượng quản trị có bù đắp được phần nào cho những thiếu hụt ấy hay không.</w:t>
      </w:r>
    </w:p>
    <w:p>
      <w:r>
        <w:pict>
          <v:rect style="width:0;height:1.5pt" o:hralign="center" o:hrstd="t" o:hr="t"/>
        </w:pict>
      </w:r>
    </w:p>
    <w:bookmarkEnd w:id="44"/>
    <w:bookmarkEnd w:id="45"/>
    <w:bookmarkStart w:id="50" w:name="kết-luận"/>
    <w:p>
      <w:pPr>
        <w:pStyle w:val="Heading2"/>
      </w:pPr>
      <w:r>
        <w:t xml:space="preserve">5.6 Kết luận</w:t>
      </w:r>
    </w:p>
    <w:bookmarkStart w:id="46" w:name="tổng-kết-tám-nghiên-cứu"/>
    <w:p>
      <w:pPr>
        <w:pStyle w:val="Heading3"/>
      </w:pPr>
      <w:r>
        <w:t xml:space="preserve">5.6.1 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02"/>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phân tích Việt Nam</w:t>
      </w:r>
      <w:r>
        <w:t xml:space="preserve">: phân tích Việt Nam (chuyển đổi thu nhập trung bình thấp), xác nhận chữ U ngược với điểm uốn 39,3-46,2%, TCI là yếu tố điều tiết dương có ý nghĩa.</w:t>
      </w:r>
    </w:p>
    <w:p>
      <w:pPr>
        <w:numPr>
          <w:ilvl w:val="0"/>
          <w:numId w:val="1002"/>
        </w:numPr>
      </w:pPr>
      <w:r>
        <w:rPr>
          <w:bCs/>
          <w:b/>
        </w:rPr>
        <w:t xml:space="preserve">phân tích Singapore</w:t>
      </w:r>
      <w:r>
        <w:t xml:space="preserve">: phân tích Singapore (tiên tiến dẫn dắt bằng đổi mới), xác nhận chữ U ngược với điểm uốn khoảng 82% (khoảng tin cậy rộng), DAI khuếch đại ở mức FSTS cao.</w:t>
      </w:r>
    </w:p>
    <w:p>
      <w:pPr>
        <w:numPr>
          <w:ilvl w:val="0"/>
          <w:numId w:val="1002"/>
        </w:numPr>
      </w:pPr>
      <w:r>
        <w:rPr>
          <w:bCs/>
          <w:b/>
        </w:rPr>
        <w:t xml:space="preserve">phân tích Trung Quốc</w:t>
      </w:r>
      <w:r>
        <w:t xml:space="preserve">: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phân tích tổng hợp</w:t>
      </w:r>
      <w:r>
        <w:t xml:space="preserve">: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87</m:t>
        </m:r>
        <m:r>
          <m:rPr>
            <m:sty m:val="p"/>
          </m:rPr>
          <m:t>,</m:t>
        </m:r>
        <m:r>
          <m:t>8</m:t>
        </m:r>
        <m:r>
          <m:rPr>
            <m:sty m:val="p"/>
          </m:rPr>
          <m:t>%</m:t>
        </m:r>
      </m:oMath>
      <w:r>
        <w:t xml:space="preserve"> </w:t>
      </w:r>
      <w:r>
        <w:t xml:space="preserve">(76,1% ở tầng 2 và 11,8%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phân tích đa quốc gia</w:t>
      </w:r>
      <w:r>
        <w:t xml:space="preserve">: kiểm định toàn mẫu châu Á và Thái Bình Dương với</w:t>
      </w:r>
      <w:r>
        <w:t xml:space="preserve"> </w:t>
      </w:r>
      <m:oMath>
        <m:r>
          <m:t>N</m:t>
        </m:r>
        <m:r>
          <m:rPr>
            <m:sty m:val="p"/>
          </m:rPr>
          <m:t>=</m:t>
        </m:r>
        <m:r>
          <m:t>82.302</m:t>
        </m:r>
      </m:oMath>
      <w:r>
        <w:t xml:space="preserve"> </w:t>
      </w:r>
      <w:r>
        <w:t xml:space="preserve">(M2) và</w:t>
      </w:r>
      <w:r>
        <w:t xml:space="preserve"> </w:t>
      </w:r>
      <m:oMath>
        <m:r>
          <m:t>N</m:t>
        </m:r>
        <m:r>
          <m:rPr>
            <m:sty m:val="p"/>
          </m:rPr>
          <m:t>=</m:t>
        </m:r>
        <m:r>
          <m:t>36.772</m:t>
        </m:r>
      </m:oMath>
      <w:r>
        <w:t xml:space="preserve"> </w:t>
      </w:r>
      <w:r>
        <w:t xml:space="preserve">(M3-M5 có đầy đủ biến kiểm soát), điểm uốn 34,1–39,5% (M2-M5; M11 đầy đủ: điểm uốn 25,7%,</w:t>
      </w:r>
      <w:r>
        <w:t xml:space="preserve"> </w:t>
      </w:r>
      <m:oMath>
        <m:sSub>
          <m:e>
            <m:r>
              <m:t>p</m:t>
            </m:r>
          </m:e>
          <m:sub>
            <m:r>
              <m:rPr>
                <m:nor/>
                <m:sty m:val="p"/>
              </m:rPr>
              <m:t>LM</m:t>
            </m:r>
          </m:sub>
        </m:sSub>
        <m:r>
          <m:rPr>
            <m:sty m:val="p"/>
          </m:rPr>
          <m:t>=</m:t>
        </m:r>
        <m:r>
          <m:rPr>
            <m:sty m:val="p"/>
          </m:rPr>
          <m:t>,</m:t>
        </m:r>
        <m:r>
          <m:t>026</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049</m:t>
        </m:r>
      </m:oMath>
      <w:r>
        <w:t xml:space="preserve">).</w:t>
      </w:r>
    </w:p>
    <w:p>
      <w:pPr>
        <w:numPr>
          <w:ilvl w:val="0"/>
          <w:numId w:val="1002"/>
        </w:numPr>
      </w:pPr>
      <w:r>
        <w:rPr>
          <w:bCs/>
          <w:b/>
        </w:rPr>
        <w:t xml:space="preserve">phân tích SIDS Thái Bình Dương</w:t>
      </w:r>
      <w:r>
        <w:t xml:space="preserve">: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46"/>
    <w:bookmarkStart w:id="4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phân tích tổng hợp và 82.302 doanh nghiệp tại 45 nền kinh tế châu Á và Thái Bình Dương ở phân tích đa quốc gia đều dẫn về kết luận này. Quan hệ I-P không phải một đường cong phổ quát, mà là một</w:t>
      </w:r>
      <w:r>
        <w:t xml:space="preserve"> </w:t>
      </w:r>
      <w:r>
        <w:rPr>
          <w:bCs/>
          <w:b/>
        </w:rPr>
        <w:t xml:space="preserve">họ đường cong phụ thuộc bối cảnh</w:t>
      </w:r>
      <w:r>
        <w:t xml:space="preserve">, trong đó độ cong (concavity / biên độ) là một hàm số tăng dần theo mức độ suy giảm của chất lượng thể chế theo ICRV: thể chế càng yếu, hình chữ U ngược càng cong sâu và hình phạt sau đỉnh càng gay gắt, trong khi điểm uốn theo nhóm không đồng nhất và không dịch chuyển đơn điệu.</w:t>
      </w:r>
    </w:p>
    <w:bookmarkEnd w:id="47"/>
    <w:bookmarkStart w:id="4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cho thấy điều tiết thể chế trực tiếp ở cấp văn liệu là yếu/không bền vững, trong khi vai trò điều tiết của ICRV chỉ bộc lộ vững chắc ở cấp doanh nghiệp qua tương tác có điều kiện. Đồng thời, luận án bao quát mức điều chỉnh do thiên lệch công bố trong khoảng r ∈ [0,035; 0,077] qua sáu kiểm định (trim-and-fill mạnh nhất; PET-PEESE; Vevea-Hedges bảo thủ nhất, LRT p = 0,002), gợi mở một câu hỏi nền tảng cho cả tài liệu: nếu bốn thập kỷ bằng chứng I-P bị thổi phồng (mức độ tùy phương pháp hiệu chỉnh) bởi chọn lọc công bố, thì hiệu ứng quần thể thực có thể nằm gần hoặc dưới ngưỡng Cohen</w:t>
      </w:r>
      <w:r>
        <w:t xml:space="preserve"> </w:t>
      </w:r>
      <w:r>
        <w:t xml:space="preserve">“</w:t>
      </w:r>
      <w:r>
        <w:t xml:space="preserve">nhỏ</w:t>
      </w:r>
      <w:r>
        <w:t xml:space="preserve">”</w:t>
      </w:r>
      <w:r>
        <w:t xml:space="preserve"> </w:t>
      </w:r>
      <w:r>
        <w:t xml:space="preserve">và đòi hỏi cỡ mẫu lớn hơn nhiều để phát hiện vai trò điều tiết một cách vững chắc. Luận án ghi nhận nghịch lý này mà không khẳng định đã giải quyết được nó; đây là cam kết chương trình nghiên cứu vượt khuôn khổ một luận án đơn lẻ. Với dòng nghiên cứu về năng lực số, luận án làm rõ rằng DAI là nguồn lực tình huống chứ không phải năng lực nền tảng. Và với dòng nghiên cứu về quốc tế hóa và các nền kinh tế đảo nhỏ, luận án đóng góp ước lượng định lượng đầu tiên cho FIP trên dữ liệu WBES SIDS, nối tiếp dòng nghiên cứu SIDS nền tảng (Briguglio, 1995; Bertram, 2006).</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48"/>
    <w:bookmarkStart w:id="49" w:name="lời-kết"/>
    <w:p>
      <w:pPr>
        <w:pStyle w:val="Heading3"/>
      </w:pPr>
      <w:r>
        <w:t xml:space="preserve">5.6.4 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2026-05-31T12:24:19Z</dcterms:created>
  <dcterms:modified xsi:type="dcterms:W3CDTF">2026-05-31T12:24:19Z</dcterms:modified>
</cp:coreProperties>
</file>

<file path=docProps/custom.xml><?xml version="1.0" encoding="utf-8"?>
<Properties xmlns="http://schemas.openxmlformats.org/officeDocument/2006/custom-properties" xmlns:vt="http://schemas.openxmlformats.org/officeDocument/2006/docPropsVTypes"/>
</file>