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chuyên-đề-tiến-sĩ-số-1"/>
    <w:p>
      <w:pPr>
        <w:pStyle w:val="Heading1"/>
      </w:pPr>
      <w:r>
        <w:t xml:space="preserve">CHUYÊN ĐỀ TIẾN SĨ SỐ 1</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(5 nước), Advanced tài nguyên dẫn dắt (5 nước), trung bình cao (6 nước), đang nổi (7 nước), cận biên (17 nước), và SIDS Thái Bình Dương (7 nước, boundary case extension).</w:t>
      </w:r>
    </w:p>
    <w:p>
      <w:pPr>
        <w:pStyle w:val="BodyText"/>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 so với resource-driven) và xác nhận pattern</w:t>
      </w:r>
      <w:r>
        <w:t xml:space="preserve"> </w:t>
      </w:r>
      <w:r>
        <w:rPr>
          <w:bCs/>
          <w:b/>
        </w:rPr>
        <w:t xml:space="preserve">chi phí buộc phải quốc tế hóa (forced internationalization penalty)</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Chương 1 — Giới thiệu</w:t>
      </w:r>
    </w:p>
    <w:p>
      <w:pPr>
        <w:numPr>
          <w:ilvl w:val="1"/>
          <w:numId w:val="1002"/>
        </w:numPr>
        <w:pStyle w:val="Compact"/>
      </w:pPr>
      <w:r>
        <w:t xml:space="preserve">1.1 Đặt vấn đề</w:t>
      </w:r>
    </w:p>
    <w:p>
      <w:pPr>
        <w:numPr>
          <w:ilvl w:val="1"/>
          <w:numId w:val="1002"/>
        </w:numPr>
        <w:pStyle w:val="Compact"/>
      </w:pPr>
      <w:r>
        <w:t xml:space="preserve">1.2 Mục tiêu chuyên đề</w:t>
      </w:r>
    </w:p>
    <w:p>
      <w:pPr>
        <w:numPr>
          <w:ilvl w:val="1"/>
          <w:numId w:val="1002"/>
        </w:numPr>
        <w:pStyle w:val="Compact"/>
      </w:pPr>
      <w:r>
        <w:t xml:space="preserve">1.3 Phạm vi và đối tượng nghiên cứu</w:t>
      </w:r>
    </w:p>
    <w:p>
      <w:pPr>
        <w:numPr>
          <w:ilvl w:val="1"/>
          <w:numId w:val="1002"/>
        </w:numPr>
        <w:pStyle w:val="Compact"/>
      </w:pPr>
      <w:r>
        <w:t xml:space="preserve">1.4 Phương pháp tiếp cận</w:t>
      </w:r>
    </w:p>
    <w:p>
      <w:pPr>
        <w:numPr>
          <w:ilvl w:val="1"/>
          <w:numId w:val="1002"/>
        </w:numPr>
        <w:pStyle w:val="Compact"/>
      </w:pPr>
      <w:r>
        <w:t xml:space="preserve">1.5 Đóng góp dự kiến</w:t>
      </w:r>
    </w:p>
    <w:p>
      <w:pPr>
        <w:numPr>
          <w:ilvl w:val="1"/>
          <w:numId w:val="1002"/>
        </w:numPr>
        <w:pStyle w:val="Compact"/>
      </w:pPr>
      <w:r>
        <w:t xml:space="preserve">1.6 Kết cấu chuyên đề</w:t>
      </w:r>
    </w:p>
    <w:p>
      <w:pPr>
        <w:numPr>
          <w:ilvl w:val="0"/>
          <w:numId w:val="1001"/>
        </w:numPr>
        <w:pStyle w:val="Compact"/>
      </w:pPr>
      <w:r>
        <w:rPr>
          <w:bCs/>
          <w:b/>
        </w:rPr>
        <w:t xml:space="preserve">Chương 2 — Cơ sở lý luận về hiệu quả hoạt động kinh doanh</w:t>
      </w:r>
    </w:p>
    <w:p>
      <w:pPr>
        <w:numPr>
          <w:ilvl w:val="1"/>
          <w:numId w:val="1003"/>
        </w:numPr>
        <w:pStyle w:val="Compact"/>
      </w:pPr>
      <w:r>
        <w:t xml:space="preserve">2.1 Khái niệm hiệu quả hoạt động kinh doanh</w:t>
      </w:r>
    </w:p>
    <w:p>
      <w:pPr>
        <w:numPr>
          <w:ilvl w:val="1"/>
          <w:numId w:val="1003"/>
        </w:numPr>
        <w:pStyle w:val="Compact"/>
      </w:pPr>
      <w:r>
        <w:t xml:space="preserve">2.2 Bốn chiều đo lường hiệu quả</w:t>
      </w:r>
    </w:p>
    <w:p>
      <w:pPr>
        <w:numPr>
          <w:ilvl w:val="1"/>
          <w:numId w:val="1003"/>
        </w:numPr>
        <w:pStyle w:val="Compact"/>
      </w:pPr>
      <w:r>
        <w:t xml:space="preserve">2.3 Năm meta-analysis lớn về quan hệ quốc tế hóa – hiệu quả (1980–2024)</w:t>
      </w:r>
    </w:p>
    <w:p>
      <w:pPr>
        <w:numPr>
          <w:ilvl w:val="1"/>
          <w:numId w:val="1003"/>
        </w:numPr>
        <w:pStyle w:val="Compact"/>
      </w:pPr>
      <w:r>
        <w:t xml:space="preserve">2.4 Hài hòa hóa đo lường xuyên quốc gia trong WBES</w:t>
      </w:r>
    </w:p>
    <w:p>
      <w:pPr>
        <w:numPr>
          <w:ilvl w:val="1"/>
          <w:numId w:val="1003"/>
        </w:numPr>
        <w:pStyle w:val="Compact"/>
      </w:pPr>
      <w:r>
        <w:t xml:space="preserve">2.5 Ba khung lý thuyết nền</w:t>
      </w:r>
    </w:p>
    <w:p>
      <w:pPr>
        <w:numPr>
          <w:ilvl w:val="1"/>
          <w:numId w:val="1003"/>
        </w:numPr>
        <w:pStyle w:val="Compact"/>
      </w:pPr>
      <w:r>
        <w:t xml:space="preserve">2.6 Điều kiện biên cho U-curve Lu &amp; Beamish (2004)</w:t>
      </w:r>
    </w:p>
    <w:p>
      <w:pPr>
        <w:numPr>
          <w:ilvl w:val="1"/>
          <w:numId w:val="1003"/>
        </w:numPr>
        <w:pStyle w:val="Compact"/>
      </w:pPr>
      <w:r>
        <w:t xml:space="preserve">2.7 Khung 4-Tier chuyển đổi số + Mô hình CDCM</w:t>
      </w:r>
    </w:p>
    <w:p>
      <w:pPr>
        <w:numPr>
          <w:ilvl w:val="0"/>
          <w:numId w:val="1001"/>
        </w:numPr>
        <w:pStyle w:val="Compact"/>
      </w:pPr>
      <w:r>
        <w:rPr>
          <w:bCs/>
          <w:b/>
        </w:rPr>
        <w:t xml:space="preserve">Chương 3 — Khung phân loại 6 phân nhóm con ICRV</w:t>
      </w:r>
    </w:p>
    <w:p>
      <w:pPr>
        <w:numPr>
          <w:ilvl w:val="1"/>
          <w:numId w:val="1004"/>
        </w:numPr>
        <w:pStyle w:val="Compact"/>
      </w:pPr>
      <w:r>
        <w:t xml:space="preserve">3.1 Lý do phân loại</w:t>
      </w:r>
    </w:p>
    <w:p>
      <w:pPr>
        <w:numPr>
          <w:ilvl w:val="1"/>
          <w:numId w:val="1004"/>
        </w:numPr>
        <w:pStyle w:val="Compact"/>
      </w:pPr>
      <w:r>
        <w:t xml:space="preserve">3.2 Tiêu chí phân loại sáu nhóm</w:t>
      </w:r>
    </w:p>
    <w:p>
      <w:pPr>
        <w:numPr>
          <w:ilvl w:val="1"/>
          <w:numId w:val="1004"/>
        </w:numPr>
        <w:pStyle w:val="Compact"/>
      </w:pPr>
      <w:r>
        <w:t xml:space="preserve">3.3 Danh sách 47 nền kinh tế theo nhóm ICRV (Bảng 3.1)</w:t>
      </w:r>
    </w:p>
    <w:p>
      <w:pPr>
        <w:numPr>
          <w:ilvl w:val="1"/>
          <w:numId w:val="1004"/>
        </w:numPr>
        <w:pStyle w:val="Compact"/>
      </w:pPr>
      <w:r>
        <w:t xml:space="preserve">3.4 Đặc điểm các nhóm ICRV (Bảng 3.2)</w:t>
      </w:r>
    </w:p>
    <w:p>
      <w:pPr>
        <w:numPr>
          <w:ilvl w:val="0"/>
          <w:numId w:val="1001"/>
        </w:numPr>
        <w:pStyle w:val="Compact"/>
      </w:pPr>
      <w:r>
        <w:rPr>
          <w:bCs/>
          <w:b/>
        </w:rPr>
        <w:t xml:space="preserve">Chương 4 — Thực trạng hiệu quả doanh nghiệp châu Á 2009–2025</w:t>
      </w:r>
    </w:p>
    <w:p>
      <w:pPr>
        <w:numPr>
          <w:ilvl w:val="1"/>
          <w:numId w:val="1005"/>
        </w:numPr>
        <w:pStyle w:val="Compact"/>
      </w:pPr>
      <w:r>
        <w:t xml:space="preserve">4.1 Nguồn dữ liệu WBES</w:t>
      </w:r>
    </w:p>
    <w:p>
      <w:pPr>
        <w:numPr>
          <w:ilvl w:val="1"/>
          <w:numId w:val="1005"/>
        </w:numPr>
        <w:pStyle w:val="Compact"/>
      </w:pPr>
      <w:r>
        <w:t xml:space="preserve">4.2 Phân tán năng suất lao động</w:t>
      </w:r>
    </w:p>
    <w:p>
      <w:pPr>
        <w:numPr>
          <w:ilvl w:val="1"/>
          <w:numId w:val="1005"/>
        </w:numPr>
        <w:pStyle w:val="Compact"/>
      </w:pPr>
      <w:r>
        <w:t xml:space="preserve">4.3 Quốc tế hóa và tăng trưởng việc làm</w:t>
      </w:r>
    </w:p>
    <w:p>
      <w:pPr>
        <w:numPr>
          <w:ilvl w:val="1"/>
          <w:numId w:val="1005"/>
        </w:numPr>
        <w:pStyle w:val="Compact"/>
      </w:pPr>
      <w:r>
        <w:t xml:space="preserve">4.4 Đổi mới sáng tạo và năng lực số</w:t>
      </w:r>
    </w:p>
    <w:p>
      <w:pPr>
        <w:numPr>
          <w:ilvl w:val="1"/>
          <w:numId w:val="1005"/>
        </w:numPr>
        <w:pStyle w:val="Compact"/>
      </w:pPr>
      <w:r>
        <w:t xml:space="preserve">4.5 Cấu trúc doanh nghiệp</w:t>
      </w:r>
    </w:p>
    <w:p>
      <w:pPr>
        <w:numPr>
          <w:ilvl w:val="1"/>
          <w:numId w:val="1005"/>
        </w:numPr>
        <w:pStyle w:val="Compact"/>
      </w:pPr>
      <w:r>
        <w:t xml:space="preserve">4.6 Bức tranh thay đổi theo thời gian</w:t>
      </w:r>
    </w:p>
    <w:p>
      <w:pPr>
        <w:numPr>
          <w:ilvl w:val="1"/>
          <w:numId w:val="1005"/>
        </w:numPr>
        <w:pStyle w:val="Compact"/>
      </w:pPr>
      <w:r>
        <w:t xml:space="preserve">4.7 Tổng hợp Chương 4 (10 kết luận)</w:t>
      </w:r>
    </w:p>
    <w:p>
      <w:pPr>
        <w:numPr>
          <w:ilvl w:val="1"/>
          <w:numId w:val="1005"/>
        </w:numPr>
        <w:pStyle w:val="Compact"/>
      </w:pPr>
      <w:r>
        <w:t xml:space="preserve">4.8 Khung phân tích cấp ngành</w:t>
      </w:r>
    </w:p>
    <w:p>
      <w:pPr>
        <w:numPr>
          <w:ilvl w:val="1"/>
          <w:numId w:val="1005"/>
        </w:numPr>
        <w:pStyle w:val="Compact"/>
      </w:pPr>
      <w:r>
        <w:t xml:space="preserve">4.9 Phân nhóm con Emerging</w:t>
      </w:r>
    </w:p>
    <w:p>
      <w:pPr>
        <w:numPr>
          <w:ilvl w:val="1"/>
          <w:numId w:val="1005"/>
        </w:numPr>
        <w:pStyle w:val="Compact"/>
      </w:pPr>
      <w:r>
        <w:t xml:space="preserve">4.10 Phân tích sâu đợt khảo sát 2025</w:t>
      </w:r>
    </w:p>
    <w:p>
      <w:pPr>
        <w:numPr>
          <w:ilvl w:val="1"/>
          <w:numId w:val="1005"/>
        </w:numPr>
        <w:pStyle w:val="Compact"/>
      </w:pPr>
      <w:r>
        <w:t xml:space="preserve">4.11 Cô lập đứt gãy schema BREADY 2025</w:t>
      </w:r>
    </w:p>
    <w:p>
      <w:pPr>
        <w:numPr>
          <w:ilvl w:val="0"/>
          <w:numId w:val="1001"/>
        </w:numPr>
        <w:pStyle w:val="Compact"/>
      </w:pPr>
      <w:r>
        <w:rPr>
          <w:bCs/>
          <w:b/>
        </w:rPr>
        <w:t xml:space="preserve">Chương 5 — Bảy tiểu cảnh điển hình</w:t>
      </w:r>
    </w:p>
    <w:p>
      <w:pPr>
        <w:numPr>
          <w:ilvl w:val="1"/>
          <w:numId w:val="1006"/>
        </w:numPr>
        <w:pStyle w:val="Compact"/>
      </w:pPr>
      <w:r>
        <w:t xml:space="preserve">5.1 Singapore</w:t>
      </w:r>
    </w:p>
    <w:p>
      <w:pPr>
        <w:numPr>
          <w:ilvl w:val="1"/>
          <w:numId w:val="1006"/>
        </w:numPr>
        <w:pStyle w:val="Compact"/>
      </w:pPr>
      <w:r>
        <w:t xml:space="preserve">5.2 Saudi Arabia, Qatar, Kuwait</w:t>
      </w:r>
    </w:p>
    <w:p>
      <w:pPr>
        <w:numPr>
          <w:ilvl w:val="1"/>
          <w:numId w:val="1006"/>
        </w:numPr>
        <w:pStyle w:val="Compact"/>
      </w:pPr>
      <w:r>
        <w:t xml:space="preserve">5.3 Việt Nam</w:t>
      </w:r>
    </w:p>
    <w:p>
      <w:pPr>
        <w:numPr>
          <w:ilvl w:val="1"/>
          <w:numId w:val="1006"/>
        </w:numPr>
        <w:pStyle w:val="Compact"/>
      </w:pPr>
      <w:r>
        <w:t xml:space="preserve">5.4 Trung Quốc</w:t>
      </w:r>
    </w:p>
    <w:p>
      <w:pPr>
        <w:numPr>
          <w:ilvl w:val="1"/>
          <w:numId w:val="1006"/>
        </w:numPr>
        <w:pStyle w:val="Compact"/>
      </w:pPr>
      <w:r>
        <w:t xml:space="preserve">5.5 Tổng hợp Emerging Asia</w:t>
      </w:r>
    </w:p>
    <w:p>
      <w:pPr>
        <w:numPr>
          <w:ilvl w:val="1"/>
          <w:numId w:val="1006"/>
        </w:numPr>
        <w:pStyle w:val="Compact"/>
      </w:pPr>
      <w:r>
        <w:t xml:space="preserve">5.6 Mongolia</w:t>
      </w:r>
    </w:p>
    <w:p>
      <w:pPr>
        <w:numPr>
          <w:ilvl w:val="1"/>
          <w:numId w:val="1006"/>
        </w:numPr>
        <w:pStyle w:val="Compact"/>
      </w:pPr>
      <w:r>
        <w:t xml:space="preserve">5.7 SIDS Thái Bình Dương</w:t>
      </w:r>
    </w:p>
    <w:p>
      <w:pPr>
        <w:numPr>
          <w:ilvl w:val="1"/>
          <w:numId w:val="1006"/>
        </w:numPr>
        <w:pStyle w:val="Compact"/>
      </w:pPr>
      <w:r>
        <w:t xml:space="preserve">5.8 So sánh tổng hợp</w:t>
      </w:r>
    </w:p>
    <w:p>
      <w:pPr>
        <w:numPr>
          <w:ilvl w:val="0"/>
          <w:numId w:val="1001"/>
        </w:numPr>
        <w:pStyle w:val="Compact"/>
      </w:pPr>
      <w:r>
        <w:rPr>
          <w:bCs/>
          <w:b/>
        </w:rPr>
        <w:t xml:space="preserve">Chương 6 — Các yếu tố giải thích sơ bộ</w:t>
      </w:r>
    </w:p>
    <w:p>
      <w:pPr>
        <w:numPr>
          <w:ilvl w:val="1"/>
          <w:numId w:val="1007"/>
        </w:numPr>
        <w:pStyle w:val="Compact"/>
      </w:pPr>
      <w:r>
        <w:t xml:space="preserve">6.1 Hệ số tương quan Pearson + Pattern giới tính</w:t>
      </w:r>
    </w:p>
    <w:p>
      <w:pPr>
        <w:numPr>
          <w:ilvl w:val="1"/>
          <w:numId w:val="1007"/>
        </w:numPr>
        <w:pStyle w:val="Compact"/>
      </w:pPr>
      <w:r>
        <w:t xml:space="preserve">6.2 Đường cong U của đổi mới số</w:t>
      </w:r>
    </w:p>
    <w:p>
      <w:pPr>
        <w:numPr>
          <w:ilvl w:val="0"/>
          <w:numId w:val="1001"/>
        </w:numPr>
        <w:pStyle w:val="Compact"/>
      </w:pPr>
      <w:r>
        <w:rPr>
          <w:bCs/>
          <w:b/>
        </w:rPr>
        <w:t xml:space="preserve">Chương 7 — Khoảng trống thực tiễn và kết luận</w:t>
      </w:r>
    </w:p>
    <w:p>
      <w:pPr>
        <w:numPr>
          <w:ilvl w:val="1"/>
          <w:numId w:val="1008"/>
        </w:numPr>
        <w:pStyle w:val="Compact"/>
      </w:pPr>
      <w:r>
        <w:t xml:space="preserve">7.1 Khoảng trống nghiên cứu (5 khoảng trống)</w:t>
      </w:r>
    </w:p>
    <w:p>
      <w:pPr>
        <w:numPr>
          <w:ilvl w:val="1"/>
          <w:numId w:val="1008"/>
        </w:numPr>
        <w:pStyle w:val="Compact"/>
      </w:pPr>
      <w:r>
        <w:t xml:space="preserve">7.2 Kết luận chính (8 kết luận)</w:t>
      </w:r>
    </w:p>
    <w:p>
      <w:pPr>
        <w:numPr>
          <w:ilvl w:val="1"/>
          <w:numId w:val="1008"/>
        </w:numPr>
        <w:pStyle w:val="Compact"/>
      </w:pPr>
      <w:r>
        <w:t xml:space="preserve">7.3 Hàm ý cho luận án và Chuyên đề 2</w:t>
      </w:r>
    </w:p>
    <w:p>
      <w:pPr>
        <w:numPr>
          <w:ilvl w:val="1"/>
          <w:numId w:val="1008"/>
        </w:numPr>
        <w:pStyle w:val="Compact"/>
      </w:pPr>
      <w:r>
        <w:t xml:space="preserve">7.4 Hạn chế</w:t>
      </w:r>
    </w:p>
    <w:p>
      <w:pPr>
        <w:numPr>
          <w:ilvl w:val="1"/>
          <w:numId w:val="1008"/>
        </w:numPr>
        <w:pStyle w:val="Compact"/>
      </w:pPr>
      <w:r>
        <w:t xml:space="preserve">7.5 Kế hoạch hoàn thiện</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4"/>
    <w:bookmarkStart w:id="25"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7"/>
    <w:bookmarkStart w:id="34" w:name="chương-1-giới-thiệu"/>
    <w:p>
      <w:pPr>
        <w:pStyle w:val="Heading2"/>
      </w:pPr>
      <w:r>
        <w:t xml:space="preserve">CHƯƠNG 1 — GIỚI THIỆU</w:t>
      </w:r>
    </w:p>
    <w:bookmarkStart w:id="28" w:name="đặt-vấn-đề"/>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ADB (2026, April) dự báo Pacific 3,4%, Đông Nam Á 4,7%, Việt Nam 7,0%.</w:t>
      </w:r>
      <w:r>
        <w:t xml:space="preserve"> </w:t>
      </w:r>
      <w:r>
        <w:rPr>
          <w:bCs/>
          <w:b/>
        </w:rPr>
        <w:t xml:space="preserve">Riêng Việt Nam, ADB (2026, April) ghi nhận GDP lịch sử 2025 đạt 8,0%</w:t>
      </w:r>
      <w:r>
        <w:t xml:space="preserve"> </w:t>
      </w:r>
      <w:r>
        <w:t xml:space="preserve">và cập nhật dự báo</w:t>
      </w:r>
      <w:r>
        <w:t xml:space="preserve"> </w:t>
      </w:r>
      <w:r>
        <w:rPr>
          <w:bCs/>
          <w:b/>
        </w:rPr>
        <w:t xml:space="preserve">7,2% (2026) → 7,0% (2027)</w:t>
      </w:r>
      <w:r>
        <w:t xml:space="preserve">.</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front-loading effect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có tổng hợp xuyên 47 nền kinh tế trên giai đoạn dài 2009–2025. Chuyên đề này lấp khoảng trống thực tiễn đó bằng việc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là minh họa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w:t>
      </w:r>
      <w:r>
        <w:t xml:space="preserve"> </w:t>
      </w:r>
      <w:r>
        <w:rPr>
          <w:bCs/>
          <w:b/>
        </w:rPr>
        <w:t xml:space="preserve">số hóa không phải công cụ tối ưu hóa chuỗi cung ứng mà là phương tiện sinh tồn</w:t>
      </w:r>
      <w:r>
        <w:t xml:space="preserve"> </w:t>
      </w:r>
      <w:r>
        <w:t xml:space="preserve">— dẫn vào §2.6 (3 điều kiện cấu trúc của U-curve) và §5.7 (SIDS Pacific archetype).</w:t>
      </w:r>
    </w:p>
    <w:bookmarkEnd w:id="28"/>
    <w:bookmarkStart w:id="29" w:name="mục-tiêu-chuyên-đề"/>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9"/>
        </w:numPr>
        <w:pStyle w:val="Compact"/>
      </w:pPr>
      <w:r>
        <w:t xml:space="preserve">Hệ thống hóa khái niệm và đa chiều đo lường hiệu quả hoạt động kinh doanh trong văn liệu hiện hành;</w:t>
      </w:r>
    </w:p>
    <w:p>
      <w:pPr>
        <w:numPr>
          <w:ilvl w:val="0"/>
          <w:numId w:val="1009"/>
        </w:numPr>
        <w:pStyle w:val="Compact"/>
      </w:pPr>
      <w:r>
        <w:t xml:space="preserve">Đề xuất khung phân loại 6 phân nhóm con ICRV cho 47 nền kinh tế;</w:t>
      </w:r>
    </w:p>
    <w:p>
      <w:pPr>
        <w:numPr>
          <w:ilvl w:val="0"/>
          <w:numId w:val="1009"/>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9"/>
        </w:numPr>
        <w:pStyle w:val="Compact"/>
      </w:pPr>
      <w:r>
        <w:t xml:space="preserve">Nhận diện đặc điểm và yếu tố giải thích sơ bộ cho dị biệt hiệu quả giữa các phân nhóm;</w:t>
      </w:r>
    </w:p>
    <w:p>
      <w:pPr>
        <w:numPr>
          <w:ilvl w:val="0"/>
          <w:numId w:val="1009"/>
        </w:numPr>
        <w:pStyle w:val="Compact"/>
      </w:pPr>
      <w:r>
        <w:t xml:space="preserve">Đề xuất khoảng trống thực tiễn để định hướng nghiên cứu tiếp theo.</w:t>
      </w:r>
    </w:p>
    <w:bookmarkEnd w:id="29"/>
    <w:bookmarkStart w:id="30" w:name="phạm-vi-và-đối-tượng-nghiên-cứu"/>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 </w:t>
      </w:r>
      <w:r>
        <w:t xml:space="preserve">—</w:t>
      </w:r>
      <w:r>
        <w:t xml:space="preserve"> </w:t>
      </w:r>
      <w:r>
        <w:rPr>
          <w:bCs/>
          <w:b/>
        </w:rPr>
        <w:t xml:space="preserve">A. Scope chính — 41 nước châu Á thuần</w:t>
      </w:r>
      <w:r>
        <w:t xml:space="preserve">:</w:t>
      </w:r>
      <w:r>
        <w:t xml:space="preserve"> </w:t>
      </w:r>
      <w:r>
        <w:t xml:space="preserve">-</w:t>
      </w:r>
      <w:r>
        <w:t xml:space="preserve"> </w:t>
      </w:r>
      <w:r>
        <w:rPr>
          <w:bCs/>
          <w:b/>
        </w:rPr>
        <w:t xml:space="preserve">(i) Advanced đổi mới sáng tạo dẫn dắt (innovation-driven, 5 nước)</w:t>
      </w:r>
      <w:r>
        <w:t xml:space="preserve">: Singapore, Hong Kong SAR, Hàn Quốc, Đài Loan, Israel.</w:t>
      </w:r>
      <w:r>
        <w:t xml:space="preserve"> </w:t>
      </w:r>
      <w:r>
        <w:t xml:space="preserve">-</w:t>
      </w:r>
      <w:r>
        <w:t xml:space="preserve"> </w:t>
      </w:r>
      <w:r>
        <w:rPr>
          <w:bCs/>
          <w:b/>
        </w:rPr>
        <w:t xml:space="preserve">(ii) Advanced tài nguyên dẫn dắt (resource-driven,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Mongolia.</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Boundary case extension — 7 SIDS Thái Bình Dương</w:t>
      </w:r>
      <w:r>
        <w:t xml:space="preserve"> </w:t>
      </w:r>
      <w:r>
        <w:t xml:space="preserve">(n=1.371, 1,4% pool): Fiji, Papua New Guinea, Solomon Islands, Tonga, Vanuatu, Samoa,</w:t>
      </w:r>
      <w:r>
        <w:t xml:space="preserve"> </w:t>
      </w:r>
      <w:r>
        <w:rPr>
          <w:bCs/>
          <w:b/>
        </w:rPr>
        <w:t xml:space="preserve">Kiribati (2025)</w:t>
      </w:r>
      <w:r>
        <w:t xml:space="preserve">.</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30"/>
    <w:bookmarkStart w:id="31" w:name="phương-pháp-tiếp-cận"/>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 (bivariate).</w:t>
      </w:r>
    </w:p>
    <w:p>
      <w:pPr>
        <w:pStyle w:val="BodyText"/>
      </w:pPr>
      <w:r>
        <w:rPr>
          <w:bCs/>
          <w:b/>
        </w:rPr>
        <w:t xml:space="preserve">Áp dụng nguyên tắc transparent data section của Aguinis et al. (2019)</w:t>
      </w:r>
      <w:r>
        <w:t xml:space="preserve">: chuyên đề trình bày rõ (i) population definition (47 nền kinh tế Asia + Pacific với phân tách 41 vs 7); (ii) sampling procedure (WBES official sampling); (iii) sample size justification (pool 101.185); (iv) missing data handling (FSTS = d3b + d3c, winsorize 1/99); (v) operationalization variables; (vi) reliability/validity (TCI multi-component; DAI single-component Spec 1, multi-component Spec 2); (vii) estimation method (descriptive only trong CĐ1; OLS + IV trong CĐ2); (viii) open science (replication package mở).</w:t>
      </w:r>
    </w:p>
    <w:bookmarkEnd w:id="31"/>
    <w:bookmarkStart w:id="32" w:name="đóng-góp-dự-kiến-của-chuyên-đề"/>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numPr>
          <w:ilvl w:val="0"/>
          <w:numId w:val="1010"/>
        </w:numPr>
      </w:pP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w:t>
      </w:r>
    </w:p>
    <w:p>
      <w:pPr>
        <w:numPr>
          <w:ilvl w:val="0"/>
          <w:numId w:val="1010"/>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w:t>
      </w:r>
      <w:r>
        <w:t xml:space="preserve"> </w:t>
      </w:r>
      <w:r>
        <w:rPr>
          <w:bCs/>
          <w:b/>
        </w:rPr>
        <w:t xml:space="preserve">2,1 lần</w:t>
      </w:r>
      <w:r>
        <w:t xml:space="preserve">.</w:t>
      </w:r>
    </w:p>
    <w:p>
      <w:pPr>
        <w:numPr>
          <w:ilvl w:val="0"/>
          <w:numId w:val="1010"/>
        </w:numPr>
      </w:pPr>
      <w:r>
        <w:rPr>
          <w:bCs/>
          <w:b/>
        </w:rPr>
        <w:t xml:space="preserve">Nhảy vọt số (digital leapfrog)</w:t>
      </w:r>
      <w:r>
        <w:t xml:space="preserve"> </w:t>
      </w:r>
      <w:r>
        <w:t xml:space="preserve">ở Frontier và Emerging châu Á 2018–2025 — mở rộng pattern hiệu ứng lá chắn số từ 17 nước lên 47 nước. Phân tách Tier-1 Digital Presence (website binary, đã bão hòa ở Advanced) vs Tier-2 Digital Transformation (multi-component, đang phát triển ở Emerging/Frontier).</w:t>
      </w:r>
    </w:p>
    <w:p>
      <w:pPr>
        <w:numPr>
          <w:ilvl w:val="0"/>
          <w:numId w:val="1010"/>
        </w:numPr>
      </w:pPr>
      <w:r>
        <w:rPr>
          <w:bCs/>
          <w:b/>
        </w:rPr>
        <w:t xml:space="preserve">Bằng chứng cho khung lý thuyết phi tuyến + điều tiết đa tầng</w:t>
      </w:r>
      <w:r>
        <w:t xml:space="preserve"> </w:t>
      </w:r>
      <w:r>
        <w:t xml:space="preserve">— bốn lần đảo dấu xuyên phân nhóm con thể chế là cơ sở thực tiễn cho</w:t>
      </w:r>
      <w:r>
        <w:t xml:space="preserve"> </w:t>
      </w:r>
      <w:r>
        <w:rPr>
          <w:bCs/>
          <w:b/>
        </w:rPr>
        <w:t xml:space="preserve">6 giả thuyết H1-H6</w:t>
      </w:r>
      <w:r>
        <w:t xml:space="preserve"> </w:t>
      </w:r>
      <w:r>
        <w:t xml:space="preserve">của Chuyên đề 2.</w:t>
      </w:r>
    </w:p>
    <w:p>
      <w:pPr>
        <w:pStyle w:val="FirstParagraph"/>
      </w:pPr>
      <w:r>
        <w:rPr>
          <w:bCs/>
          <w:b/>
        </w:rPr>
        <w:t xml:space="preserve">Một đóng góp boundary case mở rộng (SIDS Pacific)</w:t>
      </w:r>
      <w:r>
        <w:t xml:space="preserve">:</w:t>
      </w:r>
    </w:p>
    <w:p>
      <w:pPr>
        <w:numPr>
          <w:ilvl w:val="0"/>
          <w:numId w:val="1011"/>
        </w:numPr>
        <w:pStyle w:val="Compact"/>
      </w:pPr>
      <w:r>
        <w:rPr>
          <w:bCs/>
          <w:b/>
        </w:rPr>
        <w:t xml:space="preserve">Trường hợp biên chi phí buộc phải quốc tế hóa (forced internationalization penalty)</w:t>
      </w:r>
      <w:r>
        <w:t xml:space="preserve"> </w:t>
      </w:r>
      <w:r>
        <w:t xml:space="preserve">ở 7 SIDS Thái Bình Dương (Briguglio, 1995; Bertram, 2006) — bằng chứng firm-level đầu tiên trong văn liệu IB. Kiribati 2025 là extreme nhất với FSTS 1,03%, FDI 0,7%, website 18,7%.</w:t>
      </w:r>
    </w:p>
    <w:bookmarkEnd w:id="32"/>
    <w:bookmarkStart w:id="33" w:name="kết-cấu-chuyên-đề"/>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(11 mục §4.1–§4.11); Ch.5 Bảy tiểu cảnh điển hình; Ch.6 Yếu tố giải thích sơ bộ; Ch.7 Khoảng trống thực tiễn và kết luận.</w:t>
      </w:r>
    </w:p>
    <w:p>
      <w:r>
        <w:pict>
          <v:rect style="width:0;height:1.5pt" o:hralign="center" o:hrstd="t" o:hr="t"/>
        </w:pict>
      </w:r>
    </w:p>
    <w:bookmarkEnd w:id="33"/>
    <w:bookmarkEnd w:id="34"/>
    <w:bookmarkStart w:id="42" w:name="X866516db1a9d2fee75f71c44044a74710e224e4"/>
    <w:p>
      <w:pPr>
        <w:pStyle w:val="Heading2"/>
      </w:pPr>
      <w:r>
        <w:t xml:space="preserve">CHƯƠNG 2 — CƠ SỞ LÝ LUẬN VỀ HIỆU QUẢ HOẠT ĐỘNG KINH DOANH</w:t>
      </w:r>
    </w:p>
    <w:bookmarkStart w:id="35" w:name="khái-niệm-hiệu-quả-hoạt-động-kinh-doanh"/>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 doanh thu, lợi nhuận, tỷ suất sinh lợi; và (b)</w:t>
      </w:r>
      <w:r>
        <w:t xml:space="preserve"> </w:t>
      </w:r>
      <w:r>
        <w:rPr>
          <w:bCs/>
          <w:b/>
        </w:rPr>
        <w:t xml:space="preserve">hiệu quả hoạt động rộng hơn</w:t>
      </w:r>
      <w:r>
        <w:t xml:space="preserve"> </w:t>
      </w:r>
      <w:r>
        <w:t xml:space="preserve">(broader organizational effectiveness) —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 LP) —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bốn-chiều-đo-lường-hiệu-quả"/>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 khả năng duy trì hiệu quả trong dài hạn qua đổi mới và nâng cấp công nghệ.</w:t>
      </w:r>
    </w:p>
    <w:bookmarkEnd w:id="36"/>
    <w:bookmarkStart w:id="37" w:name="X8ad5236bf72b29f6383edeb4ee3559473689f28"/>
    <w:p>
      <w:pPr>
        <w:pStyle w:val="Heading3"/>
      </w:pPr>
      <w:r>
        <w:t xml:space="preserve">2.3 Năm meta-analysis lớn về quan hệ quốc tế hóa – hiệu quả (1980–2024)</w:t>
      </w:r>
    </w:p>
    <w:p>
      <w:pPr>
        <w:pStyle w:val="FirstParagraph"/>
      </w:pPr>
      <w:r>
        <w:t xml:space="preserve">Văn liệu về quan hệ quốc tế hóa → hiệu quả (I→P) là một trong những dòng nghiên cứu tích lũy nhiều nhất trong lý thuyết kinh doanh quốc tế (International Business —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 tích cực nhưng nhỏ. Phát hiện chính: đo lường I (internationalization) và đo lường P (performance) rất không đồng nhất giữa các nghiên cứu → làm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 Cohen &amp; Levinthal, 1990), chất lượng CEO, và phát triển thể chế là các moderators quan trọng nhất. Gợi ý: cần đo lường TCI và TMT characteristics —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§7.1 (5 khoảng trống nghiên cứu).</w:t>
      </w:r>
    </w:p>
    <w:bookmarkEnd w:id="37"/>
    <w:bookmarkStart w:id="38" w:name="X39d090d54de09fac059ba2f692ba98c009ba23e"/>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 tạo ra thách thức hài hòa hóa (harmonization) quan trọng:</w:t>
      </w:r>
    </w:p>
    <w:p>
      <w:pPr>
        <w:pStyle w:val="BodyText"/>
      </w:pPr>
      <w:r>
        <w:rPr>
          <w:bCs/>
          <w:b/>
        </w:rPr>
        <w:t xml:space="preserve">Thế hệ 1 — PICS3/MENA-WBES (2009–2012, n=14.171)</w:t>
      </w:r>
      <w:r>
        <w:t xml:space="preserve">: Bảng hỏi PICS3 dùng cho khu vực Đông Nam Á và Trung Á; MENA-WBES cho Trung Đông và Bắc Phi. Câu hỏi xuất khẩu hỏi tổng quát hơn (d3a =</w:t>
      </w:r>
      <w:r>
        <w:t xml:space="preserve"> </w:t>
      </w:r>
      <w:r>
        <w:t xml:space="preserve">“</w:t>
      </w:r>
      <w:r>
        <w:t xml:space="preserve">có xuất khẩu không?</w:t>
      </w:r>
      <w:r>
        <w:t xml:space="preserve">”</w:t>
      </w:r>
      <w:r>
        <w:t xml:space="preserve">; d3b+d3c =</w:t>
      </w:r>
      <w:r>
        <w:t xml:space="preserve"> </w:t>
      </w:r>
      <w:r>
        <w:t xml:space="preserve">“</w:t>
      </w:r>
      <w:r>
        <w:t xml:space="preserve">% doanh thu từ xuất khẩu trực tiếp + gián tiếp</w:t>
      </w:r>
      <w:r>
        <w:t xml:space="preserve">”</w:t>
      </w:r>
      <w:r>
        <w:t xml:space="preserve">). Website được đo qua câu e8.</w:t>
      </w:r>
    </w:p>
    <w:p>
      <w:pPr>
        <w:pStyle w:val="BodyText"/>
      </w:pPr>
      <w:r>
        <w:rPr>
          <w:bCs/>
          <w:b/>
        </w:rPr>
        <w:t xml:space="preserve">Thế hệ 2 —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 BREADY/BEE/EAP Core (2018–2025, n=62.450)</w:t>
      </w:r>
      <w:r>
        <w:t xml:space="preserve">: Schema BREADY (Business Readiness and Enterprise Data) tích hợp e-payment (k33, k38), cloud computing, mobile banking vào các modules bổ sung. Câu hỏi FSTS được viết lại rõ ràng hơn →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12"/>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12"/>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12"/>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12"/>
        </w:numPr>
        <w:pStyle w:val="Compact"/>
      </w:pPr>
      <w:r>
        <w:rPr>
          <w:bCs/>
          <w:b/>
        </w:rPr>
        <w:t xml:space="preserve">Biến DAI (Digital Adoption Index)</w:t>
      </w:r>
      <w:r>
        <w:t xml:space="preserve">: Spec 1 (full coverage 2009–2025): website binary (c22b/e8) —</w:t>
      </w:r>
      <w:r>
        <w:t xml:space="preserve"> </w:t>
      </w:r>
      <w:r>
        <w:rPr>
          <w:bCs/>
          <w:b/>
        </w:rPr>
        <w:t xml:space="preserve">Tier-1 Digital Presence</w:t>
      </w:r>
      <w:r>
        <w:t xml:space="preserve">. Spec 2 (BREADY 2018+ only): z-standardized composite website + e-payment intensity (k33/k38) —</w:t>
      </w:r>
      <w:r>
        <w:t xml:space="preserve"> </w:t>
      </w:r>
      <w:r>
        <w:rPr>
          <w:bCs/>
          <w:b/>
        </w:rPr>
        <w:t xml:space="preserve">Tier-2 Digital Transformation</w:t>
      </w:r>
      <w:r>
        <w:t xml:space="preserve">.</w:t>
      </w:r>
    </w:p>
    <w:p>
      <w:pPr>
        <w:numPr>
          <w:ilvl w:val="0"/>
          <w:numId w:val="1012"/>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w:t>
      </w:r>
      <w:r>
        <w:t xml:space="preserve"> </w:t>
      </w:r>
      <w:r>
        <w:t xml:space="preserve">“</w:t>
      </w:r>
      <w:r>
        <w:t xml:space="preserve">No</w:t>
      </w:r>
      <w:r>
        <w:t xml:space="preserve">”</w:t>
      </w:r>
      <w:r>
        <w:t xml:space="preserve">); gán missing nếu không trả lời. TCI yêu cầu ≥3/4 components. LP gán missing nếu doanh thu hoặc số lao động = 0 hoặc không có. Ngưỡng quan sát tối thiểu: 5 cho mean/median; 30 cho CAGR.</w:t>
      </w:r>
    </w:p>
    <w:bookmarkEnd w:id="38"/>
    <w:bookmarkStart w:id="39" w:name="ba-khung-lý-thuyết-nền"/>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 nhưng cần Tier-2 capability để phát huy đầy đủ.</w:t>
      </w:r>
    </w:p>
    <w:p>
      <w:pPr>
        <w:pStyle w:val="BodyText"/>
      </w:pPr>
      <w:r>
        <w:rPr>
          <w:bCs/>
          <w:b/>
        </w:rPr>
        <w:t xml:space="preserve">Khung 2 —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 Lý thuyết thể chế</w:t>
      </w:r>
      <w:r>
        <w:t xml:space="preserve"> </w:t>
      </w:r>
      <w:r>
        <w:t xml:space="preserve">(Institutional Theory) (North,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 giải thích tại sao Vietnam và China có gap lớn giữa hai tầng này; (c) khung ICRV 6 nhóm trong Chương 3 của chuyên đề là operationalization của Institutional Theory theo hướng này.</w:t>
      </w:r>
    </w:p>
    <w:bookmarkEnd w:id="39"/>
    <w:bookmarkStart w:id="40" w:name="X1a8b5920726a715638e9b692b5093988b2836eb"/>
    <w:p>
      <w:pPr>
        <w:pStyle w:val="Heading3"/>
      </w:pPr>
      <w:r>
        <w:t xml:space="preserve">2.6 Điều kiện biên cho U-curve Lu &amp; Beamish (2004)</w:t>
      </w:r>
    </w:p>
    <w:p>
      <w:pPr>
        <w:pStyle w:val="FirstParagraph"/>
      </w:pPr>
      <w:r>
        <w:rPr>
          <w:bCs/>
          <w:b/>
        </w:rPr>
        <w:t xml:space="preserve">Ba điều kiện cấu trúc bắt buộc cho U-curve vận hành</w:t>
      </w:r>
      <w:r>
        <w:t xml:space="preserve"> </w:t>
      </w:r>
      <w:r>
        <w:t xml:space="preserve">(theoretical foundation cho Chương 4–5 và CĐ2 H6):</w:t>
      </w:r>
    </w:p>
    <w:p>
      <w:pPr>
        <w:numPr>
          <w:ilvl w:val="0"/>
          <w:numId w:val="1013"/>
        </w:numPr>
      </w:pP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w:t>
      </w:r>
      <w:r>
        <w:t xml:space="preserve"> </w:t>
      </w:r>
      <w:r>
        <w:rPr>
          <w:bCs/>
          <w:b/>
        </w:rPr>
        <w:t xml:space="preserve">KHÔNG</w:t>
      </w:r>
      <w:r>
        <w:t xml:space="preserve"> </w:t>
      </w:r>
      <w:r>
        <w:t xml:space="preserve">thỏa ở Kiribati (130.000 dân, GDP per capita ~$1.700).</w:t>
      </w:r>
    </w:p>
    <w:p>
      <w:pPr>
        <w:numPr>
          <w:ilvl w:val="0"/>
          <w:numId w:val="1013"/>
        </w:numPr>
      </w:pPr>
      <w:r>
        <w:rPr>
          <w:bCs/>
          <w:b/>
        </w:rPr>
        <w:t xml:space="preserve">Điều kiện chi phí thương mại kiểm soát được</w:t>
      </w:r>
      <w:r>
        <w:t xml:space="preserve"> </w:t>
      </w:r>
      <w:r>
        <w:t xml:space="preserve">(manageable trade costs): Logistics, vận tải biển/hàng không, regulations xuất nhập khẩu nằm trong khoảng kinh tế. Điều kiện này thỏa ở Châu Á đại lục —</w:t>
      </w:r>
      <w:r>
        <w:t xml:space="preserve"> </w:t>
      </w:r>
      <w:r>
        <w:rPr>
          <w:bCs/>
          <w:b/>
        </w:rPr>
        <w:t xml:space="preserve">KHÔNG</w:t>
      </w:r>
      <w:r>
        <w:t xml:space="preserve"> </w:t>
      </w:r>
      <w:r>
        <w:t xml:space="preserve">thỏa đầy đủ ở SIDS Pacific xa hub thương mại (Fiji–Auckland 2.100 km, Kiribati–Suva 2.700 km).</w:t>
      </w:r>
    </w:p>
    <w:p>
      <w:pPr>
        <w:numPr>
          <w:ilvl w:val="0"/>
          <w:numId w:val="1013"/>
        </w:numPr>
      </w:pPr>
      <w:r>
        <w:rPr>
          <w:bCs/>
          <w:b/>
        </w:rPr>
        <w:t xml:space="preserve">Điều kiện thể chế vận hành</w:t>
      </w:r>
      <w:r>
        <w:t xml:space="preserve"> </w:t>
      </w:r>
      <w:r>
        <w:t xml:space="preserve">(functional institutions): Khung pháp lý, IPR, contract enforcement, banking infrastructure ở mức tối thiểu. Điều kiện này thỏa ở Advanced và Upper-middle —</w:t>
      </w:r>
      <w:r>
        <w:t xml:space="preserve"> </w:t>
      </w:r>
      <w:r>
        <w:rPr>
          <w:bCs/>
          <w:b/>
        </w:rPr>
        <w:t xml:space="preserve">KHÔNG</w:t>
      </w:r>
      <w:r>
        <w:t xml:space="preserve"> </w:t>
      </w:r>
      <w:r>
        <w:t xml:space="preserve">thỏa đầy đủ ở SIDS isolated (Kiribati ISO 1,3%, FDI 0,7%) hay frontier conflict zones; nhóm Emerging có gap de jure–de facto lớn (Xu, 2024).</w:t>
      </w:r>
    </w:p>
    <w:p>
      <w:pPr>
        <w:pStyle w:val="FirstParagraph"/>
      </w:pPr>
      <w:r>
        <w:rPr>
          <w:bCs/>
          <w:b/>
        </w:rPr>
        <w:t xml:space="preserve">Bảng 2.6.1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ICRV phân biệt formal rules vs enforcement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(forced internationalization penalty); Fiji 74,8% website &gt; Singapore 66% là minh chứng</w:t>
            </w:r>
          </w:p>
        </w:tc>
      </w:tr>
    </w:tbl>
    <w:bookmarkEnd w:id="40"/>
    <w:bookmarkStart w:id="41" w:name="khung-4-tier-chuyển-đổi-số-mô-hình-cdcm"/>
    <w:p>
      <w:pPr>
        <w:pStyle w:val="Heading3"/>
      </w:pPr>
      <w:r>
        <w:t xml:space="preserve">2.7 Khung 4-Tier chuyển đổi số +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cơ bản</w:t>
            </w:r>
          </w:p>
        </w:tc>
        <w:tc>
          <w:tcPr/>
          <w:p>
            <w:pPr>
              <w:pStyle w:val="Compact"/>
              <w:jc w:val="left"/>
            </w:pPr>
            <w:r>
              <w:t xml:space="preserve">e-payment (k33, k38)</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 KHÔNG quan sát</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Foundational Digital Adoption (FDA)</w:t>
      </w:r>
      <w:r>
        <w:t xml:space="preserve">.</w:t>
      </w:r>
    </w:p>
    <w:p>
      <w:pPr>
        <w:pStyle w:val="BodyText"/>
      </w:pPr>
      <w:r>
        <w:rPr>
          <w:bCs/>
          <w:b/>
        </w:rPr>
        <w:t xml:space="preserve">Mô hình Năng lực số phụ thuộc bối cảnh (CDCM)</w:t>
      </w:r>
      <w:r>
        <w:t xml:space="preserve"> </w:t>
      </w:r>
      <w:r>
        <w:t xml:space="preserve">— hợp nhất P4 Singapore và P3 Việt Nam:</w:t>
      </w:r>
    </w:p>
    <w:p>
      <w:pPr>
        <w:pStyle w:val="BodyText"/>
      </w:pPr>
      <w:r>
        <w:rPr>
          <w:bCs/>
          <w:b/>
        </w:rPr>
        <w:t xml:space="preserve">(a) Hình dáng đường cong I-P</w:t>
      </w:r>
      <w:r>
        <w:t xml:space="preserve">: Việt Nam → Inverted-U, điểm uốn ≈ 39–46% FSTS; Singapore → tuyến tính dương + bậc hai nhẹ, TP ≈ 82% FSTS.</w:t>
      </w:r>
    </w:p>
    <w:p>
      <w:pPr>
        <w:pStyle w:val="BodyText"/>
      </w:pPr>
      <w:r>
        <w:rPr>
          <w:bCs/>
          <w:b/>
        </w:rPr>
        <w:t xml:space="preserve">(b) Cơ chế DAI</w:t>
      </w:r>
      <w:r>
        <w:t xml:space="preserve">: Việt Nam (Tier 1 = website only) →</w:t>
      </w:r>
      <w:r>
        <w:t xml:space="preserve"> </w:t>
      </w:r>
      <w:r>
        <w:rPr>
          <w:bCs/>
          <w:b/>
        </w:rPr>
        <w:t xml:space="preserve">stage-contingent</w:t>
      </w:r>
      <w:r>
        <w:t xml:space="preserve">: DAI×FSTS tương tác âm ở FSTS cao → Tier 1 trở thành điểm nghẽn. Singapore (Tier 1+2) →</w:t>
      </w:r>
      <w:r>
        <w:t xml:space="preserve"> </w:t>
      </w:r>
      <w:r>
        <w:rPr>
          <w:bCs/>
          <w:b/>
        </w:rPr>
        <w:t xml:space="preserve">conditional scaling</w:t>
      </w:r>
      <w:r>
        <w:t xml:space="preserve">: DAI×FSTS² dương mạnh (β=3,119, p=,005) → Tier 1+2 là đòn bẩy.</w:t>
      </w:r>
    </w:p>
    <w:p>
      <w:pPr>
        <w:pStyle w:val="BodyText"/>
      </w:pPr>
      <w:r>
        <w:rPr>
          <w:bCs/>
          <w:b/>
        </w:rPr>
        <w:t xml:space="preserve">(c) Vai trò TCI</w:t>
      </w:r>
      <w:r>
        <w:t xml:space="preserve">: Việt Nam —</w:t>
      </w:r>
      <w:r>
        <w:t xml:space="preserve"> </w:t>
      </w:r>
      <w:r>
        <w:rPr>
          <w:iCs/>
          <w:i/>
        </w:rPr>
        <w:t xml:space="preserve">scarce advantage</w:t>
      </w:r>
      <w:r>
        <w:t xml:space="preserve"> </w:t>
      </w:r>
      <w:r>
        <w:t xml:space="preserve">(TCIz IV β=1,639, p&lt;,001 robust 2SLS). Singapore —</w:t>
      </w:r>
      <w:r>
        <w:t xml:space="preserve"> </w:t>
      </w:r>
      <w:r>
        <w:rPr>
          <w:iCs/>
          <w:i/>
        </w:rPr>
        <w:t xml:space="preserve">hygiene factor</w:t>
      </w:r>
      <w:r>
        <w:t xml:space="preserve"> </w:t>
      </w:r>
      <w:r>
        <w:t xml:space="preserve">nâng productivity floor nhưng không điều tiết I-P curve.</w:t>
      </w:r>
    </w:p>
    <w:p>
      <w:r>
        <w:pict>
          <v:rect style="width:0;height:1.5pt" o:hralign="center" o:hrstd="t" o:hr="t"/>
        </w:pict>
      </w:r>
    </w:p>
    <w:bookmarkEnd w:id="41"/>
    <w:bookmarkEnd w:id="42"/>
    <w:bookmarkStart w:id="47" w:name="X9a1fae5a01594b67c795a7bab0db57978c24249"/>
    <w:p>
      <w:pPr>
        <w:pStyle w:val="Heading2"/>
      </w:pPr>
      <w:r>
        <w:t xml:space="preserve">CHƯƠNG 3 — KHUNG PHÂN LOẠI 6 PHÂN NHÓM CON ICRV</w:t>
      </w:r>
    </w:p>
    <w:bookmarkStart w:id="43" w:name="lý-do-phân-loại"/>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 nhưng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numPr>
          <w:ilvl w:val="0"/>
          <w:numId w:val="1014"/>
        </w:numPr>
      </w:pPr>
      <w:r>
        <w:rPr>
          <w:bCs/>
          <w:b/>
        </w:rPr>
        <w:t xml:space="preserve">Tính phân biệt</w:t>
      </w:r>
      <w:r>
        <w:t xml:space="preserve"> </w:t>
      </w:r>
      <w:r>
        <w:t xml:space="preserve">(discriminating power): mỗi nhóm phải có mô hình hiệu quả doanh nghiệp khác biệt thực sự — không chỉ khác nhau về mức GDP per capita;</w:t>
      </w:r>
    </w:p>
    <w:p>
      <w:pPr>
        <w:numPr>
          <w:ilvl w:val="0"/>
          <w:numId w:val="1014"/>
        </w:numPr>
      </w:pP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numPr>
          <w:ilvl w:val="0"/>
          <w:numId w:val="1014"/>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14"/>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 +0,50); GNI per capita &gt;$20.000; GDP tăng trưởng dựa trên xuất khẩu tài nguyên thiên nhiên (dầu mỏ, khí đốt, khoáng sản). Bằng chứng WBES: FDI cao hướng khai thác tài nguyên, sd log năng suất thấp (~0,49 — đặc trưng nhà nước tô rentier state).</w:t>
      </w:r>
    </w:p>
    <w:p>
      <w:pPr>
        <w:pStyle w:val="BodyText"/>
      </w:pPr>
      <w:r>
        <w:rPr>
          <w:bCs/>
          <w:b/>
        </w:rPr>
        <w:t xml:space="preserve">Nhóm III — Trung bình cao (Upper-middle)</w:t>
      </w:r>
      <w:r>
        <w:t xml:space="preserve">: WGI Rule of Law 0,00 → +0,80; GNI per capita $5.000–$20.000;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 0,00; GNI per capita $1.000–$5.000; tốc độ tăng trưởng cao nhưng gap de jure–de facto lớn (Xu, 2024); manufacturing FDI-driven dẫn dắt xuất khẩu. WBES pattern: FSTS phân cực cao/thấp trong nội bộ nhóm; FDI thấp nhất (4,7%) — do doanh nghiệp nội địa chi phối sample.</w:t>
      </w:r>
    </w:p>
    <w:p>
      <w:pPr>
        <w:pStyle w:val="BodyText"/>
      </w:pPr>
      <w:r>
        <w:rPr>
          <w:bCs/>
          <w:b/>
        </w:rPr>
        <w:t xml:space="preserve">Nhóm V — Cận biên (Frontier)</w:t>
      </w:r>
      <w:r>
        <w:t xml:space="preserve">: WGI Rule of Law &lt; -0,50; GNI per capita &lt;$1.000 hoặc &lt;$3.000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 do MNE tourism); innovation product cao nhất (41,5% — bricolage); website cao trừ Kiribati (18,7%).</w:t>
      </w:r>
    </w:p>
    <w:bookmarkEnd w:id="44"/>
    <w:bookmarkStart w:id="45" w:name="X0815eccd2c3c87d9b49154526f734fdbd11d504"/>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đặc-điểm-các-nhóm-icrv-bảng-3.2"/>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 VEFR, APJM, JFAR, MIR under review).</w:t>
      </w:r>
    </w:p>
    <w:p>
      <w:r>
        <w:pict>
          <v:rect style="width:0;height:1.5pt" o:hralign="center" o:hrstd="t" o:hr="t"/>
        </w:pict>
      </w:r>
    </w:p>
    <w:bookmarkEnd w:id="46"/>
    <w:bookmarkEnd w:id="47"/>
    <w:bookmarkStart w:id="66" w:name="X475e58e8adc242aba6e37c449e4a4f3ebc78386"/>
    <w:p>
      <w:pPr>
        <w:pStyle w:val="Heading2"/>
      </w:pPr>
      <w:r>
        <w:t xml:space="preserve">CHƯƠNG 4 — THỰC TRẠNG HIỆU QUẢ DOANH NGHIỆP CHÂU Á 2009–2025</w:t>
      </w:r>
    </w:p>
    <w:bookmarkStart w:id="48" w:name="X3f3f719f88bf0ed42bff718572107a40145c645"/>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(gồm Kiribati 2025: +150 doanh nghiệp, +1 cặp QG×năm).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tbl>
      <w:tblPr>
        <w:tblStyle w:val="FigureTable"/>
        <w:tblW w:type="auto" w:w="0"/>
        <w:tblLook w:firstRow="0" w:lastRow="0" w:firstColumn="0" w:lastColumn="0"/>
        <w:jc w:val="center"/>
      </w:tblPr>
      <w:tblGrid>
        <w:gridCol w:w="7920"/>
      </w:tblGrid>
      <w:tr>
        <w:tc>
          <w:tcPr/>
          <w:p>
            <w:pPr>
              <w:pStyle w:val="Compact"/>
              <w:jc w:val="center"/>
            </w:pPr>
            <w:r>
              <w:t xml:space="preserve">Hình 4.1.1 — Phân bố pool 5 phân nhóm con thể chế (n=101.185 doanh nghiệp)</w:t>
            </w:r>
          </w:p>
        </w:tc>
      </w:tr>
    </w:tbl>
    <w:p>
      <w:pPr>
        <w:pStyle w:val="ImageCaption"/>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4.0 — Phân bố mẫu 101.185 doanh nghiệp xuyên 17 năm (2009–2025) theo 3 thế hệ schema WBES</w:t>
            </w:r>
          </w:p>
        </w:tc>
      </w:tr>
    </w:tbl>
    <w:p>
      <w:pPr>
        <w:pStyle w:val="ImageCaption"/>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Phân bố thời gian: 2009–2012 (n=14.171), 2013–2017 (n=24.564), 2018–2025 (n=62.450, chiếm 62%).</w:t>
      </w:r>
      <w:r>
        <w:t xml:space="preserve"> </w:t>
      </w: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winsorize log năng suất ở mức 1/99 phân vị trong cụm quốc gia × năm.</w:t>
      </w:r>
    </w:p>
    <w:bookmarkEnd w:id="48"/>
    <w:bookmarkStart w:id="49" w:name="Xdd19b3ee5869884c11531c8fa1248eb07b4817a"/>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SIDS row gồm Kiribati 2025 (n=150, sd log 1,48).</w:t>
      </w:r>
    </w:p>
    <w:tbl>
      <w:tblPr>
        <w:tblStyle w:val="FigureTable"/>
        <w:tblW w:type="auto" w:w="0"/>
        <w:tblLook w:firstRow="0" w:lastRow="0" w:firstColumn="0" w:lastColumn="0"/>
        <w:jc w:val="center"/>
      </w:tblPr>
      <w:tblGrid>
        <w:gridCol w:w="7920"/>
      </w:tblGrid>
      <w:tr>
        <w:tc>
          <w:tcPr/>
          <w:p>
            <w:pPr>
              <w:pStyle w:val="Compact"/>
              <w:jc w:val="center"/>
            </w:pPr>
            <w:r>
              <w:t xml:space="preserve">Hình 4.2 — Phân phối năng suất theo 6 phân nhóm con (kernel density, n=101.185)</w:t>
            </w:r>
          </w:p>
        </w:tc>
      </w:tr>
    </w:tbl>
    <w:p>
      <w:pPr>
        <w:pStyle w:val="ImageCaption"/>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(4) tỷ số P90/P10 tăng đơn điệu theo phân nhóm con; (5) bằng chứng cho H5 — điều tiết thể chế (institutional moderation).</w:t>
      </w:r>
    </w:p>
    <w:bookmarkEnd w:id="49"/>
    <w:bookmarkStart w:id="50" w:name="Xcc3eee4fbea372afb82cb0ae0b2af37656e40ee"/>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50"/>
    <w:bookmarkStart w:id="53" w:name="X6ea576e0e3fd0e159d48e7775c34a2628d38d6f"/>
    <w:p>
      <w:pPr>
        <w:pStyle w:val="Heading3"/>
      </w:pPr>
      <w:r>
        <w:t xml:space="preserve">4.4 Thực trạng đổi mới sáng tạo và năng lực số</w:t>
      </w:r>
    </w:p>
    <w:bookmarkStart w:id="51" w:name="khung-5-lĩnh-vực-chỉ-số-wbes"/>
    <w:p>
      <w:pPr>
        <w:pStyle w:val="Heading4"/>
      </w:pPr>
      <w:r>
        <w:t xml:space="preserve">4.4.0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 Thuế; (2) Tài chính + Tín dụng; (3) Cơ sở hạ tầng + Khí hậu; (4) Thương mại + Cạnh tranh; (5) Tham nhũng + Phi chính thức.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(h/năm);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§4.5.5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§4.5.5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§4.3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§4.7.5 (NEW)</w:t>
            </w:r>
          </w:p>
        </w:tc>
        <w:tc>
          <w:tcPr/>
          <w:p>
            <w:pPr>
              <w:pStyle w:val="Compact"/>
              <w:jc w:val="left"/>
            </w:pPr>
            <w:r>
              <w:rPr>
                <w:rStyle w:val="VerbatimChar"/>
              </w:rPr>
              <w:t xml:space="preserve">bribery_incidence_pct</w:t>
            </w:r>
          </w:p>
        </w:tc>
      </w:tr>
    </w:tbl>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phân tách rõ TCI so với DAI — kế thừa Đỗ &amp; Phan (2026 — VEFR).</w:t>
      </w:r>
    </w:p>
    <w:bookmarkEnd w:id="51"/>
    <w:bookmarkStart w:id="52" w:name="X608a0fd198531ec0e91f0f135708be02a087161"/>
    <w:p>
      <w:pPr>
        <w:pStyle w:val="Heading4"/>
      </w:pPr>
      <w:r>
        <w:t xml:space="preserve">4.4.5 Tái định hình</w:t>
      </w:r>
      <w:r>
        <w:t xml:space="preserve"> </w:t>
      </w:r>
      <w:r>
        <w:t xml:space="preserve">“</w:t>
      </w:r>
      <w:r>
        <w:t xml:space="preserve">Năng lực số</w:t>
      </w:r>
      <w:r>
        <w:t xml:space="preserve">”</w:t>
      </w:r>
      <w:r>
        <w:t xml:space="preserve"> </w:t>
      </w:r>
      <w:r>
        <w:t xml:space="preserve">— Tier-1 Digital Presence</w:t>
      </w:r>
    </w:p>
    <w:p>
      <w:pPr>
        <w:pStyle w:val="FirstParagraph"/>
      </w:pPr>
      <w:r>
        <w:t xml:space="preserve">Spec 1 (full coverage 2009–2025) dùng biến nhị phân duy nhất (</w:t>
      </w:r>
      <w:r>
        <w:rPr>
          <w:rStyle w:val="VerbatimChar"/>
        </w:rPr>
        <w:t xml:space="preserve">website</w:t>
      </w:r>
      <w:r>
        <w:t xml:space="preserve"> </w:t>
      </w:r>
      <w:r>
        <w:t xml:space="preserve">Y/N).</w:t>
      </w:r>
      <w:r>
        <w:t xml:space="preserve"> </w:t>
      </w:r>
      <w:r>
        <w:rPr>
          <w:bCs/>
          <w:b/>
        </w:rPr>
        <w:t xml:space="preserve">Hậu quả phân tích</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w:t>
      </w:r>
    </w:p>
    <w:p>
      <w:pPr>
        <w:pStyle w:val="BodyText"/>
      </w:pPr>
      <w:r>
        <w:rPr>
          <w:bCs/>
          <w:b/>
        </w:rPr>
        <w:t xml:space="preserve">ICT exclusion test</w:t>
      </w:r>
      <w:r>
        <w:t xml:space="preserve">: Khi loại bỏ ICT firms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discriminate năng suất vì hầu hết đã có website từ lâu. Đổi tên biến Spec 1 từ</w:t>
      </w:r>
      <w:r>
        <w:t xml:space="preserve"> </w:t>
      </w:r>
      <w:r>
        <w:t xml:space="preserve">“</w:t>
      </w:r>
      <w:r>
        <w:t xml:space="preserve">DAI</w:t>
      </w:r>
      <w:r>
        <w:t xml:space="preserve">”</w:t>
      </w:r>
      <w:r>
        <w:t xml:space="preserve"> </w:t>
      </w:r>
      <w:r>
        <w:t xml:space="preserve">sang</w:t>
      </w:r>
      <w:r>
        <w:t xml:space="preserve"> </w:t>
      </w:r>
      <w:r>
        <w:rPr>
          <w:bCs/>
          <w:b/>
        </w:rPr>
        <w:t xml:space="preserve">“</w:t>
      </w:r>
      <w:r>
        <w:rPr>
          <w:bCs/>
          <w:b/>
        </w:rPr>
        <w:t xml:space="preserve">Sự hiện diện số cơ bản (Tier-1 Digital Presence)</w:t>
      </w:r>
      <w:r>
        <w:rPr>
          <w:bCs/>
          <w:b/>
        </w:rPr>
        <w:t xml:space="preserve">”</w:t>
      </w:r>
      <w:r>
        <w:t xml:space="preserve"> </w:t>
      </w:r>
      <w:r>
        <w:t xml:space="preserve">— phạm vi khiêm tốn và chính xác hơn.</w:t>
      </w:r>
    </w:p>
    <w:bookmarkEnd w:id="52"/>
    <w:bookmarkEnd w:id="53"/>
    <w:bookmarkStart w:id="55" w:name="thực-trạng-cấu-trúc-doanh-nghiệp"/>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tourism và viễn thông được dẫn dắt bởi MNE.</w:t>
      </w:r>
    </w:p>
    <w:tbl>
      <w:tblPr>
        <w:tblStyle w:val="FigureTable"/>
        <w:tblW w:type="auto" w:w="0"/>
        <w:tblLook w:firstRow="0" w:lastRow="0" w:firstColumn="0" w:lastColumn="0"/>
        <w:jc w:val="center"/>
      </w:tblPr>
      <w:tblGrid>
        <w:gridCol w:w="7920"/>
      </w:tblGrid>
      <w:tr>
        <w:tc>
          <w:tcPr/>
          <w:p>
            <w:pPr>
              <w:pStyle w:val="Compact"/>
              <w:jc w:val="center"/>
            </w:pPr>
            <w:r>
              <w:t xml:space="preserve">Hình 4.6 — Phân phối quy mô doanh nghiệp theo phân nhóm con (n=101.185)</w:t>
            </w:r>
          </w:p>
        </w:tc>
      </w:tr>
    </w:tbl>
    <w:p>
      <w:pPr>
        <w:pStyle w:val="ImageCaption"/>
      </w:pPr>
      <w:r>
        <w:t xml:space="preserve">Hình 4.6 — Phân phối quy mô doanh nghiệp theo phân nhóm con (n=101.185)</w:t>
      </w:r>
    </w:p>
    <w:p>
      <w:pPr>
        <w:pStyle w:val="BodyText"/>
      </w:pPr>
      <w:r>
        <w:rPr>
          <w:iCs/>
          <w:i/>
        </w:rPr>
        <w:t xml:space="preserve">Hình 4.6. Stacked bar chart: SIDS Pacific có tỷ lệ SME cao nhất (88,5%), Frontier kế tiếp (85,0%), Advanced thấp nhất (79,1%).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54" w:name="X82630701712868d6b2736fccbaf4389d2963e46"/>
    <w:p>
      <w:pPr>
        <w:pStyle w:val="Heading4"/>
      </w:pPr>
      <w:r>
        <w:t xml:space="preserve">4.5.5 Bốn rào cản hàng đầu của khu vực tư nhân Á-Thái</w:t>
      </w:r>
    </w:p>
    <w:p>
      <w:pPr>
        <w:pStyle w:val="FirstParagraph"/>
      </w:pPr>
      <w:r>
        <w:rPr>
          <w:bCs/>
          <w:b/>
        </w:rPr>
        <w:t xml:space="preserve">Bảng 4.5.5</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institutional voids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shadow economy</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operational resources pillar</w:t>
            </w:r>
          </w:p>
        </w:tc>
      </w:tr>
    </w:tbl>
    <w:p>
      <w:pPr>
        <w:pStyle w:val="BodyText"/>
      </w:pPr>
      <w:r>
        <w:rPr>
          <w:bCs/>
          <w:b/>
        </w:rPr>
        <w:t xml:space="preserve">Hàm ý cho CĐ2</w:t>
      </w:r>
      <w:r>
        <w:t xml:space="preserve">: 4 rào cản → 4 control variables mới:</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w:t>
      </w:r>
    </w:p>
    <w:bookmarkEnd w:id="54"/>
    <w:bookmarkEnd w:id="55"/>
    <w:bookmarkStart w:id="56" w:name="bức-tranh-thay-đổi-theo-thời-gian"/>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 phù hợp luận điểm digital leapfrog của Banalieva &amp; Dhanaraj (2019).</w:t>
      </w:r>
    </w:p>
    <w:tbl>
      <w:tblPr>
        <w:tblStyle w:val="FigureTable"/>
        <w:tblW w:type="auto" w:w="0"/>
        <w:tblLook w:firstRow="0" w:lastRow="0" w:firstColumn="0" w:lastColumn="0"/>
        <w:jc w:val="center"/>
      </w:tblPr>
      <w:tblGrid>
        <w:gridCol w:w="7920"/>
      </w:tblGrid>
      <w:tr>
        <w:tc>
          <w:tcPr/>
          <w:p>
            <w:pPr>
              <w:pStyle w:val="Compact"/>
              <w:jc w:val="center"/>
            </w:pPr>
            <w:r>
              <w:t xml:space="preserve">Hình 4.4 — Slope chart 2009–2012 vs 2018–2025 (Δ điểm phần trăm 5 chỉ số)</w:t>
            </w:r>
          </w:p>
        </w:tc>
      </w:tr>
    </w:tbl>
    <w:p>
      <w:pPr>
        <w:pStyle w:val="ImageCaption"/>
      </w:pPr>
      <w:r>
        <w:t xml:space="preserve">Hình 4.4 — Slope chart 2009–2012 vs 2018–2025 (Δ điểm phần trăm 5 chỉ số)</w:t>
      </w:r>
    </w:p>
    <w:p>
      <w:pPr>
        <w:pStyle w:val="BodyText"/>
      </w:pPr>
      <w:r>
        <w:rPr>
          <w:iCs/>
          <w:i/>
        </w:rPr>
        <w:t xml:space="preserve">Hình 4.4. Slope chart minh họa thay đổi 5 chỉ số giữa 2 mốc thời gian cho 4 phân nhóm con. Pattern nổi bật: Website tăng mạnh +20–40 đpt ở Frontier/SIDS; FDI giảm phổ biến;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Hình 4.7 — Spider chart 5 chiều × 2 mốc thời gian (Advanced, Emerging, SIDS)</w:t>
            </w:r>
          </w:p>
        </w:tc>
      </w:tr>
    </w:tbl>
    <w:p>
      <w:pPr>
        <w:pStyle w:val="ImageCaption"/>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56"/>
    <w:bookmarkStart w:id="58" w:name="tổng-hợp-chương-4-10-kết-luận-chính"/>
    <w:p>
      <w:pPr>
        <w:pStyle w:val="Heading3"/>
      </w:pPr>
      <w:r>
        <w:t xml:space="preserve">4.7 Tổng hợp Chương 4 (10 kết luận chính)</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CĐ2.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digital leapfrog (74,8%). Cơ sở cho H6 (forced internationalization penalty).</w:t>
      </w:r>
    </w:p>
    <w:p>
      <w:pPr>
        <w:pStyle w:val="BodyText"/>
      </w:pPr>
      <w:r>
        <w:rPr>
          <w:bCs/>
          <w:b/>
        </w:rPr>
        <w:t xml:space="preserve">(v) Quốc tế hóa là hiện tượng phân cực</w:t>
      </w:r>
      <w:r>
        <w:t xml:space="preserve">: trung vị FSTS = 0%; chỉ 15–23% doanh nghiệp xuất khẩu. Cần lựa chọn hai giai đoạn (2-stage selection) trong CĐ2.</w:t>
      </w:r>
    </w:p>
    <w:p>
      <w:pPr>
        <w:pStyle w:val="BodyText"/>
      </w:pPr>
      <w:r>
        <w:rPr>
          <w:bCs/>
          <w:b/>
        </w:rPr>
        <w:t xml:space="preserve">(vi) Nhảy vọt số (digital leapfrog) 2018–2025</w:t>
      </w:r>
      <w:r>
        <w:t xml:space="preserve"> </w:t>
      </w:r>
      <w:r>
        <w:t xml:space="preserve">ở Frontier/Emerging/SIDS (+20–43 đpt website). Phân biệt</w:t>
      </w:r>
      <w:r>
        <w:t xml:space="preserve"> </w:t>
      </w:r>
      <w:r>
        <w:rPr>
          <w:bCs/>
          <w:b/>
        </w:rPr>
        <w:t xml:space="preserve">Tier-1 Digital Presence</w:t>
      </w:r>
      <w:r>
        <w:t xml:space="preserve"> </w:t>
      </w:r>
      <w:r>
        <w:t xml:space="preserve">(đã bão hòa ở Advanced) vs</w:t>
      </w:r>
      <w:r>
        <w:t xml:space="preserve"> </w:t>
      </w:r>
      <w:r>
        <w:rPr>
          <w:bCs/>
          <w:b/>
        </w:rPr>
        <w:t xml:space="preserve">Tier-2 Digital Transformation</w:t>
      </w:r>
      <w:r>
        <w:t xml:space="preserve"> </w:t>
      </w:r>
      <w:r>
        <w:t xml:space="preserve">(đang phát triển). Hệ số âm DAI Advanced (-0,129) là artifact Tier-1 saturation — xem §4.4.5 ICT exclusion test.</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16.979 doanh nghiệp. IND FSTS sụt 5 đpt (schema effect); Fiji website 74,8% &gt; Singapore 66,1%; Kiribati extreme đối lập Fiji.</w:t>
      </w:r>
    </w:p>
    <w:p>
      <w:pPr>
        <w:pStyle w:val="BodyText"/>
      </w:pPr>
      <w:r>
        <w:rPr>
          <w:bCs/>
          <w:b/>
        </w:rPr>
        <w:t xml:space="preserve">(ix) Khung phân tích cấp ngành (industry-level)</w:t>
      </w:r>
      <w:r>
        <w:t xml:space="preserve">: 9 ngành ISIC Rev. 4; ICT exclusion test; 5 giả thuyết I1-I5.</w:t>
      </w:r>
    </w:p>
    <w:p>
      <w:pPr>
        <w:pStyle w:val="BodyText"/>
      </w:pPr>
      <w:r>
        <w:rPr>
          <w:bCs/>
          <w:b/>
        </w:rPr>
        <w:t xml:space="preserve">(x) Pipeline tái lập được cho 4 thế hệ schema WBES</w:t>
      </w:r>
      <w:r>
        <w:t xml:space="preserve">: Pipeline 5 bước Python; tất cả bảng và hình đều tái tạo được. Gói tái lập mở.</w:t>
      </w:r>
    </w:p>
    <w:bookmarkStart w:id="57" w:name="Xf2df672e01f2d04ad60061850812cf1ebc4fbac"/>
    <w:p>
      <w:pPr>
        <w:pStyle w:val="Heading4"/>
      </w:pPr>
      <w:r>
        <w:t xml:space="preserve">4.7.5 Phân biệt 3 thuật ngữ tham nhũng WBES — Bribery vs Graft</w:t>
      </w:r>
    </w:p>
    <w:p>
      <w:pPr>
        <w:pStyle w:val="FirstParagraph"/>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DN khai báo</w:t>
      </w:r>
      <w:r>
        <w:t xml:space="preserve"> </w:t>
      </w:r>
      <w:r>
        <w:t xml:space="preserve">“</w:t>
      </w:r>
      <w:r>
        <w:t xml:space="preserve">phải hối lộ thanh tra thuế</w:t>
      </w:r>
      <w:r>
        <w:t xml:space="preserve">”</w:t>
      </w:r>
      <w:r>
        <w:t xml:space="preserve"> </w:t>
      </w:r>
      <w:r>
        <w:t xml:space="preserve">có selection bias vì những DN trốn thuế dễ thừa nhận. Loại trừ tax inspection giúp Graft Index phản ánh</w:t>
      </w:r>
      <w:r>
        <w:t xml:space="preserve"> </w:t>
      </w:r>
      <w:r>
        <w:rPr>
          <w:bCs/>
          <w:b/>
        </w:rPr>
        <w:t xml:space="preserve">tham ô hệ thống</w:t>
      </w:r>
      <w:r>
        <w:t xml:space="preserve"> </w:t>
      </w:r>
      <w:r>
        <w:t xml:space="preserve">thay vì hành vi cá biệt.</w:t>
      </w:r>
    </w:p>
    <w:bookmarkEnd w:id="57"/>
    <w:bookmarkEnd w:id="58"/>
    <w:bookmarkStart w:id="59" w:name="khung-phân-tích-cấp-ngành-kế-hoạch-cđ2"/>
    <w:p>
      <w:pPr>
        <w:pStyle w:val="Heading3"/>
      </w:pPr>
      <w:r>
        <w:t xml:space="preserve">4.8 Khung phân tích cấp ngành — kế hoạch CĐ2</w:t>
      </w:r>
    </w:p>
    <w:p>
      <w:pPr>
        <w:pStyle w:val="FirstParagraph"/>
      </w:pPr>
      <w:r>
        <w:rPr>
          <w:bCs/>
          <w:b/>
        </w:rPr>
        <w:t xml:space="preserve">Bảng 4.8.1</w:t>
      </w:r>
      <w:r>
        <w:t xml:space="preserve">.</w:t>
      </w:r>
      <w:r>
        <w:t xml:space="preserve"> </w:t>
      </w:r>
      <w:r>
        <w:rPr>
          <w:iCs/>
          <w:i/>
        </w:rPr>
        <w:t xml:space="preserve">Khung phân loại 9 ngành ISIC Rev. 4 (cập nhật — thêm cột Dynamism profile theo Kafouros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w:t>
            </w:r>
          </w:p>
        </w:tc>
      </w:tr>
      <w:tr>
        <w:tc>
          <w:tcPr/>
          <w:p>
            <w:pPr>
              <w:pStyle w:val="Compact"/>
              <w:jc w:val="left"/>
            </w:pPr>
            <w:r>
              <w:t xml:space="preserve">Manufacturing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High market dynamism</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Low dynamism</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p>
        </w:tc>
      </w:tr>
    </w:tbl>
    <w:p>
      <w:pPr>
        <w:pStyle w:val="BodyText"/>
      </w:pPr>
      <w:r>
        <w:rPr>
          <w:bCs/>
          <w:b/>
        </w:rPr>
        <w:t xml:space="preserve">Lý giải lý thuyết — Kafouros et al. (2023)</w:t>
      </w:r>
      <w:r>
        <w:t xml:space="preserve">: Kafouros và cộng sự (n=12.888 firms · 16 nước CEE · 2004–2011) chứng minh chất lượng thể chế tương tác hai chiều với động học ngành:</w:t>
      </w:r>
      <w:r>
        <w:t xml:space="preserve"> </w:t>
      </w:r>
      <w:r>
        <w:rPr>
          <w:bCs/>
          <w:b/>
        </w:rPr>
        <w:t xml:space="preserve">(H1)</w:t>
      </w:r>
      <w:r>
        <w:t xml:space="preserve"> </w:t>
      </w:r>
      <w:r>
        <w:t xml:space="preserve">ở ngành technological dynamism cao, thể chế tốt khuếch đại hiệu quả;</w:t>
      </w:r>
      <w:r>
        <w:t xml:space="preserve"> </w:t>
      </w:r>
      <w:r>
        <w:rPr>
          <w:bCs/>
          <w:b/>
        </w:rPr>
        <w:t xml:space="preserve">(H2)</w:t>
      </w:r>
      <w:r>
        <w:t xml:space="preserve"> </w:t>
      </w:r>
      <w:r>
        <w:t xml:space="preserve">ở ngành market dynamism cao, thể chế tốt suy yếu (doanh nghiệp phải nội bộ hóa chức năng).</w:t>
      </w:r>
      <w:r>
        <w:t xml:space="preserve"> </w:t>
      </w:r>
      <w:r>
        <w:rPr>
          <w:bCs/>
          <w:b/>
        </w:rPr>
        <w:t xml:space="preserve">CĐ2 cần thêm H7</w:t>
      </w:r>
      <w:r>
        <w:t xml:space="preserve">: tương tác</w:t>
      </w:r>
      <w:r>
        <w:t xml:space="preserve"> </w:t>
      </w:r>
      <w:r>
        <w:rPr>
          <w:rStyle w:val="VerbatimChar"/>
        </w:rPr>
        <w:t xml:space="preserve">tech_dynamism × institutional_quality</w:t>
      </w:r>
      <w:r>
        <w:t xml:space="preserve"> </w:t>
      </w:r>
      <w:r>
        <w:t xml:space="preserve">dương; tương tác</w:t>
      </w:r>
      <w:r>
        <w:t xml:space="preserve"> </w:t>
      </w:r>
      <w:r>
        <w:rPr>
          <w:rStyle w:val="VerbatimChar"/>
        </w:rPr>
        <w:t xml:space="preserve">market_dynamism × institutional_quality</w:t>
      </w:r>
      <w:r>
        <w:t xml:space="preserve"> </w:t>
      </w:r>
      <w:r>
        <w:t xml:space="preserve">âm — replication Kafouros (2023) trong bối cảnh châu Á 41 nước.</w:t>
      </w:r>
    </w:p>
    <w:bookmarkEnd w:id="59"/>
    <w:bookmarkStart w:id="60" w:name="X6137fe898ea43b8b79c4fbf5a7a9f2b335b5fcf"/>
    <w:p>
      <w:pPr>
        <w:pStyle w:val="Heading3"/>
      </w:pPr>
      <w:r>
        <w:t xml:space="preserve">4.9 Phân nhóm con Emerging — phát hiện dị biệt nội bộ</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5 phát hiện: (1) FSTS phân tầng 5,0%–7,2%–13,2% bị che giấu khi gộp; (2) FDI chênh lệch 6× ASEAN-3 vs Nam Á+Tây Á; (3) TCI ngược dấu; (4) Mongolia boundary case; (5) sd log 1,53 vs 1,16 — two-tier (Hsieh &amp; Klenow, 2009).</w:t>
      </w:r>
    </w:p>
    <w:bookmarkEnd w:id="60"/>
    <w:bookmarkStart w:id="61" w:name="phân-tích-sâu-đợt-khảo-sát-2025"/>
    <w:p>
      <w:pPr>
        <w:pStyle w:val="Heading3"/>
      </w:pPr>
      <w:r>
        <w:t xml:space="preserve">4.10 Phân tích sâu đợt khảo sát 2025</w:t>
      </w:r>
    </w:p>
    <w:p>
      <w:pPr>
        <w:pStyle w:val="FirstParagraph"/>
      </w:pPr>
      <w:r>
        <w:rPr>
          <w:bCs/>
          <w:b/>
        </w:rPr>
        <w:t xml:space="preserve">Bảng 4.10</w:t>
      </w:r>
      <w:r>
        <w:t xml:space="preserve">.</w:t>
      </w:r>
      <w:r>
        <w:t xml:space="preserve"> </w:t>
      </w:r>
      <w:r>
        <w:rPr>
          <w:iCs/>
          <w:i/>
        </w:rPr>
        <w:t xml:space="preserve">14 quốc gia trong đợt 2025 (n=16.979 — gồm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bCs/>
          <w:b/>
        </w:rPr>
        <w:t xml:space="preserve">7 phát hiện</w:t>
      </w:r>
      <w:r>
        <w:t xml:space="preserve">: (1) IND FSTS sụt 5 đpt (schema effect); (2) THA</w:t>
      </w:r>
      <w:r>
        <w:t xml:space="preserve"> </w:t>
      </w:r>
      <w:r>
        <w:t xml:space="preserve">“</w:t>
      </w:r>
      <w:r>
        <w:t xml:space="preserve">digital up, exports down</w:t>
      </w:r>
      <w:r>
        <w:t xml:space="preserve">”</w:t>
      </w:r>
      <w:r>
        <w:t xml:space="preserve">; (3) Fiji website 74,8% &gt; Singapore (digital leapfrog); (4) Vùng Vịnh + Brunei resource-driven Advanced confirmed; (5) R&amp;D schema-induced overestimation; (6) 2025 validation sample CĐ2;</w:t>
      </w:r>
      <w:r>
        <w:t xml:space="preserve"> </w:t>
      </w:r>
      <w:r>
        <w:rPr>
          <w:bCs/>
          <w:b/>
        </w:rPr>
        <w:t xml:space="preserve">(7) Kiribati extreme — FSTS 1,03%, FDI 0,7%, website 18,7% — đối lập với Fiji. Dị biệt SIDS</w:t>
      </w:r>
      <w:r>
        <w:rPr>
          <w:bCs/>
          <w:b/>
        </w:rPr>
        <w:t xml:space="preserve"> </w:t>
      </w:r>
      <w:r>
        <w:rPr>
          <w:bCs/>
          <w:b/>
        </w:rPr>
        <w:t xml:space="preserve">“</w:t>
      </w:r>
      <w:r>
        <w:rPr>
          <w:bCs/>
          <w:b/>
        </w:rPr>
        <w:t xml:space="preserve">high-digital</w:t>
      </w:r>
      <w:r>
        <w:rPr>
          <w:bCs/>
          <w:b/>
        </w:rPr>
        <w:t xml:space="preserve">”</w:t>
      </w:r>
      <w:r>
        <w:rPr>
          <w:bCs/>
          <w:b/>
        </w:rPr>
        <w:t xml:space="preserve"> </w:t>
      </w:r>
      <w:r>
        <w:rPr>
          <w:bCs/>
          <w:b/>
        </w:rPr>
        <w:t xml:space="preserve">(FJI, MDV) vs</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 — CĐ2 cần tách 2 phân nhóm con SIDS.</w:t>
      </w:r>
    </w:p>
    <w:bookmarkEnd w:id="61"/>
    <w:bookmarkStart w:id="65" w:name="X064d699a5a1c4a05177a44dfa39cecfdbf09aba"/>
    <w:p>
      <w:pPr>
        <w:pStyle w:val="Heading3"/>
      </w:pPr>
      <w:r>
        <w:t xml:space="preserve">4.11 Cô lập đứt gãy schema BREADY 2025 — 3 đề xuất phương pháp luận</w:t>
      </w:r>
    </w:p>
    <w:p>
      <w:pPr>
        <w:pStyle w:val="FirstParagraph"/>
      </w:pPr>
      <w:r>
        <w:t xml:space="preserve">Đợt 2025 (n=16.979 firms, 16,8% pool) sử dụng schema mới BREADY gây cú sốc phi lý: IND FSTS rơi 7,7%→2,7%, R&amp;D nhiều nước tăng vọt do</w:t>
      </w:r>
      <w:r>
        <w:t xml:space="preserve"> </w:t>
      </w:r>
      <w:r>
        <w:rPr>
          <w:bCs/>
          <w:b/>
        </w:rPr>
        <w:t xml:space="preserve">hiệu ứng bảng hỏi</w:t>
      </w:r>
      <w:r>
        <w:t xml:space="preserve"> </w:t>
      </w:r>
      <w:r>
        <w:t xml:space="preserve">chứ không phải thực tế. Ba đề xuất phương pháp luận:</w:t>
      </w:r>
    </w:p>
    <w:bookmarkStart w:id="62" w:name="đề-xuất-3a-biến-giả-post_bready_2024"/>
    <w:p>
      <w:pPr>
        <w:pStyle w:val="Heading4"/>
      </w:pPr>
      <w:r>
        <w:t xml:space="preserve">4.11.1 Đề xuất 3a — Biến giả</w:t>
      </w:r>
      <w:r>
        <w:t xml:space="preserve"> </w:t>
      </w:r>
      <w:r>
        <w:rPr>
          <w:rStyle w:val="VerbatimChar"/>
        </w:rPr>
        <w:t xml:space="preserve">Post_BREADY_2024</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2025+ (BREADY schema), = 0 cho 2009–2024. Biến giả</w:t>
      </w:r>
      <w:r>
        <w:t xml:space="preserve"> </w:t>
      </w:r>
      <w:r>
        <w:rPr>
          <w:bCs/>
          <w:b/>
        </w:rPr>
        <w:t xml:space="preserve">hấp thụ schema effect tĩnh</w:t>
      </w:r>
      <w:r>
        <w:t xml:space="preserve"> </w:t>
      </w:r>
      <w:r>
        <w:t xml:space="preserve">— lấy out mức trung bình của các thay đổi đo lường giữa 2 thế hệ bảng hỏi. Triển khai trong Spec 1 (full pool) và Spec 2 (2018–2025) cho CĐ2.</w:t>
      </w:r>
    </w:p>
    <w:bookmarkEnd w:id="62"/>
    <w:bookmarkStart w:id="63" w:name="đề-xuất-3b-mô-hình-neo-anchor-model"/>
    <w:p>
      <w:pPr>
        <w:pStyle w:val="Heading4"/>
      </w:pPr>
      <w:r>
        <w:t xml:space="preserve">4.11.2 Đề xuất 3b — Mô hình neo (anchor model)</w:t>
      </w:r>
    </w:p>
    <w:p>
      <w:pPr>
        <w:pStyle w:val="FirstParagraph"/>
      </w:pPr>
      <w:r>
        <w:t xml:space="preserve">Quy trình 3 bước: (i) Chạy hồi quy với data đến 2024 (n≈84.000) → bộ hệ số</w:t>
      </w:r>
      <w:r>
        <w:t xml:space="preserve"> </w:t>
      </w:r>
      <w:r>
        <w:t xml:space="preserve">“</w:t>
      </w:r>
      <w:r>
        <w:t xml:space="preserve">neo</w:t>
      </w:r>
      <w:r>
        <w:t xml:space="preserve">”</w:t>
      </w:r>
      <w:r>
        <w:t xml:space="preserve">; (ii) Khóa hệ số; (iii) Re-run với data đầy đủ 2009–2025, so sánh coefficient stability (Wald test, Chow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r>
        <w:t xml:space="preserve"> </w:t>
      </w:r>
      <w:r>
        <w:rPr>
          <w:bCs/>
          <w:b/>
        </w:rPr>
        <w:t xml:space="preserve">Robustness check thứ 6 cho CĐ2</w:t>
      </w:r>
      <w:r>
        <w:t xml:space="preserve">.</w:t>
      </w:r>
    </w:p>
    <w:bookmarkEnd w:id="63"/>
    <w:bookmarkStart w:id="64" w:name="đề-xuất-3c-panel-hậu-đại-dịch-độc-lập"/>
    <w:p>
      <w:pPr>
        <w:pStyle w:val="Heading4"/>
      </w:pPr>
      <w:r>
        <w:t xml:space="preserve">4.11.3 Đề xuất 3c — Panel hậu đại dịch độc lập</w:t>
      </w:r>
    </w:p>
    <w:p>
      <w:pPr>
        <w:pStyle w:val="FirstParagraph"/>
      </w:pPr>
      <w:r>
        <w:t xml:space="preserve">Tách 2025 thành tập mẫu xác thực cho</w:t>
      </w:r>
      <w:r>
        <w:t xml:space="preserve"> </w:t>
      </w:r>
      <w:r>
        <w:rPr>
          <w:bCs/>
          <w:b/>
        </w:rPr>
        <w:t xml:space="preserve">kỷ nguyên hậu COVID + AI</w:t>
      </w:r>
      <w:r>
        <w:t xml:space="preserve">: Chạy mô hình chính trên 2009–2024 → báo cáo H1-H7 → Test cùng mô hình trên 2025 only như</w:t>
      </w:r>
      <w:r>
        <w:t xml:space="preserve"> </w:t>
      </w:r>
      <w:r>
        <w:rPr>
          <w:bCs/>
          <w:b/>
        </w:rPr>
        <w:t xml:space="preserve">out-of-sample validation panel</w:t>
      </w:r>
      <w:r>
        <w:t xml:space="preserve">. Báo cáo hệ số nào giữ stability (validation passed) vs thay đổi (evidence of paradigm shift hậu COVID + AI).</w:t>
      </w:r>
      <w:r>
        <w:t xml:space="preserve"> </w:t>
      </w:r>
      <w:r>
        <w:rPr>
          <w:bCs/>
          <w:b/>
        </w:rPr>
        <w:t xml:space="preserve">Robustness check thứ 7 cho CĐ2</w:t>
      </w:r>
      <w:r>
        <w:t xml:space="preserve">.</w:t>
      </w:r>
    </w:p>
    <w:p>
      <w:r>
        <w:pict>
          <v:rect style="width:0;height:1.5pt" o:hralign="center" o:hrstd="t" o:hr="t"/>
        </w:pict>
      </w:r>
    </w:p>
    <w:bookmarkEnd w:id="64"/>
    <w:bookmarkEnd w:id="65"/>
    <w:bookmarkEnd w:id="66"/>
    <w:bookmarkStart w:id="75" w:name="chương-5-bảy-tiểu-cảnh-điển-hình"/>
    <w:p>
      <w:pPr>
        <w:pStyle w:val="Heading2"/>
      </w:pPr>
      <w:r>
        <w:t xml:space="preserve">CHƯƠNG 5 — BẢY TIỂU CẢNH ĐIỂN HÌNH</w:t>
      </w:r>
    </w:p>
    <w:bookmarkStart w:id="67" w:name="X3055a7db7274e37a9f2c0231dbf16e1af51dbc7"/>
    <w:p>
      <w:pPr>
        <w:pStyle w:val="Heading3"/>
      </w:pPr>
      <w:r>
        <w:t xml:space="preserve">5.1 Singapore (Advanced đổi mới sáng tạo dẫn dắt —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P4 (Singapore — MIR under review): R² hiệu chỉnh = 0,196; tương tác FSTS² × DAI = 3,119;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LHQ 2024 (GovTech Singapore, 2024). Sáng kiến</w:t>
      </w:r>
      <w:r>
        <w:t xml:space="preserve"> </w:t>
      </w:r>
      <w:r>
        <w:rPr>
          <w:bCs/>
          <w:b/>
        </w:rPr>
        <w:t xml:space="preserve">Smart Nation 2.0</w:t>
      </w:r>
      <w:r>
        <w:t xml:space="preserve"> </w:t>
      </w:r>
      <w:r>
        <w:t xml:space="preserve">(2024) với 3 trụ cột: Tin tưởng — Tăng trưởng — Cộng đồng.</w:t>
      </w:r>
      <w:r>
        <w:t xml:space="preserve"> </w:t>
      </w:r>
      <w:r>
        <w:rPr>
          <w:bCs/>
          <w:b/>
        </w:rPr>
        <w:t xml:space="preserve">SWITCH 2025</w:t>
      </w:r>
      <w:r>
        <w:t xml:space="preserve"> </w:t>
      </w:r>
      <w:r>
        <w:t xml:space="preserve">thu hút kỷ lục 25.000 người tham dự từ &gt;100 quốc gia.</w:t>
      </w:r>
    </w:p>
    <w:p>
      <w:pPr>
        <w:pStyle w:val="BodyText"/>
      </w:pPr>
      <w:r>
        <w:t xml:space="preserve">Hệ sinh thái Singapore vận hành ở</w:t>
      </w:r>
      <w:r>
        <w:t xml:space="preserve"> </w:t>
      </w:r>
      <w:r>
        <w:rPr>
          <w:bCs/>
          <w:b/>
        </w:rPr>
        <w:t xml:space="preserve">Tier 3–4</w:t>
      </w:r>
      <w:r>
        <w:t xml:space="preserve"> </w:t>
      </w:r>
      <w:r>
        <w:t xml:space="preserve">— vượt xa lớp DAI Tier 1–2 đo trong WBES. Đây là lý do</w:t>
      </w:r>
      <w:r>
        <w:t xml:space="preserve"> </w:t>
      </w:r>
      <w:r>
        <w:rPr>
          <w:bCs/>
          <w:b/>
        </w:rPr>
        <w:t xml:space="preserve">Digital Saturation Paradox</w:t>
      </w:r>
      <w:r>
        <w:t xml:space="preserve"> </w:t>
      </w:r>
      <w:r>
        <w:t xml:space="preserve">xuất hiện trong P4: DAI cơ bản đã trở thành hygiene factor, phần bù năng suất chỉ còn đo được ở nhóm xuất khẩu cường độ cao.</w:t>
      </w:r>
    </w:p>
    <w:bookmarkEnd w:id="67"/>
    <w:bookmarkStart w:id="68" w:name="X3d8e62bb8c12f1314bcf822e6abe0e9d84c2bf6"/>
    <w:p>
      <w:pPr>
        <w:pStyle w:val="Heading3"/>
      </w:pPr>
      <w:r>
        <w:t xml:space="preserve">5.2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5 phát hiện: (1)</w:t>
      </w:r>
      <w:r>
        <w:t xml:space="preserve"> </w:t>
      </w:r>
      <w:r>
        <w:rPr>
          <w:bCs/>
          <w:b/>
        </w:rPr>
        <w:t xml:space="preserve">nhà nước tô (rentier state)</w:t>
      </w:r>
      <w:r>
        <w:t xml:space="preserve"> </w:t>
      </w:r>
      <w:r>
        <w:t xml:space="preserve">— Beblawi (1987); Hertog (2010); (2)</w:t>
      </w:r>
      <w:r>
        <w:t xml:space="preserve"> </w:t>
      </w:r>
      <w:r>
        <w:rPr>
          <w:bCs/>
          <w:b/>
        </w:rPr>
        <w:t xml:space="preserve">phân bổ sai nguồn lực đảo chiều</w:t>
      </w:r>
      <w:r>
        <w:t xml:space="preserve"> </w:t>
      </w:r>
      <w:r>
        <w:t xml:space="preserve">so với Hsieh &amp; Klenow (2009); (3) Kuwait Vision 2035 với R&amp;D 20,7%; (4) thiên lệch của DAI đơn thành phần; (5)</w:t>
      </w:r>
      <w:r>
        <w:t xml:space="preserve"> </w:t>
      </w:r>
      <w:r>
        <w:rPr>
          <w:bCs/>
          <w:b/>
        </w:rPr>
        <w:t xml:space="preserve">phân nhóm con Advanced</w:t>
      </w:r>
      <w:r>
        <w:t xml:space="preserve"> </w:t>
      </w:r>
      <w:r>
        <w:t xml:space="preserve">— Varieties of Capitalism (Hall &amp; Soskice, 2001).</w:t>
      </w:r>
      <w:r>
        <w:t xml:space="preserve"> </w:t>
      </w:r>
      <w:r>
        <w:rPr>
          <w:bCs/>
          <w:b/>
        </w:rPr>
        <w:t xml:space="preserve">Bối cảnh 2026</w:t>
      </w:r>
      <w:r>
        <w:t xml:space="preserve">: IMF điều chỉnh giảm tăng trưởng Saudi Arabia từ ~4,5% xuống 3,1% do xung đột Trung Đông.</w:t>
      </w:r>
    </w:p>
    <w:bookmarkEnd w:id="68"/>
    <w:bookmarkStart w:id="69" w:name="Xdb719e3a8e331c4576e009e4801111badf5cb2d"/>
    <w:p>
      <w:pPr>
        <w:pStyle w:val="Heading3"/>
      </w:pPr>
      <w:r>
        <w:t xml:space="preserve">5.3 Việt Nam (n=3.077, 3 đợt khảo sát) — cập nhật ADB Vietnam Outlook 2026</w:t>
      </w:r>
    </w:p>
    <w:p>
      <w:pPr>
        <w:pStyle w:val="FirstParagraph"/>
      </w:pPr>
      <w:r>
        <w:t xml:space="preserve">FSTS 23,2% → 17,9% → 16,1% (suy giảm); doanh nghiệp xuất khẩu 37,1% → 23,8%; ISO 17–23%; R&amp;D 6,1% (2023). Pattern</w:t>
      </w:r>
      <w:r>
        <w:t xml:space="preserve"> </w:t>
      </w:r>
      <w:r>
        <w:rPr>
          <w:bCs/>
          <w:b/>
        </w:rPr>
        <w:t xml:space="preserve">kinh tế hai tầng (two-tier economy)</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FDI commitment $2,4 tỷ / 18 dự án chiến lược; (b) năng suất lao động +5,1% 2026–2027; (c) ADB Policy-Based Loans $2,4B target SME nội địa; (d) GVC re-positioning assembly → mid-stream design/R&amp;D.</w:t>
      </w:r>
    </w:p>
    <w:p>
      <w:pPr>
        <w:pStyle w:val="BodyText"/>
      </w:pPr>
      <w:r>
        <w:rPr>
          <w:bCs/>
          <w:b/>
        </w:rPr>
        <w:t xml:space="preserve">World Bank FCI Snapshot (2025)</w:t>
      </w:r>
      <w:r>
        <w:t xml:space="preserve">: GDP tăng trưởng 7,09% (2024), FDI $20,17 tỷ (4,23% GDP), xuất khẩu máy móc &amp; điện tử 45,8% tổng xuất khẩu, tỷ lệ nữ/nam lao động 88,61% (2023).</w:t>
      </w:r>
    </w:p>
    <w:bookmarkEnd w:id="69"/>
    <w:bookmarkStart w:id="70" w:name="trung-quốc-n4.889"/>
    <w:p>
      <w:pPr>
        <w:pStyle w:val="Heading3"/>
      </w:pPr>
      <w:r>
        <w:t xml:space="preserve">5.4 Trung Quốc (n=4.889)</w:t>
      </w:r>
    </w:p>
    <w:p>
      <w:pPr>
        <w:pStyle w:val="FirstParagraph"/>
      </w:pPr>
      <w:r>
        <w:t xml:space="preserve">FSTS 10,9% → 8,8%; FDI ≥10% chiếm 6,0%. Quan hệ FSTS – năng suất là hàm bậc ba (cubic) với điểm uốn ~47,8% (Đỗ &amp; Phan, 2026 — JFAR).</w:t>
      </w:r>
      <w:r>
        <w:t xml:space="preserve"> </w:t>
      </w:r>
      <w:r>
        <w:rPr>
          <w:bCs/>
          <w:b/>
        </w:rPr>
        <w:t xml:space="preserve">Concentration risk</w:t>
      </w:r>
      <w:r>
        <w:t xml:space="preserve">: Wang, Huang và Hong (2024 — IRFA) phân tích 80% bank risk models ở PRC phụ thuộc dominant tech providers — cảnh báo cho smart manufacturing roadmap.</w:t>
      </w:r>
    </w:p>
    <w:bookmarkEnd w:id="70"/>
    <w:bookmarkStart w:id="71" w:name="X30ca518ab77706152f4ba23a4ee0f00b9b94dba"/>
    <w:p>
      <w:pPr>
        <w:pStyle w:val="Heading3"/>
      </w:pPr>
      <w:r>
        <w:t xml:space="preserve">5.5 Tổng hợp Emerging Asia (n=42.278) — India case</w:t>
      </w:r>
    </w:p>
    <w:p>
      <w:pPr>
        <w:pStyle w:val="FirstParagraph"/>
      </w:pPr>
      <w:r>
        <w:t xml:space="preserve">FSTS 7,6%; FDI ≥10% chiếm 4,4%; tỷ lệ doanh nghiệp R&amp;D dương 16%. Phân tán nội bộ lớn (sd log 2,18) — phản ánh dị biệt rộng xuyên 7 nước.</w:t>
      </w:r>
    </w:p>
    <w:p>
      <w:pPr>
        <w:pStyle w:val="BodyText"/>
      </w:pPr>
      <w:r>
        <w:rPr>
          <w:bCs/>
          <w:b/>
        </w:rPr>
        <w:t xml:space="preserve">Trường hợp Ấn Độ — technology spillovers</w:t>
      </w:r>
      <w:r>
        <w:t xml:space="preserve">: Theo Sikdar &amp; Mukhopadhyay (2026 —</w:t>
      </w:r>
      <w:r>
        <w:t xml:space="preserve"> </w:t>
      </w:r>
      <w:r>
        <w:rPr>
          <w:iCs/>
          <w:i/>
        </w:rPr>
        <w:t xml:space="preserve">Asian Development Review, 43</w:t>
      </w:r>
      <w:r>
        <w:t xml:space="preserve">(1), 37–75), panel 4.293 doanh nghiệp Ấn Độ 2006–2019: FDI là kênh horizontal spillover quan trọng nhất; doanh nghiệp lớn capture spillovers nhiều hơn; FDI tăng từ $1,705M (1990–2000) → $42,396M (2012–2022); R&amp;D stagnant ở 0,7% GDP.</w:t>
      </w:r>
    </w:p>
    <w:bookmarkEnd w:id="71"/>
    <w:bookmarkStart w:id="72" w:name="X1a8508b7e35897cb5781ab9a127d7258df4a6b3"/>
    <w:p>
      <w:pPr>
        <w:pStyle w:val="Heading3"/>
      </w:pPr>
      <w:r>
        <w:t xml:space="preserve">5.6 Mongolia — từ lời nguyền tài nguyên đến critical minerals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critical minerals (Cu, Li, Mo, Mn, Co, Ni, W, REE). Cu exports 1,69 Mt (2024) = 22,1% tổng xuất khẩu. Oyu Tolgoi target 500.000 tấn/năm 2028–2036. PRC processing dominance: 100% graphite, 90% Mn, 70% Co (ADB, 2026, May).</w:t>
      </w:r>
    </w:p>
    <w:tbl>
      <w:tblPr>
        <w:tblStyle w:val="FigureTable"/>
        <w:tblW w:type="auto" w:w="0"/>
        <w:tblLook w:firstRow="0" w:lastRow="0" w:firstColumn="0" w:lastColumn="0"/>
        <w:jc w:val="center"/>
      </w:tblPr>
      <w:tblGrid>
        <w:gridCol w:w="7920"/>
      </w:tblGrid>
      <w:tr>
        <w:tc>
          <w:tcPr/>
          <w:p>
            <w:pPr>
              <w:pStyle w:val="Compact"/>
              <w:jc w:val="center"/>
            </w:pPr>
            <w:r>
              <w:t xml:space="preserve">Hình 5.6.1 — Mongolia: Evolution 2009–2025 (4 đợt khảo sát WBES)</w:t>
            </w:r>
          </w:p>
        </w:tc>
      </w:tr>
    </w:tbl>
    <w:p>
      <w:pPr>
        <w:pStyle w:val="ImageCaption"/>
      </w:pPr>
      <w:r>
        <w:t xml:space="preserve">Hình 5.6.1 — Mongolia: Evolution 2009–2025 (4 đợt khảo sát WBES)</w:t>
      </w:r>
    </w:p>
    <w:bookmarkEnd w:id="72"/>
    <w:bookmarkStart w:id="73" w:name="sids-thái-bình-dương-7-nước-n1.371"/>
    <w:p>
      <w:pPr>
        <w:pStyle w:val="Heading3"/>
      </w:pPr>
      <w:r>
        <w:t xml:space="preserve">5.7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 remittances 25–40% GDP; (3) thanh niên thất nghiệp 15–30%; (4) migration labor PLMS Australia + RSE New Zealand (Vanuatu RSE 15–20% GDP).</w:t>
      </w:r>
      <w:r>
        <w:t xml:space="preserve"> </w:t>
      </w:r>
      <w:r>
        <w:rPr>
          <w:bCs/>
          <w:b/>
        </w:rPr>
        <w:t xml:space="preserve">CĐ2</w:t>
      </w:r>
      <w:r>
        <w:t xml:space="preserve">: 3 control variables PICs-specific:</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73"/>
    <w:bookmarkStart w:id="74" w:name="so-sánh-tổng-hợp"/>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TBD</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t xml:space="preserve">¹ Bao gồm Kiribati 2025.</w:t>
      </w:r>
    </w:p>
    <w:p>
      <w:r>
        <w:pict>
          <v:rect style="width:0;height:1.5pt" o:hralign="center" o:hrstd="t" o:hr="t"/>
        </w:pict>
      </w:r>
    </w:p>
    <w:bookmarkEnd w:id="74"/>
    <w:bookmarkEnd w:id="75"/>
    <w:bookmarkStart w:id="78"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w:t>
      </w:r>
      <w:r>
        <w:t xml:space="preserve"> </w:t>
      </w:r>
      <w:r>
        <w:t xml:space="preserve">Tất cả hệ số có p &lt; 0,01 (kiểm định hai phía). HC1 robust SE.</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Uppsala; (4) TCI dương đồng đều SIDS + Advanced; (5) DAI âm tại Advanced (−0,129) — Digital Saturation Paradox; (6) Đảo dấu cross-regime — thể chế điều tiết chiều hướng cơ chế (Xu, 2024).</w:t>
      </w:r>
    </w:p>
    <w:p>
      <w:pPr>
        <w:pStyle w:val="BodyText"/>
      </w:pPr>
      <w:r>
        <w:rPr>
          <w:bCs/>
          <w:b/>
        </w:rPr>
        <w:t xml:space="preserve">Cảnh báo schema BREADY 2025</w:t>
      </w:r>
      <w:r>
        <w:t xml:space="preserve">: Bảng 6.1 có thể bị nhiễu schema effect — kiểm chứng qua triple-defense §4.11 trước khi suy diễn nhân quả.</w:t>
      </w:r>
    </w:p>
    <w:bookmarkStart w:id="76" w:name="X7a2cacb152e06bbc0cb3173c16d9e101bae83b4"/>
    <w:p>
      <w:pPr>
        <w:pStyle w:val="Heading3"/>
      </w:pPr>
      <w:r>
        <w:t xml:space="preserve">6.1 Pattern giới tính trong quản lý và sở hữu — EAP dẫn đầu toàn cầu</w:t>
      </w:r>
    </w:p>
    <w:p>
      <w:pPr>
        <w:pStyle w:val="FirstParagraph"/>
      </w:pPr>
      <w:r>
        <w:rPr>
          <w:bCs/>
          <w:b/>
        </w:rPr>
        <w:t xml:space="preserve">Bảng 6.1.1</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rentier state (Beblawi, 1987); (c) 43/50 nền kinh tế có tỷ lệ nữ TMT cao hơn nữ sở hữu đa số; (d) Hàm ý H4 CĐ2: β(gender×FSTS) &gt; 0 tại Emerging (kênh quan hệ, Hambrick &amp; Mason, 1984) nhưng không có ý nghĩa thống kê tại Advanced.</w:t>
      </w:r>
    </w:p>
    <w:bookmarkEnd w:id="76"/>
    <w:bookmarkStart w:id="77" w:name="X39e0746c8cf9beaf2baf46ba902d0ca1d6d0f88"/>
    <w:p>
      <w:pPr>
        <w:pStyle w:val="Heading3"/>
      </w:pPr>
      <w:r>
        <w:t xml:space="preserve">6.2 Đường cong U của innovation digital — từ chi phí đầu tư đến productivity payoff</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David (1990) technology lag và Brynjolfsson &amp; McAfee (2014) productivity paradox.</w:t>
      </w:r>
    </w:p>
    <w:p>
      <w:pPr>
        <w:pStyle w:val="BodyText"/>
      </w:pPr>
      <w:r>
        <w:rPr>
          <w:bCs/>
          <w:b/>
        </w:rPr>
        <w:t xml:space="preserve">Giai đoạn 1</w:t>
      </w:r>
      <w:r>
        <w:t xml:space="preserve"> </w:t>
      </w:r>
      <w:r>
        <w:t xml:space="preserve">(năm 1–3): Sụt giảm ngắn hạn do chi phí thiết bị + đào tạo + gián đoạn quy trình. Bằng chứng: DAI = −0,129 tại Advanced — giai đoạn</w:t>
      </w:r>
      <w:r>
        <w:t xml:space="preserve"> </w:t>
      </w:r>
      <w:r>
        <w:t xml:space="preserve">“</w:t>
      </w:r>
      <w:r>
        <w:t xml:space="preserve">digital theatre</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Threshold: ≥ 3% doanh thu/năm × ≥ 3 năm liên tục. Dưới threshold, productivity payoff không bù chi phí cơ hội.</w:t>
      </w:r>
    </w:p>
    <w:p>
      <w:pPr>
        <w:pStyle w:val="BodyText"/>
      </w:pPr>
      <w:r>
        <w:rPr>
          <w:bCs/>
          <w:b/>
        </w:rPr>
        <w:t xml:space="preserve">Giai đoạn 3</w:t>
      </w:r>
      <w:r>
        <w:t xml:space="preserve"> </w:t>
      </w:r>
      <w:r>
        <w:t xml:space="preserve">(năm 5+): Productivity payoff. Bằng chứng: Trung Quốc R&amp;D 39,4% (Tier-2 mature); FSTS²×DAI = +3,119 (p = 0,005) tại Singapore (P4) — DAI khuếch đại I–P tại high-FSTS firms.</w:t>
      </w:r>
    </w:p>
    <w:p>
      <w:pPr>
        <w:pStyle w:val="BodyText"/>
      </w:pPr>
      <w:r>
        <w:rPr>
          <w:bCs/>
          <w:b/>
        </w:rPr>
        <w:t xml:space="preserve">Liên kết CDCM</w:t>
      </w:r>
      <w:r>
        <w:t xml:space="preserve">: Giai đoạn 1 = proxy obsolescence mechanism (DAI Tier-1 bão hòa); Giai đoạn 3 = stage-dependency mechanism (DAI Tier-2 có phần bù có điều kiện). Hai cơ chế bổ sung nhau khi kiểm soát thế hệ digital.</w:t>
      </w:r>
    </w:p>
    <w:p>
      <w:r>
        <w:pict>
          <v:rect style="width:0;height:1.5pt" o:hralign="center" o:hrstd="t" o:hr="t"/>
        </w:pict>
      </w:r>
    </w:p>
    <w:bookmarkEnd w:id="77"/>
    <w:bookmarkEnd w:id="78"/>
    <w:bookmarkStart w:id="88" w:name="X17daa0e29aa21f9f5e68f9f206a3b1f337ad328"/>
    <w:p>
      <w:pPr>
        <w:pStyle w:val="Heading2"/>
      </w:pPr>
      <w:r>
        <w:t xml:space="preserve">CHƯƠNG 7 — KHOẢNG TRỐNG THỰC TIỄN VÀ KẾT LUẬN</w:t>
      </w:r>
    </w:p>
    <w:bookmarkStart w:id="79" w:name="khoảng-trống-nghiên-cứu-thực-tiễn"/>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 Phân nhóm con Advanced: innovation-driven vs resource-driven chưa được hệ thống hóa</w:t>
      </w:r>
      <w:r>
        <w:t xml:space="preserve">: Nghiên cứu hiện hành (Bausch &amp; Krist, 2007; Kirca et al., 2012) gộp tất cả OECD vào</w:t>
      </w:r>
      <w:r>
        <w:t xml:space="preserve"> </w:t>
      </w:r>
      <w:r>
        <w:t xml:space="preserve">“</w:t>
      </w:r>
      <w:r>
        <w:t xml:space="preserve">developed</w:t>
      </w:r>
      <w:r>
        <w:t xml:space="preserve">”</w:t>
      </w:r>
      <w:r>
        <w:t xml:space="preserve">. Bằng chứng Singapore vs Saudi/Qatar/Kuwait cho thấy hai sub-group có pattern hoàn toàn khác nhau.</w:t>
      </w:r>
    </w:p>
    <w:p>
      <w:pPr>
        <w:pStyle w:val="BodyText"/>
      </w:pPr>
      <w:r>
        <w:rPr>
          <w:bCs/>
          <w:b/>
        </w:rPr>
        <w:t xml:space="preserve">KT3 —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79"/>
    <w:bookmarkStart w:id="80" w:name="kết-luận-chính"/>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w:t>
      </w:r>
      <w:r>
        <w:t xml:space="preserve">— TCI là level-shifter phổ quát, DAI là context-contingent amplifier: TCI dương ở mọi nhóm; DAI đổi dấu theo ICRV regime — đây là nội hàm cốt lõi của CDCM.</w:t>
      </w:r>
    </w:p>
    <w:p>
      <w:pPr>
        <w:pStyle w:val="BodyText"/>
      </w:pPr>
      <w:r>
        <w:rPr>
          <w:bCs/>
          <w:b/>
        </w:rPr>
        <w:t xml:space="preserve">KL3</w:t>
      </w:r>
      <w:r>
        <w:t xml:space="preserve"> </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w:t>
      </w:r>
      <w:r>
        <w:t xml:space="preserve">— Phân nhóm con Advanced là cần thiết cho phân tích IB châu Á: Singapore và Saudi/Qatar/Kuwait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80"/>
    <w:bookmarkStart w:id="85" w:name="X0780d960af42aae7a9d5d744a1240890dcd90ff"/>
    <w:p>
      <w:pPr>
        <w:pStyle w:val="Heading3"/>
      </w:pPr>
      <w:r>
        <w:t xml:space="preserve">7.3 Hàm ý cho luận án, chính sách và Chuyên đề 2</w:t>
      </w:r>
    </w:p>
    <w:bookmarkStart w:id="81" w:name="hàm-ý-lý-thuyết"/>
    <w:p>
      <w:pPr>
        <w:pStyle w:val="Heading4"/>
      </w:pPr>
      <w:r>
        <w:t xml:space="preserve">7.3.1 Hàm ý lý thuyết</w:t>
      </w:r>
    </w:p>
    <w:p>
      <w:pPr>
        <w:pStyle w:val="FirstParagraph"/>
      </w:pPr>
      <w:r>
        <w:rPr>
          <w:bCs/>
          <w:b/>
        </w:rPr>
        <w:t xml:space="preserve">(1) Uppsala có điều kiện —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 advance so với</w:t>
      </w:r>
      <w:r>
        <w:t xml:space="preserve"> </w:t>
      </w:r>
      <w:r>
        <w:t xml:space="preserve">“</w:t>
      </w:r>
      <w:r>
        <w:t xml:space="preserve">digital premium</w:t>
      </w:r>
      <w:r>
        <w:t xml:space="preserve">”</w:t>
      </w:r>
      <w:r>
        <w:t xml:space="preserve"> </w:t>
      </w:r>
      <w:r>
        <w:t xml:space="preserve">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81"/>
    <w:bookmarkStart w:id="82" w:name="hàm-ý-phương-pháp-luận"/>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 (3a) Post_BREADY_2024 dummy, (3b) anchor model stability test, (3c) independent post-pandemic panel —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82"/>
    <w:bookmarkStart w:id="83" w:name="Xb96aebe161983f7eb681db97895f4deb1f50458"/>
    <w:p>
      <w:pPr>
        <w:pStyle w:val="Heading4"/>
      </w:pPr>
      <w:r>
        <w:t xml:space="preserve">7.3.3 Hàm ý chính sách cho doanh nghiệp Việt Nam và khu vực châu Á</w:t>
      </w:r>
    </w:p>
    <w:p>
      <w:pPr>
        <w:pStyle w:val="FirstParagraph"/>
      </w:pPr>
      <w:r>
        <w:rPr>
          <w:bCs/>
          <w:b/>
        </w:rPr>
        <w:t xml:space="preserve">(1) Capability-first sequencing —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 mid-stream design/R&amp;D</w:t>
      </w:r>
      <w:r>
        <w:t xml:space="preserve">: Việt Nam ở turning point (TP 39–46%). Trung Quốc R&amp;D 39,4% và TP cao hơn (47–49%) cho thấy: TCI cao → TP cao →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 context khác biệt quá lớn).</w:t>
      </w:r>
    </w:p>
    <w:p>
      <w:pPr>
        <w:pStyle w:val="BodyText"/>
      </w:pPr>
      <w:r>
        <w:rPr>
          <w:bCs/>
          <w:b/>
        </w:rPr>
        <w:t xml:space="preserve">(6) Chính sách số hóa phân cấp theo vùng và quy mô</w:t>
      </w:r>
      <w:r>
        <w:t xml:space="preserve">: DAI effect phụ thuộc context — đầu tư website khác nhau tại TP.HCM (Tier-1.5) vs nông thôn đồng bằng sông Cửu Long (Tier-1 chưa bão hòa).</w:t>
      </w:r>
    </w:p>
    <w:p>
      <w:pPr>
        <w:pStyle w:val="BodyText"/>
      </w:pPr>
      <w:r>
        <w:rPr>
          <w:bCs/>
          <w:b/>
        </w:rPr>
        <w:t xml:space="preserve">(7) Migration labor partnership Pacific cho Việt Nam — bài học PLMS/RSE</w:t>
      </w:r>
    </w:p>
    <w:p>
      <w:pPr>
        <w:numPr>
          <w:ilvl w:val="0"/>
          <w:numId w:val="1015"/>
        </w:numPr>
        <w:pStyle w:val="Compact"/>
      </w:pPr>
      <w:r>
        <w:rPr>
          <w:bCs/>
          <w:b/>
        </w:rPr>
        <w:t xml:space="preserve">PLMS Australia</w:t>
      </w:r>
      <w:r>
        <w:t xml:space="preserve">: Học mô hình 30.000 lao động PICs/năm → triển khai Vietnamese Skilled Worker Mobility Scheme (nông nghiệp công nghệ cao + aged-care);</w:t>
      </w:r>
    </w:p>
    <w:p>
      <w:pPr>
        <w:numPr>
          <w:ilvl w:val="0"/>
          <w:numId w:val="1015"/>
        </w:numPr>
        <w:pStyle w:val="Compact"/>
      </w:pPr>
      <w:r>
        <w:rPr>
          <w:bCs/>
          <w:b/>
        </w:rPr>
        <w:t xml:space="preserve">RSE New Zealand</w:t>
      </w:r>
      <w:r>
        <w:t xml:space="preserve">: Aquaculture + Coffee + Cashew Skills Exchange — tận dụng chuyên môn đặc thù Việt Nam;</w:t>
      </w:r>
    </w:p>
    <w:p>
      <w:pPr>
        <w:numPr>
          <w:ilvl w:val="0"/>
          <w:numId w:val="1015"/>
        </w:numPr>
        <w:pStyle w:val="Compact"/>
      </w:pPr>
      <w:r>
        <w:rPr>
          <w:bCs/>
          <w:b/>
        </w:rPr>
        <w:t xml:space="preserve">Remittance corridor digital</w:t>
      </w:r>
      <w:r>
        <w:t xml:space="preserve">: Hợp tác Wise/MoMo giảm phí từ ~7% xuống &lt; 3%;</w:t>
      </w:r>
    </w:p>
    <w:p>
      <w:pPr>
        <w:numPr>
          <w:ilvl w:val="0"/>
          <w:numId w:val="1015"/>
        </w:numPr>
        <w:pStyle w:val="Compact"/>
      </w:pPr>
      <w:r>
        <w:rPr>
          <w:bCs/>
          <w:b/>
        </w:rPr>
        <w:t xml:space="preserve">Skills upgrading theo Korea EPS</w:t>
      </w:r>
      <w:r>
        <w:t xml:space="preserve">: Đào tạo kỹ năng trước khi xuất khẩu lao động + return migration channel.</w:t>
      </w:r>
    </w:p>
    <w:p>
      <w:pPr>
        <w:pStyle w:val="FirstParagraph"/>
      </w:pPr>
      <w:r>
        <w:rPr>
          <w:bCs/>
          <w:b/>
        </w:rPr>
        <w:t xml:space="preserve">(8) Chính sách số hóa Asia cho SME Việt Nam — 4 lộ trình tham khảo</w:t>
      </w:r>
    </w:p>
    <w:p>
      <w:pPr>
        <w:numPr>
          <w:ilvl w:val="0"/>
          <w:numId w:val="1016"/>
        </w:numPr>
        <w:pStyle w:val="Compact"/>
      </w:pPr>
      <w:r>
        <w:t xml:space="preserve">Singapore/Hàn Quốc AI full-stack (Tier-3) — không phù hợp để copy trực tiếp;</w:t>
      </w:r>
    </w:p>
    <w:p>
      <w:pPr>
        <w:numPr>
          <w:ilvl w:val="0"/>
          <w:numId w:val="1016"/>
        </w:numPr>
        <w:pStyle w:val="Compact"/>
      </w:pPr>
      <w:r>
        <w:t xml:space="preserve">Nhật Bản 60% DN AI back-office (Tier-2) —</w:t>
      </w:r>
      <w:r>
        <w:t xml:space="preserve"> </w:t>
      </w:r>
      <w:r>
        <w:rPr>
          <w:bCs/>
          <w:b/>
        </w:rPr>
        <w:t xml:space="preserve">realistic target 2026–2030</w:t>
      </w:r>
      <w:r>
        <w:t xml:space="preserve">;</w:t>
      </w:r>
    </w:p>
    <w:p>
      <w:pPr>
        <w:numPr>
          <w:ilvl w:val="0"/>
          <w:numId w:val="1016"/>
        </w:numPr>
        <w:pStyle w:val="Compact"/>
      </w:pPr>
      <w:r>
        <w:t xml:space="preserve">Trung Quốc smart manufacturing (Tier-2/3) — học positive, tránh concentration risk (Wang/Huang/Hong, 2024);</w:t>
      </w:r>
    </w:p>
    <w:p>
      <w:pPr>
        <w:numPr>
          <w:ilvl w:val="0"/>
          <w:numId w:val="1016"/>
        </w:numPr>
        <w:pStyle w:val="Compact"/>
      </w:pPr>
      <w:r>
        <w:rPr>
          <w:bCs/>
          <w:b/>
        </w:rPr>
        <w:t xml:space="preserve">Mô hình ưu tiên Việt Nam Tier-1.5</w:t>
      </w:r>
      <w:r>
        <w:t xml:space="preserve">: VietQR (100% miễn phí) → Social commerce → Cross-border Shopee/Amazon →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83"/>
    <w:bookmarkStart w:id="84" w:name="Xaf7a1a4d61b7551359a17cbf57b1812200bc6d5"/>
    <w:p>
      <w:pPr>
        <w:pStyle w:val="Heading4"/>
      </w:pPr>
      <w:r>
        <w:t xml:space="preserve">7.3.4 Hàm ý cho Chuyên đề 2 — 8 robustness checks bắt buộc</w:t>
      </w:r>
    </w:p>
    <w:p>
      <w:pPr>
        <w:pStyle w:val="FirstParagraph"/>
      </w:pPr>
      <w:r>
        <w:rPr>
          <w:bCs/>
          <w:b/>
        </w:rPr>
        <w:t xml:space="preserve">(1) Thay DV</w:t>
      </w:r>
      <w:r>
        <w:t xml:space="preserve">: ln(LP) →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§4.11 — điều kiện tiên quyết trước khi báo cáo BREADY 2025 như bằng chứng nhân quả.</w:t>
      </w:r>
    </w:p>
    <w:bookmarkEnd w:id="84"/>
    <w:bookmarkEnd w:id="85"/>
    <w:bookmarkStart w:id="86" w:name="hạn-chế-của-chuyên-đề"/>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w:t>
      </w:r>
      <w:r>
        <w:t xml:space="preserve"> </w:t>
      </w:r>
      <w:r>
        <w:t xml:space="preserve">“</w:t>
      </w:r>
      <w:r>
        <w:t xml:space="preserve">post-pandemic + digital acceleration combined</w:t>
      </w:r>
      <w:r>
        <w:t xml:space="preserve">”</w:t>
      </w:r>
      <w:r>
        <w:t xml:space="preserve">.</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86"/>
    <w:bookmarkStart w:id="87" w:name="kế-hoạch-hoàn-thiện"/>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 Tháng 7/2026</w:t>
      </w:r>
      <w:r>
        <w:t xml:space="preserve">: Nộp P3 (APJM) và P4 (MIR). Chuẩn bị dữ liệu WBES cho CĐ2 (101.185 obs, 47 nền kinh tế, 3 thế hệ schema harmonized). Phác thảo M0–M7 specification CĐ2.</w:t>
      </w:r>
    </w:p>
    <w:p>
      <w:pPr>
        <w:pStyle w:val="BodyText"/>
      </w:pPr>
      <w:r>
        <w:rPr>
          <w:bCs/>
          <w:b/>
        </w:rPr>
        <w:t xml:space="preserve">Giai đoạn 3 —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87"/>
    <w:bookmarkEnd w:id="88"/>
    <w:bookmarkStart w:id="89"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Asia Pacific Journal of Management</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9"/>
    <w:bookmarkStart w:id="92" w:name="phụ-lục"/>
    <w:p>
      <w:pPr>
        <w:pStyle w:val="Heading2"/>
      </w:pPr>
      <w:r>
        <w:t xml:space="preserve">PHỤ LỤC</w:t>
      </w:r>
    </w:p>
    <w:bookmarkStart w:id="90"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(§4.11) đảm bảo kết quả từ BREADY 2025 không bị nhiễu schema effect.</w:t>
      </w:r>
    </w:p>
    <w:bookmarkEnd w:id="90"/>
    <w:bookmarkStart w:id="91" w:name="phụ-lục-bg"/>
    <w:p>
      <w:pPr>
        <w:pStyle w:val="Heading3"/>
      </w:pPr>
      <w:r>
        <w:t xml:space="preserve">Phụ lục B–G</w:t>
      </w:r>
    </w:p>
    <w:p>
      <w:pPr>
        <w:pStyle w:val="FirstParagraph"/>
      </w:pPr>
      <w:r>
        <w:t xml:space="preserve">Sẽ mở rộng trong giai đoạn hoàn thiện tháng 6–8/2026:</w:t>
      </w:r>
      <w:r>
        <w:t xml:space="preserve"> </w:t>
      </w:r>
      <w:r>
        <w:t xml:space="preserve">- B: Quy trình harmonization ba thế hệ schema chi tiết</w:t>
      </w:r>
      <w:r>
        <w:t xml:space="preserve"> </w:t>
      </w:r>
      <w:r>
        <w:t xml:space="preserve">- C: Bảng phân loại 47 nước vào ICRV 6 nhóm (đầy đủ)</w:t>
      </w:r>
      <w:r>
        <w:t xml:space="preserve"> </w:t>
      </w:r>
      <w:r>
        <w:t xml:space="preserve">- D: Kết quả M0–M7 đầy đủ (khi phân tích hoàn tất)</w:t>
      </w:r>
      <w:r>
        <w:t xml:space="preserve"> </w:t>
      </w:r>
      <w:r>
        <w:t xml:space="preserve">- E: Kiểm định robustness 8 loại (kết quả chi tiết)</w:t>
      </w:r>
      <w:r>
        <w:t xml:space="preserve"> </w:t>
      </w:r>
      <w:r>
        <w:t xml:space="preserve">- F: PRISMA-style literature search protocol</w:t>
      </w:r>
      <w:r>
        <w:t xml:space="preserve"> </w:t>
      </w:r>
      <w:r>
        <w:t xml:space="preserve">- 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2026-05-12T07:19:53Z</dcterms:created>
  <dcterms:modified xsi:type="dcterms:W3CDTF">2026-05-12T07:19:53Z</dcterms:modified>
</cp:coreProperties>
</file>

<file path=docProps/custom.xml><?xml version="1.0" encoding="utf-8"?>
<Properties xmlns="http://schemas.openxmlformats.org/officeDocument/2006/custom-properties" xmlns:vt="http://schemas.openxmlformats.org/officeDocument/2006/docPropsVTypes"/>
</file>