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8.png" ContentType="image/png"/>
  <Override PartName="/word/media/rId5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71f68986ebdedfa6a7fda36701097f5cdd5e3a2"/>
    <w:p>
      <w:pPr>
        <w:pStyle w:val="Heading1"/>
      </w:pPr>
      <w:r>
        <w:t xml:space="preserve">Institutional Context, Digital Adoption, and the Internationalization–Performance Relationship: A Three-Level Meta-Analysis</w:t>
      </w:r>
    </w:p>
    <w:p>
      <w:pPr>
        <w:pStyle w:val="FirstParagraph"/>
      </w:pPr>
      <w:r>
        <w:rPr>
          <w:bCs/>
          <w:b/>
        </w:rPr>
        <w:t xml:space="preserve">Đỗ Thị Thúy Hương</w:t>
      </w:r>
      <w:r>
        <w:t xml:space="preserve"> </w:t>
      </w:r>
      <w:r>
        <w:t xml:space="preserve">· Can Tho University / Huong Do Thi Thuy</w:t>
      </w:r>
      <w:r>
        <w:t xml:space="preserve"> </w:t>
      </w:r>
      <w:r>
        <w:rPr>
          <w:bCs/>
          <w:b/>
        </w:rPr>
        <w:t xml:space="preserve">Phan Anh Tú</w:t>
      </w:r>
      <w:r>
        <w:t xml:space="preserve"> </w:t>
      </w:r>
      <w:r>
        <w:t xml:space="preserve">· Can Tho University</w:t>
      </w:r>
    </w:p>
    <w:p>
      <w:pPr>
        <w:pStyle w:val="BodyText"/>
      </w:pPr>
      <w:r>
        <w:rPr>
          <w:iCs/>
          <w:i/>
        </w:rPr>
        <w:t xml:space="preserve">Manuscript prepared for: International Business Review (IBR, Elsevier, IF ≈ 5.5, ABS-3)</w:t>
      </w:r>
      <w:r>
        <w:t xml:space="preserve"> </w:t>
      </w:r>
      <w:r>
        <w:rPr>
          <w:iCs/>
          <w:i/>
        </w:rPr>
        <w:t xml:space="preserve">Version 1.0 —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 (MARA) examining whether country-level digital adoption (cDAI), institutional context regime (ICRV), and Digital Paradox Lifecycle (DPL) phase moderate the internationalization–performance (I→P) relationship — three theoretically motivated moderators that prior meta-analyses have not examined.</w:t>
      </w:r>
      <w:r>
        <w:t xml:space="preserve"> </w:t>
      </w:r>
      <w:r>
        <w:rPr>
          <w:bCs/>
          <w:b/>
        </w:rPr>
        <w:t xml:space="preserve">Design/methodology/approach:</w:t>
      </w:r>
      <w:r>
        <w:t xml:space="preserve"> </w:t>
      </w:r>
      <w:r>
        <w:t xml:space="preserve">A systematic search following PRISMA 2020 protocols on Web of Science and Scopus (1977–2026) identifies</w:t>
      </w:r>
      <w:r>
        <w:t xml:space="preserve"> </w:t>
      </w:r>
      <w:r>
        <w:rPr>
          <w:iCs/>
          <w:i/>
        </w:rPr>
        <w:t xml:space="preserve">k</w:t>
      </w:r>
      <w:r>
        <w:t xml:space="preserve"> </w:t>
      </w:r>
      <w:r>
        <w:t xml:space="preserve">= 238 studies with</w:t>
      </w:r>
      <w:r>
        <w:t xml:space="preserve"> </w:t>
      </w:r>
      <w:r>
        <w:rPr>
          <w:iCs/>
          <w:i/>
        </w:rPr>
        <w:t xml:space="preserve">K</w:t>
      </w:r>
      <w:r>
        <w:t xml:space="preserve"> </w:t>
      </w:r>
      <w:r>
        <w:t xml:space="preserve">= 288 effect sizes. Three-level MARA (Cheung, 2014; Van den Noortgate et al., 2013) decomposes heterogeneity into within-study (</w:t>
      </w:r>
      <w:r>
        <w:rPr>
          <w:iCs/>
          <w:i/>
        </w:rPr>
        <w:t xml:space="preserve">Level 2</w:t>
      </w:r>
      <w:r>
        <w:t xml:space="preserve">) and between-study (</w:t>
      </w:r>
      <w:r>
        <w:rPr>
          <w:iCs/>
          <w:i/>
        </w:rPr>
        <w:t xml:space="preserve">Level 3</w:t>
      </w:r>
      <w:r>
        <w:t xml:space="preserve">) components using</w:t>
      </w:r>
      <w:r>
        <w:t xml:space="preserve"> </w:t>
      </w:r>
      <w:r>
        <w:rPr>
          <w:rStyle w:val="VerbatimChar"/>
        </w:rPr>
        <w:t xml:space="preserve">metafor</w:t>
      </w:r>
      <w:r>
        <w:t xml:space="preserve"> </w:t>
      </w:r>
      <w:r>
        <w:t xml:space="preserve">in R. Pre-registration on OSF precedes effect-size extraction; inter-coder reliability κ ≥ 0.70 on 20% 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.001) with</w:t>
      </w:r>
      <w:r>
        <w:t xml:space="preserve"> </w:t>
      </w:r>
      <w:r>
        <w:rPr>
          <w:iCs/>
          <w:i/>
        </w:rPr>
        <w:t xml:space="preserve">I</w:t>
      </w:r>
      <w:r>
        <w:t xml:space="preserve">² = 62.4% (within-study 54.1%; between-study 8.4%), replicating and extending the ICBEF 2025 baseline (</w:t>
      </w:r>
      <w:r>
        <w:rPr>
          <w:iCs/>
          <w:i/>
        </w:rPr>
        <w:t xml:space="preserve">r</w:t>
      </w:r>
      <w:r>
        <w:t xml:space="preserve"> </w:t>
      </w:r>
      <w:r>
        <w:t xml:space="preserve">= 0.07,</w:t>
      </w:r>
      <w:r>
        <w:t xml:space="preserve"> </w:t>
      </w:r>
      <w:r>
        <w:rPr>
          <w:iCs/>
          <w:i/>
        </w:rPr>
        <w:t xml:space="preserve">k</w:t>
      </w:r>
      <w:r>
        <w:t xml:space="preserve"> </w:t>
      </w:r>
      <w:r>
        <w:t xml:space="preserve">= 113). The three hypothesized moderators show limited support: ICRV regime differences are 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pairwise differences reflect single-country vs. multi-country study composition rather than a monotone institutional gradient; cDAI and DPL phase moderation are not statistically significant (</w:t>
      </w:r>
      <w:r>
        <w:rPr>
          <w:iCs/>
          <w:i/>
        </w:rPr>
        <w:t xml:space="preserve">Q</w:t>
      </w:r>
      <w:r>
        <w:t xml:space="preserve">_M = 1.23,</w:t>
      </w:r>
      <w:r>
        <w:t xml:space="preserve"> </w:t>
      </w:r>
      <w:r>
        <w:rPr>
          <w:iCs/>
          <w:i/>
        </w:rPr>
        <w:t xml:space="preserve">p</w:t>
      </w:r>
      <w:r>
        <w:t xml:space="preserve"> </w:t>
      </w:r>
      <w:r>
        <w:t xml:space="preserve">= .541 and</w:t>
      </w:r>
      <w:r>
        <w:t xml:space="preserve"> </w:t>
      </w:r>
      <w:r>
        <w:rPr>
          <w:iCs/>
          <w:i/>
        </w:rPr>
        <w:t xml:space="preserve">Q</w:t>
      </w:r>
      <w:r>
        <w:t xml:space="preserve">_M = 0.56,</w:t>
      </w:r>
      <w:r>
        <w:t xml:space="preserve"> </w:t>
      </w:r>
      <w:r>
        <w:rPr>
          <w:iCs/>
          <w:i/>
        </w:rPr>
        <w:t xml:space="preserve">p</w:t>
      </w:r>
      <w:r>
        <w:t xml:space="preserve"> </w:t>
      </w:r>
      <w:r>
        <w:t xml:space="preserve">= .755, respectively) in the current</w:t>
      </w:r>
      <w:r>
        <w:t xml:space="preserve"> </w:t>
      </w:r>
      <w:r>
        <w:rPr>
          <w:iCs/>
          <w:i/>
        </w:rPr>
        <w:t xml:space="preserve">k</w:t>
      </w:r>
      <w:r>
        <w:t xml:space="preserve"> </w:t>
      </w:r>
      <w:r>
        <w:t xml:space="preserve">= 238 sample. Substantial publication bias is detected: trim-and-fill imputes</w:t>
      </w:r>
      <w:r>
        <w:t xml:space="preserve"> </w:t>
      </w:r>
      <w:r>
        <w:rPr>
          <w:iCs/>
          <w:i/>
        </w:rPr>
        <w:t xml:space="preserve">k</w:t>
      </w:r>
      <w:r>
        <w:t xml:space="preserve"> </w:t>
      </w:r>
      <w:r>
        <w:t xml:space="preserve">= 58 missing studies, reducing the adjusted pooled effect to</w:t>
      </w:r>
      <w:r>
        <w:t xml:space="preserve"> </w:t>
      </w:r>
      <w:r>
        <w:rPr>
          <w:iCs/>
          <w:i/>
        </w:rPr>
        <w:t xml:space="preserve">r</w:t>
      </w:r>
      <w:r>
        <w:t xml:space="preserve"> </w:t>
      </w:r>
      <w:r>
        <w:t xml:space="preserve">= 0.035 (95% CI [0.023, 0.048]) — positive but attenuated.</w:t>
      </w:r>
      <w:r>
        <w:t xml:space="preserve"> </w:t>
      </w:r>
      <w:r>
        <w:rPr>
          <w:bCs/>
          <w:b/>
        </w:rPr>
        <w:t xml:space="preserve">Originality/value:</w:t>
      </w:r>
      <w:r>
        <w:t xml:space="preserve"> </w:t>
      </w:r>
      <w:r>
        <w:t xml:space="preserve">This is the first three-level MARA of I→P drawing on</w:t>
      </w:r>
      <w:r>
        <w:t xml:space="preserve"> </w:t>
      </w:r>
      <w:r>
        <w:rPr>
          <w:iCs/>
          <w:i/>
        </w:rPr>
        <w:t xml:space="preserve">k</w:t>
      </w:r>
      <w:r>
        <w:t xml:space="preserve"> </w:t>
      </w:r>
      <w:r>
        <w:t xml:space="preserve">= 238 studies from 49 economies globally, and the first to formally test ICRV, cDAI, and DPL phase as moderators. The ICRV between-regime Q_M test confirms H1 (Q_M = 17.35,</w:t>
      </w:r>
      <w:r>
        <w:t xml:space="preserve"> </w:t>
      </w:r>
      <w:r>
        <w:rPr>
          <w:iCs/>
          <w:i/>
        </w:rPr>
        <w:t xml:space="preserve">p</w:t>
      </w:r>
      <w:r>
        <w:t xml:space="preserve"> </w:t>
      </w:r>
      <w:r>
        <w:t xml:space="preserve">= .002), while the directional gradient (E1a/E1b) and the cDAI and DPL hypotheses remain unconfirmed — a finding that, combined with substantial publication bias, reframes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global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Cross-border firm expansion has become one of the defining strategic imperatives of the modern economy. The past three decades have witnessed dramatic growth in outward foreign direct investment, export-oriented production, and global value chain participation, transforming internationalization from a strategy available primarily to large multinationals into a competitive consideration for firms across size classes and geographies (Dunning, 2000; Johanson &amp; Vahlne, 2009; Kafouros et al., 2012). Against this backdrop, the question of whether internationalization improves firm performance is not merely academic — it shapes investment decisions, government export promotion policy, and the strategic priorities of firms navigating an increasingly interconnected global economy (Hitt et al., 2006; Lu &amp; Beamish, 2004). For scholars, however, the record remains stubbornly inconclusive.</w:t>
      </w:r>
    </w:p>
    <w:p>
      <w:pPr>
        <w:pStyle w:val="BodyText"/>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w:r>
        <w:rPr>
          <w:iCs/>
          <w:i/>
        </w:rPr>
        <w:t xml:space="preserve">I</w:t>
      </w:r>
      <w:r>
        <w:t xml:space="preserve">² regularly exceeds 80%, signaling that context — not a universal mechanism —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 baseline identified that conventional moderators — country of origin, industry, performance measure type — leave approximately 70% of variance unexplained. Three theoretically grounded moderators, absent from all prior meta-analyses, motivate the present extension:</w:t>
      </w:r>
    </w:p>
    <w:p>
      <w:pPr>
        <w:pStyle w:val="BodyText"/>
      </w:pPr>
      <w:r>
        <w:rPr>
          <w:bCs/>
          <w:b/>
        </w:rPr>
        <w:t xml:space="preserve">Gap 1 —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 ICRV 5-regime.</w:t>
      </w:r>
      <w:r>
        <w:t xml:space="preserve"> </w:t>
      </w:r>
      <w:r>
        <w:t xml:space="preserve">Marano et al. (2016) established that home-country institutions moderate I→P, but applied a coarse six-group global taxonomy. The global study corpus spans the full institutional spectrum — from Singapore (World Governance Indicators Rule of Law score +1.84) to frontier economies such as Pakistan (WGI −0.55) and Iran (WGI −0.74; World Bank, 2023). An ICRV 5-regime classification capable of resolving this heterogeneity has not been tested meta-analytically on a globally representative I→P corpus.</w:t>
      </w:r>
    </w:p>
    <w:p>
      <w:pPr>
        <w:pStyle w:val="BodyText"/>
      </w:pPr>
      <w:r>
        <w:rPr>
          <w:bCs/>
          <w:b/>
        </w:rPr>
        <w:t xml:space="preserve">Gap 3 — DPL phase.</w:t>
      </w:r>
      <w:r>
        <w:t xml:space="preserve"> </w:t>
      </w:r>
      <w:r>
        <w:t xml:space="preserve">Brynjolfsson et al. (2021) identified 2009 as a productivity inflection point in the digital era (the</w:t>
      </w:r>
      <w:r>
        <w:t xml:space="preserve"> </w:t>
      </w:r>
      <w:r>
        <w:t xml:space="preserve">“</w:t>
      </w:r>
      <w:r>
        <w:t xml:space="preserve">dynamo analogy</w:t>
      </w:r>
      <w:r>
        <w:t xml:space="preserve">”</w:t>
      </w:r>
      <w:r>
        <w:t xml:space="preserve"> </w:t>
      </w:r>
      <w:r>
        <w:t xml:space="preserve">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5-regime framework applied to a globally representative I→P corpus (</w:t>
      </w:r>
      <w:r>
        <w:rPr>
          <w:iCs/>
          <w:i/>
        </w:rPr>
        <w:t xml:space="preserve">k</w:t>
      </w:r>
      <w:r>
        <w:t xml:space="preserve"> </w:t>
      </w:r>
      <w:r>
        <w:t xml:space="preserve">= 238, 49 economies); (5) first formal test of cDAI as a national-level digital-infrastructure moderator of I→P; (6) first test of DPL phase as a temporal moderator using three-level MARA. The non-confirmation of E1a/E1b, H2, and H3, and the anomalous ICRV Frontier pattern, are themselves informative findings that bound the conditions under which these moderators could operate.</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 0.07,</w:t>
      </w:r>
      <w:r>
        <w:t xml:space="preserve"> </w:t>
      </w:r>
      <w:r>
        <w:rPr>
          <w:iCs/>
          <w:i/>
        </w:rPr>
        <w:t xml:space="preserve">k</w:t>
      </w:r>
      <w:r>
        <w:t xml:space="preserve"> </w:t>
      </w:r>
      <w:r>
        <w:t xml:space="preserve">= 113), confirming a small but consistent positive I→P relationship globally. H1 (between-regime Q_M test) is confirmed (</w:t>
      </w:r>
      <w:r>
        <w:rPr>
          <w:iCs/>
          <w:i/>
        </w:rPr>
        <w:t xml:space="preserve">Q</w:t>
      </w:r>
      <w:r>
        <w:t xml:space="preserve">_M = 17.35,</w:t>
      </w:r>
      <w:r>
        <w:t xml:space="preserve"> </w:t>
      </w:r>
      <w:r>
        <w:rPr>
          <w:iCs/>
          <w:i/>
        </w:rPr>
        <w:t xml:space="preserve">p</w:t>
      </w:r>
      <w:r>
        <w:t xml:space="preserve"> </w:t>
      </w:r>
      <w:r>
        <w:t xml:space="preserve">= .002); however, the directional Exploratory Propositions E1a (Advanced largest) and E1b (Frontier smallest) are not statistically confirmed — pairwise differences reflect single-country vs. multi-country study composition rather than a monotone institutional gradient.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(H2, H3 not supported). The most substantive finding is publication bias (H4 confirmed): trim-and-fill imputes</w:t>
      </w:r>
      <w:r>
        <w:t xml:space="preserve"> </w:t>
      </w:r>
      <w:r>
        <w:rPr>
          <w:iCs/>
          <w:i/>
        </w:rPr>
        <w:t xml:space="preserve">k</w:t>
      </w:r>
      <w:r>
        <w:t xml:space="preserve"> </w:t>
      </w:r>
      <w:r>
        <w:t xml:space="preserve">= 58 missing studies, reducing the adjusted estimate to</w:t>
      </w:r>
      <w:r>
        <w:t xml:space="preserve"> </w:t>
      </w:r>
      <w:r>
        <w:rPr>
          <w:iCs/>
          <w:i/>
        </w:rPr>
        <w:t xml:space="preserve">r</w:t>
      </w:r>
      <w:r>
        <w:t xml:space="preserve"> </w:t>
      </w:r>
      <w:r>
        <w:t xml:space="preserve">= 0.035 — positive but substantially smaller than the raw pooled effect. The heterogeneity puzzle (</w:t>
      </w:r>
      <w:r>
        <w:rPr>
          <w:iCs/>
          <w:i/>
        </w:rPr>
        <w:t xml:space="preserve">I</w:t>
      </w:r>
      <w:r>
        <w:t xml:space="preserve">² = 62.4%) remains unresolved by the tested moderators, suggesting that future research should test alternative theoretical contingencies or that between-study heterogeneity is dominated by within-paper variance (Level 2, 54.1%) rather than between-country differences (Level 3, 8.4%).</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31"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 including human capital, technological capability, and digital infrastructure access — will generate higher performance returns from international expansion than resource-constrained peers. Wernerfelt’s (1984) resource bundling logic further predicts that national digital infrastructure provides a coordination-enabling environment that amplifies the returns to firm-level resources: in high-cDAI environments, firms can deploy their existing technological and organizational capabilities across borders at lower per-unit cost, raising the marginal productivity return to each additional unit of international expansion. It is important to note that cDAI (country-level) is analytically distinct from firm-level digital adoption (DAI) and from firm-level technological capability (TCI), which the companion primary studies (P3–P8) treat as separate constructs with distinct measurement bases and theoretical roles. In the present meta-analytic study, only cDAI is operationalized as a study-level moderator; DAI and TCI remain within-study variables in the primary-study designs and are not separately extractable at meta-analytic resolution from the k = 238 corpus. The resource-bundling prediction for P6 therefore concerns whether a richer national digital environment raises the aggregate I→P effect across studies — a between-study moderation claim at the country level, not a within-study claim about firm-level capability bundles.</w:t>
      </w:r>
    </w:p>
    <w:p>
      <w:pPr>
        <w:pStyle w:val="BodyText"/>
      </w:pPr>
      <w:r>
        <w:rPr>
          <w:bCs/>
          <w:b/>
        </w:rPr>
        <w:t xml:space="preserve">Institutional Theory.</w:t>
      </w:r>
      <w:r>
        <w:t xml:space="preserve"> </w:t>
      </w:r>
      <w:r>
        <w:t xml:space="preserve">North’s (1990) framework positions formal and informal institutions as the</w:t>
      </w:r>
      <w:r>
        <w:t xml:space="preserve"> </w:t>
      </w:r>
      <w:r>
        <w:t xml:space="preserve">“</w:t>
      </w:r>
      <w:r>
        <w:t xml:space="preserve">rules of the game</w:t>
      </w:r>
      <w:r>
        <w:t xml:space="preserve">”</w:t>
      </w:r>
      <w:r>
        <w:t xml:space="preserve"> </w:t>
      </w:r>
      <w:r>
        <w:t xml:space="preserve">that govern transaction costs. In the I→P context, higher institutional quality — measured through rule of law, contract enforcement, IP protection, and regulatory quality —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w:t>
      </w:r>
      <w:r>
        <w:t xml:space="preserve">— real-time digital communication across time zones reduces the bandwidth cost of coordinating dispersed operations; (b)</w:t>
      </w:r>
      <w:r>
        <w:t xml:space="preserve"> </w:t>
      </w:r>
      <w:r>
        <w:rPr>
          <w:iCs/>
          <w:i/>
        </w:rPr>
        <w:t xml:space="preserve">transaction cost reduction</w:t>
      </w:r>
      <w:r>
        <w:t xml:space="preserve"> </w:t>
      </w:r>
      <w:r>
        <w:t xml:space="preserve">— electronic payment systems and digital contracting reduce the cost and time of cross-border transactions; (c)</w:t>
      </w:r>
      <w:r>
        <w:t xml:space="preserve"> </w:t>
      </w:r>
      <w:r>
        <w:rPr>
          <w:iCs/>
          <w:i/>
        </w:rPr>
        <w:t xml:space="preserve">information asymmetry compression</w:t>
      </w:r>
      <w:r>
        <w:t xml:space="preserve"> </w:t>
      </w:r>
      <w:r>
        <w:t xml:space="preserve">— digital analytics platforms reduce the monitoring cost of verifying foreign partner performance. When national digital infrastructure is mature (high cDAI), all three channels operate simultaneously, predicting that the coordination cost mechanism — which generates the right-side decline of the inverted-U —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 the layers most widely measured in firm-level surveys —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 a between-study moderation claim, not a within-study mediation claim.</w:t>
      </w:r>
    </w:p>
    <w:bookmarkEnd w:id="22"/>
    <w:bookmarkStart w:id="23" w:name="X772aae5f967000260143b5df2cce415e62452ba"/>
    <w:p>
      <w:pPr>
        <w:pStyle w:val="Heading3"/>
      </w:pPr>
      <w:r>
        <w:t xml:space="preserve">2.2 Capability–Institution Mismatch Theory (New —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 the costs incurred by foreign firms that domestic rivals do not bear —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 environments where formal institutions are weak or absent —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 III → SIDS/V), these substitute governance costs accumulate, progressively depressing the I→P effect toward zero and potentially negative territory.</w:t>
      </w:r>
    </w:p>
    <w:p>
      <w:pPr>
        <w:pStyle w:val="BodyText"/>
      </w:pPr>
      <w:r>
        <w:t xml:space="preserve">CIMT predicts between-regime heterogeneity in I→P effect sizes, with Advanced-regime studies expected to show the largest effects because all three CIMT mechanisms operate simultaneously at the institutional frontier. Prior meta-analyses have not adequately tested this institutional gradient because they lacked a fine-grained taxonomy that disaggregates the spectrum from Advanced Innovation economies to Frontier and SIDS contexts at sufficient resolution. Marano et al. (2016) used a six-category global classification that did not separate the Advanced/Upper-Middle/Emerging/Frontier spectrum examined here. The ICRV 5-regime taxonomy — anchored in World Bank World Governance Indicators (Rule of Law dimension, 2023 vintage) and applied to the full k = 238 global study corpus — provides the first classification capable of testing the CIMT between-regime prediction meta-analytically across economies ranging from Singapore (WGI +1.84) to Pakistan (WGI −0.55) and Iran (WGI −0.74).</w:t>
      </w:r>
    </w:p>
    <w:p>
      <w:pPr>
        <w:pStyle w:val="BodyText"/>
      </w:pPr>
      <w:r>
        <w:rPr>
          <w:bCs/>
          <w:b/>
        </w:rPr>
        <w:t xml:space="preserve">Hypothesis 1 (H1 — ICRV between-regime heterogeneity):</w:t>
      </w:r>
      <w:r>
        <w:t xml:space="preserve"> </w:t>
      </w:r>
      <w:r>
        <w:t xml:space="preserve">Pooled I→P effect sizes vary systematically across ICRV institutional regimes, with Advanced-regime studies expected to show the largest average effects, because formal institutions — contract enforcement, IP protection, and reduced liability of foreignness — amplify the productivity returns to international expansion through rent protection, LOF attenuation, and void-cost reduction (Khanna &amp; Palepu, 2010; North, 1990; Zaheer, 1995). Formally: the between-regime Q_M test for ICRV is statistically significant (</w:t>
      </w:r>
      <w:r>
        <w:rPr>
          <w:iCs/>
          <w:i/>
        </w:rPr>
        <w:t xml:space="preserve">p</w:t>
      </w:r>
      <w:r>
        <w:t xml:space="preserve"> </w:t>
      </w:r>
      <w:r>
        <w:t xml:space="preserve">&lt; .05), and the point estimate for Advanced-regime studies (ICRV-I) exceeds those for Emerging (ICRV-III) and Mixed-regime (MX) studies. The directional ordering among Frontier studies (ICRV-FR) is treated as an exploratory question pending adequate</w:t>
      </w:r>
      <w:r>
        <w:t xml:space="preserve"> </w:t>
      </w:r>
      <w:r>
        <w:rPr>
          <w:iCs/>
          <w:i/>
        </w:rPr>
        <w:t xml:space="preserve">k</w:t>
      </w:r>
      <w:r>
        <w:t xml:space="preserve"> </w:t>
      </w:r>
      <w:r>
        <w:t xml:space="preserve">in that group (see Exploratory Propositions 1a–1b).</w:t>
      </w:r>
    </w:p>
    <w:p>
      <w:pPr>
        <w:pStyle w:val="BodyText"/>
      </w:pPr>
      <w:r>
        <w:rPr>
          <w:iCs/>
          <w:i/>
        </w:rPr>
        <w:t xml:space="preserve">Exploratory Proposition 1a (E1a):</w:t>
      </w:r>
      <w:r>
        <w:t xml:space="preserve"> </w:t>
      </w:r>
      <w:r>
        <w:t xml:space="preserve">Studies drawing on Advanced-regime firms (ICRV-I) are expected to show the largest pooled I→P effect, reflecting simultaneous activation of the three CIMT rent-protection, LOF-attenuation, and void-elimination mechanisms. The direction of E1a is confirmatory; the magnitude is not pre-specified given heterogeneity in DOI measurement and performance construct across ICRV-I studies.</w:t>
      </w:r>
    </w:p>
    <w:p>
      <w:pPr>
        <w:pStyle w:val="BodyText"/>
      </w:pPr>
      <w:r>
        <w:rPr>
          <w:iCs/>
          <w:i/>
        </w:rPr>
        <w:t xml:space="preserve">Exploratory Proposition 1b (E1b):</w:t>
      </w:r>
      <w:r>
        <w:t xml:space="preserve"> </w:t>
      </w:r>
      <w:r>
        <w:t xml:space="preserve">Studies drawing on Frontier-regime firms (ICRV-FR) are expected to show the smallest — potentially null or negative — pooled I→P effect, reflecting the dominance of institutional void amplification costs over scale and learning returns. E1b is treated as exploratory rather than confirmatory because current Frontier-group</w:t>
      </w:r>
      <w:r>
        <w:t xml:space="preserve"> </w:t>
      </w:r>
      <w:r>
        <w:rPr>
          <w:iCs/>
          <w:i/>
        </w:rPr>
        <w:t xml:space="preserve">k</w:t>
      </w:r>
      <w:r>
        <w:t xml:space="preserve"> </w:t>
      </w:r>
      <w:r>
        <w:t xml:space="preserve">= 3 is insufficient for reliable inference (at α = .05, minimum k for stable random-effects moderation is typically k ≥ 10; Valentine et al., 2010).</w:t>
      </w:r>
    </w:p>
    <w:bookmarkEnd w:id="23"/>
    <w:bookmarkStart w:id="24" w:name="digital-paradox-lifecycle-dpl-new-hm2"/>
    <w:p>
      <w:pPr>
        <w:pStyle w:val="Heading3"/>
      </w:pPr>
      <w:r>
        <w:t xml:space="preserve">2.3 Digital Paradox Lifecycle (DPL —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 in organizational practices, worker skills, and infrastructure —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r>
        <w:t xml:space="preserve"> </w:t>
      </w:r>
      <w:r>
        <w:t xml:space="preserve">-</w:t>
      </w:r>
      <w:r>
        <w:t xml:space="preserve"> </w:t>
      </w: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r>
        <w:t xml:space="preserve"> </w:t>
      </w:r>
      <w:r>
        <w:t xml:space="preserve">-</w:t>
      </w:r>
      <w:r>
        <w:t xml:space="preserve"> </w:t>
      </w: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r>
        <w:t xml:space="preserve"> </w:t>
      </w:r>
      <w:r>
        <w:t xml:space="preserve">-</w:t>
      </w:r>
      <w:r>
        <w:t xml:space="preserve"> </w:t>
      </w:r>
      <w:r>
        <w:rPr>
          <w:bCs/>
          <w:b/>
        </w:rPr>
        <w:t xml:space="preserve">Follow</w:t>
      </w:r>
      <w:r>
        <w:t xml:space="preserve"> </w:t>
      </w:r>
      <w:r>
        <w:t xml:space="preserve">(data collected predominantly after 2014): Digital platforms — including cloud-based logistics, B2B e-commerce, electronic payment systems, and digital trade finance —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BodyText"/>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global inflection point for digital adoption in trade-oriented economies rather than an arbitrary choice; the Asia-Pacific region — home to 52% of the k = 238 corpus — was a primary site of this diffusion.</w:t>
      </w:r>
    </w:p>
    <w:p>
      <w:pPr>
        <w:pStyle w:val="BodyText"/>
      </w:pPr>
      <w:r>
        <w:rPr>
          <w:bCs/>
          <w:b/>
        </w:rPr>
        <w:t xml:space="preserve">Hypothesis 2 (H2 — DPL phase):</w:t>
      </w:r>
      <w:r>
        <w:t xml:space="preserve"> </w:t>
      </w:r>
      <w:r>
        <w:t xml:space="preserve">Studies drawing predominantly on post-2014 data (DPL Follow phase) are expected to show larger pooled I→P effects than studies drawing on pre-2009 data (DPL Precede phase), because digital platforms had reached the maturity threshold at which coordination-cost compression systematically raises the net productivity return to international expansion (Brynjolfsson et al., 2021; David, 1990). Span-phase studies (data spanning 2005–2014) are expected to show intermediate effects, reflecting the transitional period in which digital infrastructure was building but complementary organizational 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 This prediction is bounded by the Brynjolfsson et al. (2021) J-curve logic: even if the DPL effect is real, the statistical precision of the</w:t>
      </w:r>
      <w:r>
        <w:t xml:space="preserve"> </w:t>
      </w:r>
      <w:r>
        <w:rPr>
          <w:iCs/>
          <w:i/>
        </w:rPr>
        <w:t xml:space="preserve">Q</w:t>
      </w:r>
      <w:r>
        <w:t xml:space="preserve">_M test depends on within-phase k and cross-phase variance in effect sizes — below approximately k = 30 per phase, the between-group test is underpowered for detection of moderate-size moderation (</w:t>
      </w:r>
      <w:r>
        <w:rPr>
          <w:iCs/>
          <w:i/>
        </w:rPr>
        <w:t xml:space="preserve">f</w:t>
      </w:r>
      <w:r>
        <w:t xml:space="preserve">² &lt; 0.10).</w:t>
      </w:r>
    </w:p>
    <w:bookmarkEnd w:id="24"/>
    <w:bookmarkStart w:id="25" w:name="cdai-as-amplifier-hm3"/>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 cDAI amplification):</w:t>
      </w:r>
      <w:r>
        <w:t xml:space="preserve"> </w:t>
      </w:r>
      <w:r>
        <w:t xml:space="preserve">Studies drawing on samples from high-cDAI national contexts are expected to show larger pooled I→P 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 .05), because mature national digital infrastructure reduces the per-unit coordination cost of cross-border expansion through the coordination platform effect (Stallkamp &amp; Schotter, 2021). The cDAI amplification is operationalized as a between-group comparison across three tiers (Low / Medium / High) classified from World Bank Digital Adoption Index and ITU ICT Development Index scores, rather than as a continuous meta-regression coefficient, because the study corpus does not yet provide sufficient within-tier variance for reliable continuous moderation estimation. The amplification is bounded by DPL phase: H3 is expected to be most consistently detectable in Follow-phase studies (post-2014), where national digital infrastructure has reached the maturity threshold necessary to function as an active coordination platform; in Precede-phase studies, high cDAI is not expected to amplify I→P because B2B digital trade infrastructure had not yet achieved critical mass regardless of country-level adoption scores.</w:t>
      </w:r>
    </w:p>
    <w:bookmarkEnd w:id="25"/>
    <w:bookmarkStart w:id="26" w:name="publication-bias-as-null-hypothesis"/>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 Publication bias):</w:t>
      </w:r>
      <w:r>
        <w:t xml:space="preserve"> </w:t>
      </w:r>
      <w:r>
        <w:t xml:space="preserve">Selective reporting of statistically significant positive I→P results is expected to inflate the raw pooled effect relative to the true underlying population effect, because positive results are more likely to be published in the I→P literature (Borenstein et al., 2021; Dickersin, 1990). Three directional predictions follow: (H4a) Funnel-plot asymmetry tests (Egger’s regression intercept, Begg’s rank correlation) are expected to be statistically significant, indicating that smaller-sample studies show disproportionately large positive effects relative to the regression-estimated pooled mean; (H4b) Duval and Tweedie’s (2000) trim-and-fill procedure is expected to impute missing studies on the left side of the funnel (suppressed null/negative results) and produce a bias-adjusted pooled estimate (</w:t>
      </w:r>
      <w:r>
        <w:rPr>
          <w:iCs/>
          <w:i/>
        </w:rPr>
        <w:t xml:space="preserve">r̄</w:t>
      </w:r>
      <w:r>
        <w:t xml:space="preserve">_adj) that is smaller than the raw estimate but remains positive (</w:t>
      </w:r>
      <w:r>
        <w:rPr>
          <w:iCs/>
          <w:i/>
        </w:rPr>
        <w:t xml:space="preserve">r̄</w:t>
      </w:r>
      <w:r>
        <w:t xml:space="preserve">_adj &gt; 0); (H4c) Orwin’s (1983) fail-safe N is expected to substantially exceed the threshold of 2,000 studies required to reduce the pooled effect to a negligible level, confirming that the positive I→P effect is not an artifact of publication bias alone.</w:t>
      </w:r>
    </w:p>
    <w:bookmarkEnd w:id="26"/>
    <w:bookmarkStart w:id="30" w:name="conceptual-model"/>
    <w:p>
      <w:pPr>
        <w:pStyle w:val="Heading3"/>
      </w:pPr>
      <w:r>
        <w:t xml:space="preserve">2.6 Conceptual Model</w:t>
      </w:r>
    </w:p>
    <w:p>
      <w:pPr>
        <w:pStyle w:val="CaptionedFigure"/>
      </w:pPr>
      <w:r>
        <w:drawing>
          <wp:inline>
            <wp:extent cx="5753100" cy="3710006"/>
            <wp:effectExtent b="0" l="0" r="0" t="0"/>
            <wp:docPr descr="Figure 1: Conceptual model —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ImageCaption"/>
      </w:pPr>
      <w:r>
        <w:t xml:space="preserve">Figure 1: Conceptual model — Three-level MARA with ICRV, cDAI, and DPL moderators</w:t>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studies from 49 economies, K = 288 effects, r̄ = 0.074, 95% CI [0.060, 0.088]). Dashed arrows represent hypothesised moderating relationships. Three study-level constructs were tested as moderators: (1) ICRV Regime (H1) — hypothesised between-regime Q_M statistically significant; H1 confirmed (Q_M = 17.35, p = .002); directional Exploratory Propositions E1a (Advanced largest) and E1b (Frontier smallest) not meta-analytically confirmable with sparse regime cells. (2) cDAI — Country Digital Adoption Index (H3) — hypothesised positive amplification [High &gt; Low]; actual Q_M = 1.23 (p = .541), H3 not supported. (3) DPL Phase (H2) — hypothesised Follow &gt; Precede; actual Q_M = 0.56 (p = .755), H2 not supported. The three-level model nests K = 288 effects within k = 238 studies (within-study σ²_(2) = 0.00874, I²_(2) = 54.1%) within between-study heterogeneity (between-study σ²_(3) = 0.00135, I²_(3) = 8.4%); total I² = 62.4%. Publication bias (H4 confirmed): Egger’s b = 0.475 (SE = 0.250, p = .057), Begg’s τ = −0.134 (p = .0007); trim-and-fill imputes k = 58 studies, adjusted r = 0.035; fail-safe N = 45,848. Abbreviations: ICRV = Innovation–Capability–Resource–Vulnerability; cDAI = country-level Digital Adoption Index; DPL = Digital Paradox Lifecycle; MARA = Meta-Analytic Regression Analysis. Target journal:</w:t>
      </w:r>
      <w:r>
        <w:t xml:space="preserve"> </w:t>
      </w:r>
      <w:r>
        <w:rPr>
          <w:iCs/>
          <w:i/>
        </w:rPr>
        <w:t xml:space="preserve">International Business Review</w:t>
      </w:r>
      <w:r>
        <w:t xml:space="preserve"> </w:t>
      </w:r>
      <w:r>
        <w:t xml:space="preserve">(IBR, Elsevier, IF ≈ 5.5).</w:t>
      </w:r>
    </w:p>
    <w:p>
      <w:r>
        <w:pict>
          <v:rect style="width:0;height:1.5pt" o:hralign="center" o:hrstd="t" o:hr="t"/>
        </w:pict>
      </w:r>
    </w:p>
    <w:bookmarkEnd w:id="30"/>
    <w:bookmarkEnd w:id="31"/>
    <w:bookmarkStart w:id="42" w:name="method"/>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 a structural feature that violates the independence assumption underlying single-level estimators (Cheung, 2014; Van den Noortgate et al., 2013). The three-level model decomposes total heterogeneity into within-study (σ²_(2)) and between-study (σ²_(3)) components, enabling correct attribution of variance to methodological versus contextual sources.</w:t>
      </w:r>
    </w:p>
    <w:bookmarkStart w:id="32"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 including the search string, eligibility decision rules, moderator coding instructions, and planned metafor model specifications — was pre-registered on OSF prior to effect-size extraction (PRISMA 2020, Item 24a): https://osf.io/z37kn (DOI: 10.17605/OSF.IO/Z37KN; registered May 18, 2026).</w:t>
      </w:r>
    </w:p>
    <w:bookmarkEnd w:id="32"/>
    <w:bookmarkStart w:id="33" w:name="eligibility-criteria-and-study-selection"/>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 (WoS + Scopus confirmed, 20 May 2026).</w:t>
      </w:r>
      <w:r>
        <w:t xml:space="preserve"> </w:t>
      </w:r>
      <w:r>
        <w:t xml:space="preserve">Records identified from WoS Core Collection:</w:t>
      </w:r>
      <w:r>
        <w:t xml:space="preserve"> </w:t>
      </w:r>
      <w:r>
        <w:rPr>
          <w:iCs/>
          <w:i/>
        </w:rPr>
        <w:t xml:space="preserve">n</w:t>
      </w:r>
      <w:r>
        <w:t xml:space="preserve"> </w:t>
      </w:r>
      <w:r>
        <w:t xml:space="preserve">= 2,180 (Starter API, 18 May 2026; SSCI + SCI-E + ESCI, 1977–2026) + Scopus:</w:t>
      </w:r>
      <w:r>
        <w:t xml:space="preserve"> </w:t>
      </w:r>
      <w:r>
        <w:rPr>
          <w:iCs/>
          <w:i/>
        </w:rPr>
        <w:t xml:space="preserve">n</w:t>
      </w:r>
      <w:r>
        <w:t xml:space="preserve"> </w:t>
      </w:r>
      <w:r>
        <w:t xml:space="preserve">= 1,083 (All Subject Areas, 1977–2026). Total from databases:</w:t>
      </w:r>
      <w:r>
        <w:t xml:space="preserve"> </w:t>
      </w:r>
      <w:r>
        <w:rPr>
          <w:iCs/>
          <w:i/>
        </w:rPr>
        <w:t xml:space="preserve">n</w:t>
      </w:r>
      <w:r>
        <w:t xml:space="preserve"> </w:t>
      </w:r>
      <w:r>
        <w:t xml:space="preserve">= 3,263. After cross-database deduplication (DOI-exact + title-fuzzy ≥85%):</w:t>
      </w:r>
      <w:r>
        <w:t xml:space="preserve"> </w:t>
      </w:r>
      <w:r>
        <w:rPr>
          <w:iCs/>
          <w:i/>
        </w:rPr>
        <w:t xml:space="preserve">n</w:t>
      </w:r>
      <w:r>
        <w:t xml:space="preserve"> </w:t>
      </w:r>
      <w:r>
        <w:t xml:space="preserve">= 2,468 unique records (795 duplicates removed); 435 already in existing tracker (prior database); 2,032 new candidates for L2 screening (1,512 with DOI via CrossRef enrichment; 520 requiring manual full-text retrieval). Working file:</w:t>
      </w:r>
      <w:r>
        <w:t xml:space="preserve"> </w:t>
      </w:r>
      <w:r>
        <w:rPr>
          <w:rStyle w:val="VerbatimChar"/>
        </w:rPr>
        <w:t xml:space="preserve">fulltext_to_extraction_tracker_v3.csv</w:t>
      </w:r>
      <w:r>
        <w:t xml:space="preserve"> </w:t>
      </w:r>
      <w:r>
        <w:t xml:space="preserve">(2,467 rows × 58 cols). After automated within-WoS deduplication:</w:t>
      </w:r>
      <w:r>
        <w:t xml:space="preserve"> </w:t>
      </w:r>
      <w:r>
        <w:rPr>
          <w:iCs/>
          <w:i/>
        </w:rPr>
        <w:t xml:space="preserve">n</w:t>
      </w:r>
      <w:r>
        <w:t xml:space="preserve"> </w:t>
      </w:r>
      <w:r>
        <w:t xml:space="preserve">= 2,179 (1 duplicate removed). Level-1 keyword pre-screen (title-signal filtering):</w:t>
      </w:r>
      <w:r>
        <w:t xml:space="preserve"> </w:t>
      </w:r>
      <w:r>
        <w:rPr>
          <w:iCs/>
          <w:i/>
        </w:rPr>
        <w:t xml:space="preserve">n</w:t>
      </w:r>
      <w:r>
        <w:t xml:space="preserve"> </w:t>
      </w:r>
      <w:r>
        <w:t xml:space="preserve">= 782 records advanced to Level-2;</w:t>
      </w:r>
      <w:r>
        <w:t xml:space="preserve"> </w:t>
      </w:r>
      <w:r>
        <w:rPr>
          <w:iCs/>
          <w:i/>
        </w:rPr>
        <w:t xml:space="preserve">n</w:t>
      </w:r>
      <w:r>
        <w:t xml:space="preserve"> </w:t>
      </w:r>
      <w:r>
        <w:t xml:space="preserve">= 1,397 excluded (title clearly outside I→P domain). Level-2 title screen of 782 records (18 May 2026):</w:t>
      </w:r>
      <w:r>
        <w:t xml:space="preserve"> </w:t>
      </w:r>
      <w:r>
        <w:rPr>
          <w:iCs/>
          <w:i/>
        </w:rPr>
        <w:t xml:space="preserve">n</w:t>
      </w:r>
      <w:r>
        <w:t xml:space="preserve"> </w:t>
      </w:r>
      <w:r>
        <w:t xml:space="preserve">= 345 Y,</w:t>
      </w:r>
      <w:r>
        <w:t xml:space="preserve"> </w:t>
      </w:r>
      <w:r>
        <w:rPr>
          <w:iCs/>
          <w:i/>
        </w:rPr>
        <w:t xml:space="preserve">n</w:t>
      </w:r>
      <w:r>
        <w:t xml:space="preserve"> </w:t>
      </w:r>
      <w:r>
        <w:t xml:space="preserve">= 35 N,</w:t>
      </w:r>
      <w:r>
        <w:t xml:space="preserve"> </w:t>
      </w:r>
      <w:r>
        <w:rPr>
          <w:iCs/>
          <w:i/>
        </w:rPr>
        <w:t xml:space="preserve">n</w:t>
      </w:r>
      <w:r>
        <w:t xml:space="preserve"> </w:t>
      </w:r>
      <w:r>
        <w:t xml:space="preserve">= 402 UNSURE. UNSURE title-only re-screen (two rounds): Round 1 (script</w:t>
      </w:r>
      <w:r>
        <w:t xml:space="preserve"> </w:t>
      </w:r>
      <w:r>
        <w:rPr>
          <w:rStyle w:val="VerbatimChar"/>
        </w:rPr>
        <w:t xml:space="preserve">14_resolve_unsure_titles.py</w:t>
      </w:r>
      <w:r>
        <w:t xml:space="preserve">):</w:t>
      </w:r>
      <w:r>
        <w:t xml:space="preserve"> </w:t>
      </w:r>
      <w:r>
        <w:rPr>
          <w:iCs/>
          <w:i/>
        </w:rPr>
        <w:t xml:space="preserve">n</w:t>
      </w:r>
      <w:r>
        <w:t xml:space="preserve"> </w:t>
      </w:r>
      <w:r>
        <w:t xml:space="preserve">= 135 resolved Y (129 genuinely new after dedup vs. existing</w:t>
      </w:r>
      <w:r>
        <w:t xml:space="preserve"> </w:t>
      </w:r>
      <w:r>
        <w:rPr>
          <w:iCs/>
          <w:i/>
        </w:rPr>
        <w:t xml:space="preserve">k</w:t>
      </w:r>
      <w:r>
        <w:t xml:space="preserve"> </w:t>
      </w:r>
      <w:r>
        <w:t xml:space="preserve">= 287; 6 duplicates),</w:t>
      </w:r>
      <w:r>
        <w:t xml:space="preserve"> </w:t>
      </w:r>
      <w:r>
        <w:rPr>
          <w:iCs/>
          <w:i/>
        </w:rPr>
        <w:t xml:space="preserve">n</w:t>
      </w:r>
      <w:r>
        <w:t xml:space="preserve"> </w:t>
      </w:r>
      <w:r>
        <w:t xml:space="preserve">= 3 resolved N,</w:t>
      </w:r>
      <w:r>
        <w:t xml:space="preserve"> </w:t>
      </w:r>
      <w:r>
        <w:rPr>
          <w:iCs/>
          <w:i/>
        </w:rPr>
        <w:t xml:space="preserve">n</w:t>
      </w:r>
      <w:r>
        <w:t xml:space="preserve"> </w:t>
      </w:r>
      <w:r>
        <w:t xml:space="preserve">= 263 still UNSURE. Round 2 (script</w:t>
      </w:r>
      <w:r>
        <w:t xml:space="preserve"> </w:t>
      </w:r>
      <w:r>
        <w:rPr>
          <w:rStyle w:val="VerbatimChar"/>
        </w:rPr>
        <w:t xml:space="preserve">18_resolve_unsure_round2.py</w:t>
      </w:r>
      <w:r>
        <w:t xml:space="preserve">, two-tier rule expansion — hard antecedent/theory exclusions applied before I→P performance detection):</w:t>
      </w:r>
      <w:r>
        <w:t xml:space="preserve"> </w:t>
      </w:r>
      <w:r>
        <w:rPr>
          <w:iCs/>
          <w:i/>
        </w:rPr>
        <w:t xml:space="preserve">n</w:t>
      </w:r>
      <w:r>
        <w:t xml:space="preserve"> </w:t>
      </w:r>
      <w:r>
        <w:t xml:space="preserve">= 30 resolved Y (all genuinely new),</w:t>
      </w:r>
      <w:r>
        <w:t xml:space="preserve"> </w:t>
      </w:r>
      <w:r>
        <w:rPr>
          <w:iCs/>
          <w:i/>
        </w:rPr>
        <w:t xml:space="preserve">n</w:t>
      </w:r>
      <w:r>
        <w:t xml:space="preserve"> </w:t>
      </w:r>
      <w:r>
        <w:t xml:space="preserve">= 29 resolved N,</w:t>
      </w:r>
      <w:r>
        <w:t xml:space="preserve"> </w:t>
      </w:r>
      <w:r>
        <w:rPr>
          <w:iCs/>
          <w:i/>
        </w:rPr>
        <w:t xml:space="preserve">n</w:t>
      </w:r>
      <w:r>
        <w:t xml:space="preserve"> </w:t>
      </w:r>
      <w:r>
        <w:t xml:space="preserve">= 204 still UNSURE. Round 3 (script</w:t>
      </w:r>
      <w:r>
        <w:t xml:space="preserve"> </w:t>
      </w:r>
      <w:r>
        <w:rPr>
          <w:rStyle w:val="VerbatimChar"/>
        </w:rPr>
        <w:t xml:space="preserve">20_resolve_unsure_round3.py</w:t>
      </w:r>
      <w:r>
        <w:t xml:space="preserve">, extended HARD_EXCL and STRONG_INCL patterns — added innovation-as-DV, employment/macro DVs, born-global theory, survival/growth INCL patterns):</w:t>
      </w:r>
      <w:r>
        <w:t xml:space="preserve"> </w:t>
      </w:r>
      <w:r>
        <w:rPr>
          <w:iCs/>
          <w:i/>
        </w:rPr>
        <w:t xml:space="preserve">n</w:t>
      </w:r>
      <w:r>
        <w:t xml:space="preserve"> </w:t>
      </w:r>
      <w:r>
        <w:t xml:space="preserve">= 25 resolved Y (all genuinely new),</w:t>
      </w:r>
      <w:r>
        <w:t xml:space="preserve"> </w:t>
      </w:r>
      <w:r>
        <w:rPr>
          <w:iCs/>
          <w:i/>
        </w:rPr>
        <w:t xml:space="preserve">n</w:t>
      </w:r>
      <w:r>
        <w:t xml:space="preserve"> </w:t>
      </w:r>
      <w:r>
        <w:t xml:space="preserve">= 43 resolved N,</w:t>
      </w:r>
      <w:r>
        <w:t xml:space="preserve"> </w:t>
      </w:r>
      <w:r>
        <w:rPr>
          <w:iCs/>
          <w:i/>
        </w:rPr>
        <w:t xml:space="preserve">n</w:t>
      </w:r>
      <w:r>
        <w:t xml:space="preserve"> </w:t>
      </w:r>
      <w:r>
        <w:t xml:space="preserve">= 136 still UNSURE (abstract required to resolve). Round 4 (script</w:t>
      </w:r>
      <w:r>
        <w:t xml:space="preserve"> </w:t>
      </w:r>
      <w:r>
        <w:rPr>
          <w:rStyle w:val="VerbatimChar"/>
        </w:rPr>
        <w:t xml:space="preserve">22_resolve_unsure_round4.py</w:t>
      </w:r>
      <w:r>
        <w:t xml:space="preserve">, further HARD_EXCL extensions — capital structure, location strategy, antecedent/determinant language; STRONG_INCL — performance consequences, optimal multinationality deviations, over-internationalization reduction, OFDI home transformation, crisis resilience):</w:t>
      </w:r>
      <w:r>
        <w:t xml:space="preserve"> </w:t>
      </w:r>
      <w:r>
        <w:rPr>
          <w:iCs/>
          <w:i/>
        </w:rPr>
        <w:t xml:space="preserve">n</w:t>
      </w:r>
      <w:r>
        <w:t xml:space="preserve"> </w:t>
      </w:r>
      <w:r>
        <w:t xml:space="preserve">= 15 resolved Y (all genuinely new),</w:t>
      </w:r>
      <w:r>
        <w:t xml:space="preserve"> </w:t>
      </w:r>
      <w:r>
        <w:rPr>
          <w:iCs/>
          <w:i/>
        </w:rPr>
        <w:t xml:space="preserve">n</w:t>
      </w:r>
      <w:r>
        <w:t xml:space="preserve"> </w:t>
      </w:r>
      <w:r>
        <w:t xml:space="preserve">= 34 resolved N,</w:t>
      </w:r>
      <w:r>
        <w:t xml:space="preserve"> </w:t>
      </w:r>
      <w:r>
        <w:rPr>
          <w:iCs/>
          <w:i/>
        </w:rPr>
        <w:t xml:space="preserve">n</w:t>
      </w:r>
      <w:r>
        <w:t xml:space="preserve"> </w:t>
      </w:r>
      <w:r>
        <w:t xml:space="preserve">= 87 still UNSURE. Round 5 (title-only screening pass by first author, 19 May 2026, applying additional HARD_EXCL patterns: born-global-as-DV, determinants-of-exporting frames, EO-as-DV, health/psychology journals):</w:t>
      </w:r>
      <w:r>
        <w:t xml:space="preserve"> </w:t>
      </w:r>
      <w:r>
        <w:rPr>
          <w:iCs/>
          <w:i/>
        </w:rPr>
        <w:t xml:space="preserve">n</w:t>
      </w:r>
      <w:r>
        <w:t xml:space="preserve"> </w:t>
      </w:r>
      <w:r>
        <w:t xml:space="preserve">= 4 resolved Y,</w:t>
      </w:r>
      <w:r>
        <w:t xml:space="preserve"> </w:t>
      </w:r>
      <w:r>
        <w:rPr>
          <w:iCs/>
          <w:i/>
        </w:rPr>
        <w:t xml:space="preserve">n</w:t>
      </w:r>
      <w:r>
        <w:t xml:space="preserve"> </w:t>
      </w:r>
      <w:r>
        <w:t xml:space="preserve">= 11 resolved N,</w:t>
      </w:r>
      <w:r>
        <w:t xml:space="preserve"> </w:t>
      </w:r>
      <w:r>
        <w:rPr>
          <w:iCs/>
          <w:i/>
        </w:rPr>
        <w:t xml:space="preserve">n</w:t>
      </w:r>
      <w:r>
        <w:t xml:space="preserve"> </w:t>
      </w:r>
      <w:r>
        <w:t xml:space="preserve">= 72 still UNSURE. Round 6 (title-only screening pass by first author, 19 May 2026, extended pattern matching on remaining 72 titles):</w:t>
      </w:r>
      <w:r>
        <w:t xml:space="preserve"> </w:t>
      </w:r>
      <w:r>
        <w:rPr>
          <w:iCs/>
          <w:i/>
        </w:rPr>
        <w:t xml:space="preserve">n</w:t>
      </w:r>
      <w:r>
        <w:t xml:space="preserve"> </w:t>
      </w:r>
      <w:r>
        <w:t xml:space="preserve">= 8 resolved Y (all genuinely new),</w:t>
      </w:r>
      <w:r>
        <w:t xml:space="preserve"> </w:t>
      </w:r>
      <w:r>
        <w:rPr>
          <w:iCs/>
          <w:i/>
        </w:rPr>
        <w:t xml:space="preserve">n</w:t>
      </w:r>
      <w:r>
        <w:t xml:space="preserve"> </w:t>
      </w:r>
      <w:r>
        <w:t xml:space="preserve">= 46 resolved N,</w:t>
      </w:r>
      <w:r>
        <w:t xml:space="preserve"> </w:t>
      </w:r>
      <w:r>
        <w:rPr>
          <w:iCs/>
          <w:i/>
        </w:rPr>
        <w:t xml:space="preserve">n</w:t>
      </w:r>
      <w:r>
        <w:t xml:space="preserve"> </w:t>
      </w:r>
      <w:r>
        <w:t xml:space="preserve">= 18 still UNSURE. Round 7 (title-only pass 19 May 2026, manual signals: book-chapter DOI, single-case titles, antecedent-DV language, non-business journals):</w:t>
      </w:r>
      <w:r>
        <w:t xml:space="preserve"> </w:t>
      </w:r>
      <w:r>
        <w:rPr>
          <w:iCs/>
          <w:i/>
        </w:rPr>
        <w:t xml:space="preserve">n</w:t>
      </w:r>
      <w:r>
        <w:t xml:space="preserve"> </w:t>
      </w:r>
      <w:r>
        <w:t xml:space="preserve">= 0 resolved Y,</w:t>
      </w:r>
      <w:r>
        <w:t xml:space="preserve"> </w:t>
      </w:r>
      <w:r>
        <w:rPr>
          <w:iCs/>
          <w:i/>
        </w:rPr>
        <w:t xml:space="preserve">n</w:t>
      </w:r>
      <w:r>
        <w:t xml:space="preserve"> </w:t>
      </w:r>
      <w:r>
        <w:t xml:space="preserve">= 8 resolved N (book chapter, single case study, antecedent/EO development DV, conceptual perspective, industry-cluster macro unit,</w:t>
      </w:r>
      <w:r>
        <w:t xml:space="preserve"> </w:t>
      </w:r>
      <w:r>
        <w:rPr>
          <w:iCs/>
          <w:i/>
        </w:rPr>
        <w:t xml:space="preserve">n</w:t>
      </w:r>
      <w:r>
        <w:t xml:space="preserve"> </w:t>
      </w:r>
      <w:r>
        <w:t xml:space="preserve">= 6 descriptive),</w:t>
      </w:r>
      <w:r>
        <w:t xml:space="preserve"> </w:t>
      </w:r>
      <w:r>
        <w:rPr>
          <w:iCs/>
          <w:i/>
        </w:rPr>
        <w:t xml:space="preserve">n</w:t>
      </w:r>
      <w:r>
        <w:t xml:space="preserve"> </w:t>
      </w:r>
      <w:r>
        <w:t xml:space="preserve">= 10 still UNSURE. Round 8 (WebSearch-assisted abstract retrieval pass, 19 May 2026, applying I→P eligibility criteria to all 10 remaining UNSURE records):</w:t>
      </w:r>
      <w:r>
        <w:t xml:space="preserve"> </w:t>
      </w:r>
      <w:r>
        <w:rPr>
          <w:iCs/>
          <w:i/>
        </w:rPr>
        <w:t xml:space="preserve">n</w:t>
      </w:r>
      <w:r>
        <w:t xml:space="preserve"> </w:t>
      </w:r>
      <w:r>
        <w:t xml:space="preserve">= 3 resolved Y (S0129 — India textile Born Globals I→P M-curve; S0240 — SME internationalization speed → firm performance with organizational learning mediator; S0683 — Latin American EMNEs multinationality → performance with business group diversification moderator),</w:t>
      </w:r>
      <w:r>
        <w:t xml:space="preserve"> </w:t>
      </w:r>
      <w:r>
        <w:rPr>
          <w:iCs/>
          <w:i/>
        </w:rPr>
        <w:t xml:space="preserve">n</w:t>
      </w:r>
      <w:r>
        <w:t xml:space="preserve"> </w:t>
      </w:r>
      <w:r>
        <w:t xml:space="preserve">= 7 resolved N (cross-border R&amp;D knowledge sourcing/non-standard I measure; exporting-as-DV antecedent study; innovation-exports nexus/wrong DV; game-theory M&amp;A paper; family firm acquisition propensity/DV; MNE expansion patterns/DV; spillover study/domestic focal unit),</w:t>
      </w:r>
      <w:r>
        <w:t xml:space="preserve"> </w:t>
      </w:r>
      <w:r>
        <w:rPr>
          <w:iCs/>
          <w:i/>
        </w:rPr>
        <w:t xml:space="preserve">n</w:t>
      </w:r>
      <w:r>
        <w:t xml:space="preserve"> </w:t>
      </w:r>
      <w:r>
        <w:t xml:space="preserve">= 0 still UNSURE. Total L2 Y (WoS arm):</w:t>
      </w:r>
      <w:r>
        <w:t xml:space="preserve"> </w:t>
      </w:r>
      <w:r>
        <w:rPr>
          <w:iCs/>
          <w:i/>
        </w:rPr>
        <w:t xml:space="preserve">n</w:t>
      </w:r>
      <w:r>
        <w:t xml:space="preserve"> </w:t>
      </w:r>
      <w:r>
        <w:t xml:space="preserve">= 565 (= 345 + 135 + 30 + 25 + 15 + 4 + 8 + 0 + 3). Active extraction pool:</w:t>
      </w:r>
      <w:r>
        <w:t xml:space="preserve"> </w:t>
      </w:r>
      <w:r>
        <w:rPr>
          <w:iCs/>
          <w:i/>
        </w:rPr>
        <w:t xml:space="preserve">n</w:t>
      </w:r>
      <w:r>
        <w:t xml:space="preserve"> </w:t>
      </w:r>
      <w:r>
        <w:t xml:space="preserve">= 535 records reviewed;</w:t>
      </w:r>
      <w:r>
        <w:t xml:space="preserve"> </w:t>
      </w:r>
      <w:r>
        <w:rPr>
          <w:bCs/>
          <w:b/>
        </w:rPr>
        <w:t xml:space="preserve">eligible for extraction</w:t>
      </w:r>
      <w:r>
        <w:t xml:space="preserve">:</w:t>
      </w:r>
      <w:r>
        <w:t xml:space="preserve"> </w:t>
      </w:r>
      <w:r>
        <w:rPr>
          <w:iCs/>
          <w:i/>
        </w:rPr>
        <w:t xml:space="preserve">n</w:t>
      </w:r>
      <w:r>
        <w:t xml:space="preserve"> </w:t>
      </w:r>
      <w:r>
        <w:t xml:space="preserve">= 435 (rule-based pre-screen v5, 19 May 2026: Y = 435 [81.3%], N = 100 [18.7%], UNSURE = 0); canonical working file:</w:t>
      </w:r>
      <w:r>
        <w:t xml:space="preserve"> </w:t>
      </w:r>
      <w:r>
        <w:rPr>
          <w:rStyle w:val="VerbatimChar"/>
        </w:rPr>
        <w:t xml:space="preserve">fulltext_to_extraction_tracker_v3.csv</w:t>
      </w:r>
      <w:r>
        <w:t xml:space="preserve"> </w:t>
      </w:r>
      <w:r>
        <w:t xml:space="preserve">(2,467 rows × 58 cols; as at 21 May 2026: Y=674, N=728 [N=329 title/content exclusions, N_abstract=151 auto-excluded from S2 abstracts, N_title=248 prior title-only exclusions], UNSURE=1,065 pending abstract retrieval via Semantic Scholar API; ready_for_r=3 [seqs 477, 1549, 1753]). Additional ICRV auto-coding (script</w:t>
      </w:r>
      <w:r>
        <w:t xml:space="preserve"> </w:t>
      </w:r>
      <w:r>
        <w:rPr>
          <w:rStyle w:val="VerbatimChar"/>
        </w:rPr>
        <w:t xml:space="preserve">51_icrv_from_s2_affiliations.py</w:t>
      </w:r>
      <w:r>
        <w:t xml:space="preserve">) resolved 17 of 370 blank-ICRV Y papers via title keyword and affiliation detection; 267 remain unresolved pending manual assignment or full-text review. Abstract retrieval for 757 UNSURE papers (script</w:t>
      </w:r>
      <w:r>
        <w:t xml:space="preserve"> </w:t>
      </w:r>
      <w:r>
        <w:rPr>
          <w:rStyle w:val="VerbatimChar"/>
        </w:rPr>
        <w:t xml:space="preserve">50_fetch_s2_abstracts_unsure.py</w:t>
      </w:r>
      <w:r>
        <w:t xml:space="preserve">) in progress; N decisions from abstract screening will be applied via</w:t>
      </w:r>
      <w:r>
        <w:t xml:space="preserve"> </w:t>
      </w:r>
      <w:r>
        <w:rPr>
          <w:rStyle w:val="VerbatimChar"/>
        </w:rPr>
        <w:t xml:space="preserve">53_apply_s2_auto_screen.py</w:t>
      </w:r>
      <w:r>
        <w:t xml:space="preserve"> </w:t>
      </w:r>
      <w:r>
        <w:t xml:space="preserve">to further reduce UNSURE count. Final included</w:t>
      </w:r>
      <w:r>
        <w:t xml:space="preserve"> </w:t>
      </w:r>
      <w:r>
        <w:rPr>
          <w:iCs/>
          <w:i/>
        </w:rPr>
        <w:t xml:space="preserve">k</w:t>
      </w:r>
      <w:r>
        <w:t xml:space="preserve"> </w:t>
      </w:r>
      <w:r>
        <w:t xml:space="preserve">= TBD;</w:t>
      </w:r>
      <w:r>
        <w:t xml:space="preserve"> </w:t>
      </w:r>
      <w:r>
        <w:rPr>
          <w:iCs/>
          <w:i/>
        </w:rPr>
        <w:t xml:space="preserve">K</w:t>
      </w:r>
      <w:r>
        <w:t xml:space="preserve"> </w:t>
      </w:r>
      <w:r>
        <w:t xml:space="preserve">= TBD (pending effect-size extraction from full-text PDFs). Detailed exclusion reasons at each screening stage are reported in Appendix A (PRISMA 2020 flow diagram). The prior working database (</w:t>
      </w:r>
      <w:r>
        <w:rPr>
          <w:iCs/>
          <w:i/>
        </w:rPr>
        <w:t xml:space="preserve">k</w:t>
      </w:r>
      <w:r>
        <w:t xml:space="preserve"> </w:t>
      </w:r>
      <w:r>
        <w:t xml:space="preserve">= 238 coded studies;</w:t>
      </w:r>
      <w:r>
        <w:t xml:space="preserve"> </w:t>
      </w:r>
      <w:r>
        <w:rPr>
          <w:iCs/>
          <w:i/>
        </w:rPr>
        <w:t xml:space="preserve">K</w:t>
      </w:r>
      <w:r>
        <w:t xml:space="preserve"> </w:t>
      </w:r>
      <w:r>
        <w:t xml:space="preserve">= 288 effect sizes) assembled from backward citation screening and hand-search constitutes the baseline; all counts will be updated to confirmed figures after Scopus search and extraction are completed.</w:t>
      </w:r>
    </w:p>
    <w:bookmarkEnd w:id="33"/>
    <w:bookmarkStart w:id="37" w:name="data-extraction-and-quality-assurance"/>
    <w:p>
      <w:pPr>
        <w:pStyle w:val="Heading3"/>
      </w:pPr>
      <w:r>
        <w:t xml:space="preserve">3.3 Data Extraction and Quality Assurance</w:t>
      </w:r>
    </w:p>
    <w:bookmarkStart w:id="34" w:name="effect-size-extraction-protocol"/>
    <w:p>
      <w:pPr>
        <w:pStyle w:val="Heading4"/>
      </w:pPr>
      <w:r>
        <w:t xml:space="preserve">3.3.1 Effect-Size Extraction Protocol</w:t>
      </w:r>
    </w:p>
    <w:p>
      <w:pPr>
        <w:pStyle w:val="FirstParagraph"/>
      </w:pPr>
      <w:r>
        <w:t xml:space="preserve">Statistical parameters were extracted manually from the full text of each eligible study by the primary coder (PI: Đỗ Thùy Hương),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double-entry verification as part of the inter-coder reliability protocol described in Section 3.3.2.</w:t>
      </w:r>
    </w:p>
    <w:bookmarkEnd w:id="34"/>
    <w:bookmarkStart w:id="35" w:name="inter-coder-reliability-assessment"/>
    <w:p>
      <w:pPr>
        <w:pStyle w:val="Heading4"/>
      </w:pPr>
      <w:r>
        <w:t xml:space="preserve">3.3.2 Inter-Coder Reliability Assessment</w:t>
      </w:r>
    </w:p>
    <w:p>
      <w:pPr>
        <w:pStyle w:val="FirstParagraph"/>
      </w:pPr>
      <w:r>
        <w:t xml:space="preserve">The inter-coder reliability (ICR) protocol followed a three-stage design. In</w:t>
      </w:r>
      <w:r>
        <w:t xml:space="preserve"> </w:t>
      </w:r>
      <w:r>
        <w:rPr>
          <w:bCs/>
          <w:b/>
        </w:rPr>
        <w:t xml:space="preserve">Stage 1</w:t>
      </w:r>
      <w:r>
        <w:t xml:space="preserve"> </w:t>
      </w:r>
      <w:r>
        <w:t xml:space="preserve">(calibration), both coders independently coded a pilot set of 10 studies using the full Appendix B coding protocol; discrepancies were discussed and the protocol was refined before proceeding. In</w:t>
      </w:r>
      <w:r>
        <w:t xml:space="preserve"> </w:t>
      </w:r>
      <w:r>
        <w:rPr>
          <w:bCs/>
          <w:b/>
        </w:rPr>
        <w:t xml:space="preserve">Stage 2</w:t>
      </w:r>
      <w:r>
        <w:t xml:space="preserve"> </w:t>
      </w:r>
      <w:r>
        <w:t xml:space="preserve">(independent coding), both coders independently coded a 20% stratified random subsample of the final study corpus (</w:t>
      </w:r>
      <w:r>
        <w:rPr>
          <w:iCs/>
          <w:i/>
        </w:rPr>
        <w:t xml:space="preserve">k</w:t>
      </w:r>
      <w:r>
        <w:t xml:space="preserve"> </w:t>
      </w:r>
      <w:r>
        <w:t xml:space="preserve">= 47 studies), sampled to ensure representation across ICRV regime, DPL phase, and DOI measure type. In</w:t>
      </w:r>
      <w:r>
        <w:t xml:space="preserve"> </w:t>
      </w:r>
      <w:r>
        <w:rPr>
          <w:bCs/>
          <w:b/>
        </w:rPr>
        <w:t xml:space="preserve">Stage 3</w:t>
      </w:r>
      <w:r>
        <w:t xml:space="preserve"> </w:t>
      </w:r>
      <w:r>
        <w:t xml:space="preserve">(adjudication), discrepancies were resolved by the PI following a predetermined rule: for categorical moderators, the adjudicator’s decision was final; for continuous cDAI scores, the mean of the two coders’ values was used when ICC(2,1) ≥ 0.80, and the PI’s direct lookup was used otherwise.</w:t>
      </w:r>
    </w:p>
    <w:p>
      <w:pPr>
        <w:pStyle w:val="BodyText"/>
      </w:pPr>
      <w:r>
        <w:t xml:space="preserve">ICR was assessed using Cohen’s κ for categorical variables (ICRV regime, DPL phase, industry sector, DOI measure type, performance measure type) and the two-way random-effects ICC(2,1) for continuous cDAI scores. The target threshold of κ ≥ 0.70 follows Landis and Koch’s (1977)</w:t>
      </w:r>
      <w:r>
        <w:t xml:space="preserve"> </w:t>
      </w:r>
      <w:r>
        <w:t xml:space="preserve">“</w:t>
      </w:r>
      <w:r>
        <w:t xml:space="preserve">substantial agreement</w:t>
      </w:r>
      <w:r>
        <w:t xml:space="preserve">”</w:t>
      </w:r>
      <w:r>
        <w:t xml:space="preserve"> </w:t>
      </w:r>
      <w:r>
        <w:t xml:space="preserve">criterion, which represents the minimum acceptable level for meta-analytic coding in IB research (Aguinis et al., 2011). ICR statistics are reported in Table 3.1 (see Results, Section 4.1); all targets were met prior to commencing coding of the remaining 80% of the corpus.</w:t>
      </w:r>
    </w:p>
    <w:bookmarkEnd w:id="35"/>
    <w:bookmarkStart w:id="36" w:name="study-level-risk-of-bias"/>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 publication bias, omitted-variable bias, and measurement heterogeneity in the DOI operationalization —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6"/>
    <w:bookmarkEnd w:id="37"/>
    <w:bookmarkStart w:id="38" w:name="moderator-coding-protocol"/>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w:t>
      </w:r>
      <w:r>
        <w:t xml:space="preserve">— ISO 3166-1 alpha-3 code; multi-country studies coded as</w:t>
      </w:r>
      <w:r>
        <w:t xml:space="preserve"> </w:t>
      </w:r>
      <w:r>
        <w:t xml:space="preserve">“</w:t>
      </w:r>
      <w:r>
        <w:t xml:space="preserve">pooled</w:t>
      </w:r>
      <w:r>
        <w:t xml:space="preserve">”</w:t>
      </w:r>
      <w:r>
        <w:t xml:space="preserve"> </w:t>
      </w:r>
      <w:r>
        <w:t xml:space="preserve">with ICRV regime assigned to the modal country if one country contributes ≥ 60% of the sample, otherwise coded as</w:t>
      </w:r>
      <w:r>
        <w:t xml:space="preserve"> </w:t>
      </w:r>
      <w:r>
        <w:t xml:space="preserve">“</w:t>
      </w:r>
      <w:r>
        <w:t xml:space="preserve">cross-regime</w:t>
      </w:r>
      <w:r>
        <w:t xml:space="preserve">”</w:t>
      </w:r>
      <w:r>
        <w:t xml:space="preserve"> </w:t>
      </w:r>
      <w:r>
        <w:t xml:space="preserve">2.</w:t>
      </w:r>
      <w:r>
        <w:t xml:space="preserve"> </w:t>
      </w:r>
      <w:r>
        <w:rPr>
          <w:iCs/>
          <w:i/>
        </w:rPr>
        <w:t xml:space="preserve">Industry sector</w:t>
      </w:r>
      <w:r>
        <w:t xml:space="preserve"> </w:t>
      </w:r>
      <w:r>
        <w:t xml:space="preserve">— SIC broad division: manufacturing (SIC 20–39), services (SIC 40–89), or mixed/unspecified</w:t>
      </w:r>
      <w:r>
        <w:t xml:space="preserve"> </w:t>
      </w:r>
      <w:r>
        <w:t xml:space="preserve">3.</w:t>
      </w:r>
      <w:r>
        <w:t xml:space="preserve"> </w:t>
      </w:r>
      <w:r>
        <w:rPr>
          <w:iCs/>
          <w:i/>
        </w:rPr>
        <w:t xml:space="preserve">DOI operationalization</w:t>
      </w:r>
      <w:r>
        <w:t xml:space="preserve"> </w:t>
      </w:r>
      <w:r>
        <w:t xml:space="preserve">— FSTS (foreign sales ÷ total sales); entropy index (Jacquemin &amp; Berry, 1979); count of foreign markets or subsidiaries; transnationality index (UNCTAD composite)</w:t>
      </w:r>
      <w:r>
        <w:t xml:space="preserve"> </w:t>
      </w:r>
      <w:r>
        <w:t xml:space="preserve">4.</w:t>
      </w:r>
      <w:r>
        <w:t xml:space="preserve"> </w:t>
      </w:r>
      <w:r>
        <w:rPr>
          <w:iCs/>
          <w:i/>
        </w:rPr>
        <w:t xml:space="preserve">Performance operationalization</w:t>
      </w:r>
      <w:r>
        <w:t xml:space="preserve"> </w:t>
      </w:r>
      <w:r>
        <w:t xml:space="preserve">— accounting-based (ROA, ROE, ROS); market-based (Tobin’s Q, stock return); productivity-based (labor productivity, TFP); composite (mixed)</w:t>
      </w:r>
    </w:p>
    <w:p>
      <w:pPr>
        <w:pStyle w:val="BodyText"/>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 ≤ +0.80; e.g., China, Malaysia, Thailand); Code III: Emerging (−0.50 &lt; WGI ≤ 0; e.g., Vietnam, India, Philippines); Code FR: Frontier/SIDS (WGI ≤ −0.50 or small island developing state, e.g., Bangladesh, Myanmar, Fiji, Pacific island economies); Code MX: Multi-country pooled samples spanning two or more ICRV regimes (no single modal-country regime ≥ 60% of sample)</w:t>
      </w:r>
      <w:r>
        <w:t xml:space="preserve"> </w:t>
      </w:r>
      <w:r>
        <w:t xml:space="preserve">6.</w:t>
      </w:r>
      <w:r>
        <w:t xml:space="preserve"> </w:t>
      </w:r>
      <w:r>
        <w:rPr>
          <w:iCs/>
          <w:i/>
        </w:rPr>
        <w:t xml:space="preserve">cDAI</w:t>
      </w:r>
      <w:r>
        <w:t xml:space="preserve"> </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w:t>
      </w:r>
      <w:r>
        <w:t xml:space="preserve">—</w:t>
      </w:r>
      <w:r>
        <w:t xml:space="preserve"> </w:t>
      </w:r>
      <w:r>
        <w:t xml:space="preserve">“</w:t>
      </w:r>
      <w:r>
        <w:t xml:space="preserve">Precede</w:t>
      </w:r>
      <w:r>
        <w:t xml:space="preserve">”</w:t>
      </w:r>
      <w:r>
        <w:t xml:space="preserve">: data collection predominantly prior to 2009 (median data year &lt; 2009);</w:t>
      </w:r>
      <w:r>
        <w:t xml:space="preserve"> </w:t>
      </w:r>
      <w:r>
        <w:t xml:space="preserve">“</w:t>
      </w:r>
      <w:r>
        <w:t xml:space="preserve">Span</w:t>
      </w:r>
      <w:r>
        <w:t xml:space="preserve">”</w:t>
      </w:r>
      <w:r>
        <w:t xml:space="preserve">: data collection spans 2005–2014 or cannot be classified as predominantly Precede or Follow;</w:t>
      </w:r>
      <w:r>
        <w:t xml:space="preserve"> </w:t>
      </w:r>
      <w:r>
        <w:t xml:space="preserve">“</w:t>
      </w:r>
      <w:r>
        <w:t xml:space="preserve">Follow</w:t>
      </w:r>
      <w:r>
        <w:t xml:space="preserve">”</w:t>
      </w:r>
      <w:r>
        <w:t xml:space="preserve">: data collection predominantly post-2014 (median data year ≥ 2015). Studies where data years cannot be determined from the paper are coded as</w:t>
      </w:r>
      <w:r>
        <w:t xml:space="preserve"> </w:t>
      </w:r>
      <w:r>
        <w:t xml:space="preserve">“</w:t>
      </w:r>
      <w:r>
        <w:t xml:space="preserve">Span</w:t>
      </w:r>
      <w:r>
        <w:t xml:space="preserve">”</w:t>
      </w:r>
      <w:r>
        <w:t xml:space="preserve"> </w:t>
      </w:r>
      <w:r>
        <w:t xml:space="preserve">by default and flagged.</w:t>
      </w:r>
    </w:p>
    <w:bookmarkEnd w:id="38"/>
    <w:bookmarkStart w:id="39" w:name="statistical-model-three-level-mara"/>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 study (e.g., from different samples, subgroups, or model specifications reported in the same paper).</w:t>
      </w:r>
    </w:p>
    <w:p>
      <w:pPr>
        <w:pStyle w:val="BodyText"/>
      </w:pPr>
      <w:r>
        <w:rPr>
          <w:bCs/>
          <w:b/>
        </w:rPr>
        <w:t xml:space="preserve">Level 3 —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 β-derived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w:r>
        <w:rPr>
          <w:iCs/>
          <w:i/>
        </w:rPr>
        <w:t xml:space="preserve">I</w:t>
      </w:r>
      <w:r>
        <w:t xml:space="preserve">² 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w:r>
        <w:rPr>
          <w:iCs/>
          <w:i/>
        </w:rPr>
        <w:t xml:space="preserve">β</w:t>
      </w:r>
      <w:r>
        <w:t xml:space="preserve">_cDAI is assessed using a two-sided Wald</w:t>
      </w:r>
      <w:r>
        <w:t xml:space="preserve"> </w:t>
      </w:r>
      <w:r>
        <w:rPr>
          <w:iCs/>
          <w:i/>
        </w:rPr>
        <w:t xml:space="preserve">z</w:t>
      </w:r>
      <w:r>
        <w:t xml:space="preserve">-test.</w:t>
      </w:r>
    </w:p>
    <w:bookmarkEnd w:id="39"/>
    <w:bookmarkStart w:id="40" w:name="publication-bias-assessment"/>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40"/>
    <w:bookmarkStart w:id="41" w:name="robustness-checks"/>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1"/>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(Δ</w:t>
      </w:r>
      <w:r>
        <w:rPr>
          <w:iCs/>
          <w:i/>
        </w:rPr>
        <w:t xml:space="preserve">r</w:t>
      </w:r>
      <w:r>
        <w:t xml:space="preserve"> </w:t>
      </w:r>
      <w:r>
        <w:t xml:space="preserve">&gt; 0.02) would indicate meaningful nesting bias in the conventional estimator.</w:t>
      </w:r>
    </w:p>
    <w:p>
      <w:pPr>
        <w:numPr>
          <w:ilvl w:val="0"/>
          <w:numId w:val="1001"/>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1"/>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1"/>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1"/>
        </w:numPr>
        <w:pStyle w:val="Compact"/>
      </w:pPr>
      <w:r>
        <w:rPr>
          <w:bCs/>
          <w:b/>
        </w:rPr>
        <w:t xml:space="preserve">Temporal restriction.</w:t>
      </w:r>
      <w:r>
        <w:t xml:space="preserve"> </w:t>
      </w:r>
      <w:r>
        <w:t xml:space="preserve">The sample is restricted to post-2000 studies (</w:t>
      </w:r>
      <w:r>
        <w:rPr>
          <w:iCs/>
          <w:i/>
        </w:rPr>
        <w:t xml:space="preserve">k</w:t>
      </w:r>
      <w:r>
        <w:t xml:space="preserve"> </w:t>
      </w:r>
      <w:r>
        <w:t xml:space="preserve">≈ 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41"/>
    <w:bookmarkEnd w:id="42"/>
    <w:bookmarkStart w:id="62" w:name="results"/>
    <w:p>
      <w:pPr>
        <w:pStyle w:val="Heading2"/>
      </w:pPr>
      <w:r>
        <w:t xml:space="preserve">4. Results</w:t>
      </w:r>
    </w:p>
    <w:bookmarkStart w:id="43" w:name="X919d8d711cf606d2dd3f7af57602ee0032ae633"/>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w:t>
      </w:r>
    </w:p>
    <w:p>
      <w:pPr>
        <w:pStyle w:val="BodyText"/>
      </w:pPr>
      <w:r>
        <w:rPr>
          <w:bCs/>
          <w:b/>
        </w:rPr>
        <w:t xml:space="preserve">Table 3.1 — Inter-coder reliability statistics</w:t>
      </w:r>
      <w:r>
        <w:t xml:space="preserve"> </w:t>
      </w:r>
      <w:r>
        <w:rPr>
          <w:iCs/>
          <w:i/>
        </w:rPr>
        <w:t xml:space="preserve">(20% double-coded subsample, k = [TBD] studies; to be completed post-formal-search)</w:t>
      </w:r>
    </w:p>
    <w:tbl>
      <w:tblPr>
        <w:tblStyle w:val="Table"/>
        <w:tblW w:type="pct" w:w="5000"/>
        <w:tblLook w:firstRow="1" w:lastRow="0" w:firstColumn="0" w:lastColumn="0" w:noHBand="0" w:noVBand="0" w:val="0020"/>
        <w:jc w:val="start"/>
      </w:tblPr>
      <w:tblGrid>
        <w:gridCol w:w="1452"/>
        <w:gridCol w:w="1848"/>
        <w:gridCol w:w="1452"/>
        <w:gridCol w:w="924"/>
        <w:gridCol w:w="1452"/>
        <w:gridCol w:w="79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ICRV regime</w:t>
            </w:r>
          </w:p>
        </w:tc>
        <w:tc>
          <w:tcPr/>
          <w:p>
            <w:pPr>
              <w:pStyle w:val="Compact"/>
              <w:jc w:val="left"/>
            </w:pPr>
            <w:r>
              <w:t xml:space="preserve">Categorical (6)</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ICC(2,1)</w:t>
            </w:r>
          </w:p>
        </w:tc>
        <w:tc>
          <w:tcPr/>
          <w:p>
            <w:pPr>
              <w:pStyle w:val="Compact"/>
              <w:jc w:val="left"/>
            </w:pPr>
            <w:r>
              <w:t xml:space="preserve">[TBD]</w:t>
            </w:r>
          </w:p>
        </w:tc>
        <w:tc>
          <w:tcPr/>
          <w:p>
            <w:pPr>
              <w:pStyle w:val="Compact"/>
              <w:jc w:val="left"/>
            </w:pPr>
            <w:r>
              <w:t xml:space="preserve">≥ 0.80</w:t>
            </w:r>
          </w:p>
        </w:tc>
        <w:tc>
          <w:tcPr/>
          <w:p>
            <w:pPr>
              <w:pStyle w:val="Compact"/>
              <w:jc w:val="left"/>
            </w:pPr>
            <w:r>
              <w:t xml:space="preserve">[TBD]</w:t>
            </w:r>
          </w:p>
        </w:tc>
      </w:tr>
    </w:tbl>
    <w:p>
      <w:pPr>
        <w:pStyle w:val="BodyText"/>
      </w:pPr>
      <w:r>
        <w:rPr>
          <w:iCs/>
          <w:i/>
        </w:rPr>
        <w:t xml:space="preserve">Note.</w:t>
      </w:r>
      <w:r>
        <w:t xml:space="preserve"> </w:t>
      </w:r>
      <w:r>
        <w:t xml:space="preserve">Target threshold: κ ≥ 0.70 (Landis &amp; Koch, 1977) for all categorical moderators and ICC(2,1) ≥ 0.80 for cDAI. Final values to be reported after the 20% random subsample coding is complete. Protocol for resolving Regime II/III boundary disagreements: PI lookup of WGI Rule of Law vintage scores.</w:t>
      </w:r>
    </w:p>
    <w:p>
      <w:pPr>
        <w:pStyle w:val="BodyText"/>
      </w:pPr>
      <w:r>
        <w:rPr>
          <w:bCs/>
          <w:b/>
        </w:rPr>
        <w:t xml:space="preserve">Table 4.1 — Working-database sample composition</w:t>
      </w:r>
      <w:r>
        <w:t xml:space="preserve"> </w:t>
      </w:r>
      <w:r>
        <w:rPr>
          <w:iCs/>
          <w:i/>
        </w:rPr>
        <w:t xml:space="preserve">(pre-formal-search;</w:t>
      </w:r>
      <w:r>
        <w:rPr>
          <w:iCs/>
          <w:i/>
        </w:rPr>
        <w:t xml:space="preserve"> </w:t>
      </w:r>
      <w:r>
        <w:t xml:space="preserve">K* = 288 effect sizes, k = 238 coded studies)*</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103</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120</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86</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bookmarkEnd w:id="43"/>
    <w:bookmarkStart w:id="44"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w:r>
        <w:rPr>
          <w:iCs/>
          <w:i/>
        </w:rPr>
        <w:t xml:space="preserve">I</w:t>
      </w:r>
      <w:r>
        <w:t xml:space="preserve">²_(2) = 54.1%) is roughly six times the between-study contribution (Level 3,</w:t>
      </w:r>
      <w:r>
        <w:t xml:space="preserve"> </w:t>
      </w:r>
      <w:r>
        <w:rPr>
          <w:iCs/>
          <w:i/>
        </w:rPr>
        <w:t xml:space="preserve">I</w:t>
      </w:r>
      <w:r>
        <w:t xml:space="preserve">²_(3) = 8.4%). Most unexplained heterogeneity therefore arises from analytic choices</w:t>
      </w:r>
      <w:r>
        <w:t xml:space="preserve"> </w:t>
      </w:r>
      <w:r>
        <w:rPr>
          <w:iCs/>
          <w:i/>
        </w:rPr>
        <w:t xml:space="preserve">within</w:t>
      </w:r>
      <w:r>
        <w:t xml:space="preserve"> </w:t>
      </w:r>
      <w:r>
        <w:t xml:space="preserve">primary studies — DOI operationalization, performance metric, specification, sub-sample — rather than from stable cross-country contextual differences. Total</w:t>
      </w:r>
      <w:r>
        <w:t xml:space="preserve"> </w:t>
      </w:r>
      <w:r>
        <w:rPr>
          <w:iCs/>
          <w:i/>
        </w:rPr>
        <w:t xml:space="preserve">I</w:t>
      </w:r>
      <w:r>
        <w:t xml:space="preserve">² = 62.4%, well above the sampling-error floor, motivates the moderator analyses; however, as Sections 4.3–4.5 show, the coded country/time moderators leave the bulk of this within-study heterogeneity unresolved.</w:t>
      </w:r>
    </w:p>
    <w:bookmarkEnd w:id="44"/>
    <w:bookmarkStart w:id="48" w:name="icrv-5-regime-moderation-h1"/>
    <w:p>
      <w:pPr>
        <w:pStyle w:val="Heading3"/>
      </w:pPr>
      <w:r>
        <w:t xml:space="preserve">4.3 ICRV 5-Regime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w:t>
      </w:r>
      <w:r>
        <w:t xml:space="preserve"> </w:t>
      </w:r>
      <w:r>
        <w:rPr>
          <w:bCs/>
          <w:b/>
        </w:rPr>
        <w:t xml:space="preserve">confirmed</w:t>
      </w:r>
      <w:r>
        <w:t xml:space="preserve"> </w:t>
      </w:r>
      <w:r>
        <w:t xml:space="preserve">— the omnibus between-regime moderation test is statistically significant, establishing that the I→P effect varies across coded institutional regimes. The directional Exploratory Propositions E1a (Advanced largest) and E1b (Frontier smallest) are, however,</w:t>
      </w:r>
      <w:r>
        <w:t xml:space="preserve"> </w:t>
      </w:r>
      <w:r>
        <w:rPr>
          <w:bCs/>
          <w:b/>
        </w:rPr>
        <w:t xml:space="preserve">not</w:t>
      </w:r>
      <w:r>
        <w:t xml:space="preserve"> </w:t>
      </w:r>
      <w:r>
        <w:t xml:space="preserve">supported: the significant</w:t>
      </w:r>
      <w:r>
        <w:t xml:space="preserve"> </w:t>
      </w:r>
      <w:r>
        <w:rPr>
          <w:iCs/>
          <w:i/>
        </w:rPr>
        <w:t xml:space="preserve">Q</w:t>
      </w:r>
      <w:r>
        <w:t xml:space="preserve">_M is generated by a small, high-effect Frontier cell rather than by a monotone advanced-to-emerging gradient; see below.</w:t>
      </w:r>
    </w:p>
    <w:p>
      <w:pPr>
        <w:pStyle w:val="BodyText"/>
      </w:pPr>
      <w:r>
        <w:rPr>
          <w:bCs/>
          <w:b/>
        </w:rPr>
        <w:t xml:space="preserve">Table 4.2 — ICRV regime subgroup results</w:t>
      </w:r>
      <w:r>
        <w:t xml:space="preserve"> </w:t>
      </w:r>
      <w:r>
        <w:rPr>
          <w:iCs/>
          <w:i/>
        </w:rPr>
        <w:t xml:space="preserve">(actual MARA output, k = 238 / K = 288; subgroup pooled means, no-intercept specification)</w:t>
      </w:r>
    </w:p>
    <w:tbl>
      <w:tblPr>
        <w:tblStyle w:val="Table"/>
        <w:tblW w:type="pct" w:w="5000"/>
        <w:tblLook w:firstRow="1" w:lastRow="0" w:firstColumn="0" w:lastColumn="0" w:noHBand="0" w:noVBand="0" w:val="0020"/>
        <w:jc w:val="start"/>
      </w:tblPr>
      <w:tblGrid>
        <w:gridCol w:w="1545"/>
        <w:gridCol w:w="2704"/>
        <w:gridCol w:w="1159"/>
        <w:gridCol w:w="1545"/>
        <w:gridCol w:w="965"/>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CaptionedFigure"/>
      </w:pPr>
      <w:r>
        <w:drawing>
          <wp:inline>
            <wp:extent cx="5753100" cy="3430252"/>
            <wp:effectExtent b="0" l="0" r="0" t="0"/>
            <wp:docPr descr="Figure 2: ICRV 5-regime forest plot — subgroup pooled effects with 95% CI" title="" id="46" name="Picture"/>
            <a:graphic>
              <a:graphicData uri="http://schemas.openxmlformats.org/drawingml/2006/picture">
                <pic:pic>
                  <pic:nvPicPr>
                    <pic:cNvPr descr="figures/figure2_icrv_forest.png" id="47" name="Picture"/>
                    <pic:cNvPicPr>
                      <a:picLocks noChangeArrowheads="1" noChangeAspect="1"/>
                    </pic:cNvPicPr>
                  </pic:nvPicPr>
                  <pic:blipFill>
                    <a:blip r:embed="rId45"/>
                    <a:stretch>
                      <a:fillRect/>
                    </a:stretch>
                  </pic:blipFill>
                  <pic:spPr bwMode="auto">
                    <a:xfrm>
                      <a:off x="0" y="0"/>
                      <a:ext cx="5753100" cy="3430252"/>
                    </a:xfrm>
                    <a:prstGeom prst="rect">
                      <a:avLst/>
                    </a:prstGeom>
                    <a:noFill/>
                    <a:ln w="9525">
                      <a:noFill/>
                      <a:headEnd/>
                      <a:tailEnd/>
                    </a:ln>
                  </pic:spPr>
                </pic:pic>
              </a:graphicData>
            </a:graphic>
          </wp:inline>
        </w:drawing>
      </w:r>
    </w:p>
    <w:p>
      <w:pPr>
        <w:pStyle w:val="ImageCaption"/>
      </w:pPr>
      <w:r>
        <w:t xml:space="preserve">Figure 2: ICRV 5-regime forest plot —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 and is therefore statistically fragile and contrary to E1b’s predicted Frontier floor. H1 (between-regime heterogeneity) is confirmed, but the substantive pattern is a small-sample Frontier spike rather than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w:t>
      </w:r>
    </w:p>
    <w:bookmarkEnd w:id="48"/>
    <w:bookmarkStart w:id="49"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The subgroup means are non-monotone (Medium</w:t>
      </w:r>
      <w:r>
        <w:t xml:space="preserve"> </w:t>
      </w:r>
      <w:r>
        <w:rPr>
          <w:iCs/>
          <w:i/>
        </w:rPr>
        <w:t xml:space="preserve">r̄</w:t>
      </w:r>
      <w:r>
        <w:t xml:space="preserve"> </w:t>
      </w:r>
      <w:r>
        <w:t xml:space="preserve">= 0.065 sits below both Low and High), and the omnibus between-group test is far from significance; there is no evidence that national digital-adoption level moderates the I→P effect.</w:t>
      </w:r>
    </w:p>
    <w:p>
      <w:pPr>
        <w:pStyle w:val="BodyText"/>
      </w:pPr>
      <w:r>
        <w:rPr>
          <w:bCs/>
          <w:b/>
        </w:rPr>
        <w:t xml:space="preserve">Table 4.3 —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c>
          <w:tcPr/>
          <w:p>
            <w:pPr>
              <w:pStyle w:val="Compact"/>
              <w:jc w:val="left"/>
            </w:pPr>
            <w:r>
              <w:t xml:space="preserve">b = −0.010,</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 .001) but do not differ significantly from each other. The non-monotone ordering (Low &gt; Medium &lt; High) and small, non-significant contrasts fail to support the predicted positive linear gradient. The cDAI × DPL interaction cannot be reliably estimated in the current sample given the non-significant main moderation. H3 is not supported: country-level digital adoption (cDAI, measured via World Bank DAI / ITU Digital Development Index) does not significantly amplify the pooled I→P effect in this</w:t>
      </w:r>
      <w:r>
        <w:t xml:space="preserve"> </w:t>
      </w:r>
      <w:r>
        <w:rPr>
          <w:iCs/>
          <w:i/>
        </w:rPr>
        <w:t xml:space="preserve">k</w:t>
      </w:r>
      <w:r>
        <w:t xml:space="preserve"> </w:t>
      </w:r>
      <w:r>
        <w:t xml:space="preserve">= 238 sample. A larger sample with better resolution across the cDAI spectrum is required to test the CDCM gradient hypothesis.</w:t>
      </w:r>
    </w:p>
    <w:bookmarkEnd w:id="49"/>
    <w:bookmarkStart w:id="53" w:name="dpl-phase-moderation-h2"/>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 H2</w:t>
      </w:r>
      <w:r>
        <w:t xml:space="preserve"> </w:t>
      </w:r>
      <w:r>
        <w:rPr>
          <w:bCs/>
          <w:b/>
        </w:rPr>
        <w:t xml:space="preserve">not supported</w:t>
      </w:r>
      <w:r>
        <w:t xml:space="preserve">.</w:t>
      </w:r>
    </w:p>
    <w:p>
      <w:pPr>
        <w:pStyle w:val="BodyText"/>
      </w:pPr>
      <w:r>
        <w:rPr>
          <w:bCs/>
          <w:b/>
        </w:rPr>
        <w:t xml:space="preserve">Table 4.4 — DPL phase subgroup</w:t>
      </w:r>
      <w:r>
        <w:t xml:space="preserve"> </w:t>
      </w:r>
      <w:r>
        <w:rPr>
          <w:iCs/>
          <w:i/>
        </w:rPr>
        <w:t xml:space="preserve">(actual MARA output)</w:t>
      </w:r>
    </w:p>
    <w:tbl>
      <w:tblPr>
        <w:tblStyle w:val="Table"/>
        <w:tblW w:type="pct" w:w="5000"/>
        <w:tblLook w:firstRow="1" w:lastRow="0" w:firstColumn="0" w:lastColumn="0" w:noHBand="0" w:noVBand="0" w:val="0020"/>
        <w:jc w:val="start"/>
      </w:tblPr>
      <w:tblGrid>
        <w:gridCol w:w="1708"/>
        <w:gridCol w:w="1708"/>
        <w:gridCol w:w="776"/>
        <w:gridCol w:w="776"/>
        <w:gridCol w:w="1242"/>
        <w:gridCol w:w="1708"/>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 2008</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c>
          <w:tcPr/>
          <w:p>
            <w:pPr>
              <w:pStyle w:val="Compact"/>
              <w:jc w:val="left"/>
            </w:pPr>
            <w:r>
              <w:t xml:space="preserve">b = −0.013, n.s.</w:t>
            </w:r>
          </w:p>
        </w:tc>
      </w:tr>
      <w:tr>
        <w:tc>
          <w:tcPr/>
          <w:p>
            <w:pPr>
              <w:pStyle w:val="Compact"/>
              <w:jc w:val="left"/>
            </w:pPr>
            <w:r>
              <w:t xml:space="preserve">Follow (FOL)</w:t>
            </w:r>
          </w:p>
        </w:tc>
        <w:tc>
          <w:tcPr/>
          <w:p>
            <w:pPr>
              <w:pStyle w:val="Compact"/>
              <w:jc w:val="left"/>
            </w:pPr>
            <w:r>
              <w:t xml:space="preserve">Sample data predominantly ≥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 n.s.</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 (</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 pairwise difference approaches significance.</w:t>
      </w:r>
    </w:p>
    <w:p>
      <w:pPr>
        <w:pStyle w:val="BodyText"/>
      </w:pPr>
      <w:r>
        <w:t xml:space="preserve">The ordering (PRE &gt; FOL &gt; SPN) is opposite to H2’s prediction (FOL &gt; SPN &gt; PRE). However, the between-group differences are negligible and non-significant, so this pattern should not be over-interpreted. The null DPL result may reflect that the</w:t>
      </w:r>
      <w:r>
        <w:t xml:space="preserve"> </w:t>
      </w:r>
      <w:r>
        <w:rPr>
          <w:iCs/>
          <w:i/>
        </w:rPr>
        <w:t xml:space="preserve">k</w:t>
      </w:r>
      <w:r>
        <w:t xml:space="preserve"> </w:t>
      </w:r>
      <w:r>
        <w:t xml:space="preserve">= 238 sample does not have sufficient power to detect small temporal trends, that DPL phase is confounded with ICRV composition (pre-2009 studies concentrated in advanced economies), or that the Digital Paradox Lifecycle inflection does not manifest at meta-analytic resolution with the current sample size. H2 is not supported.</w:t>
      </w:r>
    </w:p>
    <w:p>
      <w:pPr>
        <w:pStyle w:val="CaptionedFigure"/>
      </w:pPr>
      <w:r>
        <w:drawing>
          <wp:inline>
            <wp:extent cx="5753100" cy="4403829"/>
            <wp:effectExtent b="0" l="0" r="0" t="0"/>
            <wp:docPr descr="Figure 3: DPL phase moderation — pooled I→P effect by digital adoption epoch" title="" id="51" name="Picture"/>
            <a:graphic>
              <a:graphicData uri="http://schemas.openxmlformats.org/drawingml/2006/picture">
                <pic:pic>
                  <pic:nvPicPr>
                    <pic:cNvPr descr="figures/figure3_dpl_phase.png" id="52" name="Picture"/>
                    <pic:cNvPicPr>
                      <a:picLocks noChangeArrowheads="1" noChangeAspect="1"/>
                    </pic:cNvPicPr>
                  </pic:nvPicPr>
                  <pic:blipFill>
                    <a:blip r:embed="rId50"/>
                    <a:stretch>
                      <a:fillRect/>
                    </a:stretch>
                  </pic:blipFill>
                  <pic:spPr bwMode="auto">
                    <a:xfrm>
                      <a:off x="0" y="0"/>
                      <a:ext cx="5753100" cy="4403829"/>
                    </a:xfrm>
                    <a:prstGeom prst="rect">
                      <a:avLst/>
                    </a:prstGeom>
                    <a:noFill/>
                    <a:ln w="9525">
                      <a:noFill/>
                      <a:headEnd/>
                      <a:tailEnd/>
                    </a:ln>
                  </pic:spPr>
                </pic:pic>
              </a:graphicData>
            </a:graphic>
          </wp:inline>
        </w:drawing>
      </w:r>
    </w:p>
    <w:p>
      <w:pPr>
        <w:pStyle w:val="ImageCaption"/>
      </w:pPr>
      <w:r>
        <w:t xml:space="preserve">Figure 3: DPL phase moderation — pooled I→P effect by digital adoption epoch</w:t>
      </w:r>
    </w:p>
    <w:p>
      <w:pPr>
        <w:pStyle w:val="BodyText"/>
      </w:pPr>
      <w:r>
        <w:rPr>
          <w:iCs/>
          <w:i/>
        </w:rPr>
        <w:t xml:space="preserve">Figure 3.</w:t>
      </w:r>
      <w:r>
        <w:t xml:space="preserve"> </w:t>
      </w:r>
      <w:r>
        <w:t xml:space="preserve">DPL phase subgroup results. Pooled effect sizes by Precede / Span / Follow epoch with 95% CI. The between-phase differences are small and non-significant.</w:t>
      </w:r>
    </w:p>
    <w:bookmarkEnd w:id="53"/>
    <w:bookmarkStart w:id="57"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 marginal and not significant at α = .05; the regression-based asymmetry signal is suggestive but inconclusive.</w:t>
      </w:r>
    </w:p>
    <w:p>
      <w:pPr>
        <w:pStyle w:val="BodyText"/>
      </w:pPr>
      <w:r>
        <w:rPr>
          <w:bCs/>
          <w:b/>
        </w:rPr>
        <w:t xml:space="preserve">Begg’s rank correlation</w:t>
      </w:r>
      <w:r>
        <w:t xml:space="preserve"> </w:t>
      </w:r>
      <w:r>
        <w:t xml:space="preserve">(Kendall’s τ): τ = −0.134,</w:t>
      </w:r>
      <w:r>
        <w:t xml:space="preserve"> </w:t>
      </w:r>
      <w:r>
        <w:rPr>
          <w:iCs/>
          <w:i/>
        </w:rPr>
        <w:t xml:space="preserve">p</w:t>
      </w:r>
      <w:r>
        <w:t xml:space="preserve"> </w:t>
      </w:r>
      <w:r>
        <w:t xml:space="preserve">= .0007 —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 a conservative lower bound. The effect remains positive and significant but is substantially attenuated from the raw estimate (0.074 →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w:r>
        <w:rPr>
          <w:iCs/>
          <w:i/>
        </w:rPr>
        <w:t xml:space="preserve">I</w:t>
      </w:r>
      <w:r>
        <w:t xml:space="preserve">² = 62.4%) and non-significant moderator tests (Sections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w:r>
        <w:t xml:space="preserve">≈ 0.035.</w:t>
      </w:r>
    </w:p>
    <w:p>
      <w:pPr>
        <w:pStyle w:val="CaptionedFigure"/>
      </w:pPr>
      <w:r>
        <w:drawing>
          <wp:inline>
            <wp:extent cx="5753100" cy="4601444"/>
            <wp:effectExtent b="0" l="0" r="0" t="0"/>
            <wp:docPr descr="Figure 5: Funnel plot with trim-and-fill imputed studies" title="" id="55" name="Picture"/>
            <a:graphic>
              <a:graphicData uri="http://schemas.openxmlformats.org/drawingml/2006/picture">
                <pic:pic>
                  <pic:nvPicPr>
                    <pic:cNvPr descr="figures/figure5_funnel_plot.png" id="56" name="Picture"/>
                    <pic:cNvPicPr>
                      <a:picLocks noChangeArrowheads="1" noChangeAspect="1"/>
                    </pic:cNvPicPr>
                  </pic:nvPicPr>
                  <pic:blipFill>
                    <a:blip r:embed="rId54"/>
                    <a:stretch>
                      <a:fillRect/>
                    </a:stretch>
                  </pic:blipFill>
                  <pic:spPr bwMode="auto">
                    <a:xfrm>
                      <a:off x="0" y="0"/>
                      <a:ext cx="5753100" cy="4601444"/>
                    </a:xfrm>
                    <a:prstGeom prst="rect">
                      <a:avLst/>
                    </a:prstGeom>
                    <a:noFill/>
                    <a:ln w="9525">
                      <a:noFill/>
                      <a:headEnd/>
                      <a:tailEnd/>
                    </a:ln>
                  </pic:spPr>
                </pic:pic>
              </a:graphicData>
            </a:graphic>
          </wp:inline>
        </w:drawing>
      </w:r>
    </w:p>
    <w:p>
      <w:pPr>
        <w:pStyle w:val="ImageCaption"/>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57"/>
    <w:bookmarkStart w:id="61" w:name="robustness"/>
    <w:p>
      <w:pPr>
        <w:pStyle w:val="Heading3"/>
      </w:pPr>
      <w:r>
        <w:t xml:space="preserve">4.7 Robustness</w:t>
      </w:r>
    </w:p>
    <w:tbl>
      <w:tblPr>
        <w:tblStyle w:val="Table"/>
        <w:tblW w:type="pct" w:w="5000"/>
        <w:tblLook w:firstRow="1" w:lastRow="0" w:firstColumn="0" w:lastColumn="0" w:noHBand="0" w:noVBand="0" w:val="0020"/>
        <w:jc w:val="start"/>
      </w:tblPr>
      <w:tblGrid>
        <w:gridCol w:w="1911"/>
        <w:gridCol w:w="819"/>
        <w:gridCol w:w="1365"/>
        <w:gridCol w:w="2184"/>
        <w:gridCol w:w="1638"/>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bl>
    <w:p>
      <w:pPr>
        <w:pStyle w:val="BodyText"/>
      </w:pPr>
      <w:r>
        <w:t xml:space="preserve">The baseline</w:t>
      </w:r>
      <w:r>
        <w:t xml:space="preserve"> </w:t>
      </w:r>
      <w:r>
        <w:rPr>
          <w:iCs/>
          <w:i/>
        </w:rPr>
        <w:t xml:space="preserve">r</w:t>
      </w:r>
      <w:r>
        <w:t xml:space="preserve"> </w:t>
      </w:r>
      <w:r>
        <w:t xml:space="preserve">= 0.074 is robust across all sensitivity checks. The leave-one-out range [0.071, 0.075] confirms no single study drives the result. The DL two-level estimator gives an identical point estimate (0.074), confirming that three-level nesting adds precision without biasing the pooled effect. The FSTS-only restriction (</w:t>
      </w:r>
      <w:r>
        <w:rPr>
          <w:iCs/>
          <w:i/>
        </w:rPr>
        <w:t xml:space="preserve">r̄</w:t>
      </w:r>
      <w:r>
        <w:t xml:space="preserve"> </w:t>
      </w:r>
      <w:r>
        <w:t xml:space="preserve">= 0.061) is the most conservative check and remains positive and significant, suggesting that DOI operationalization heterogeneity partially inflates the pooled effect when broader DOI measures are included.</w:t>
      </w:r>
    </w:p>
    <w:p>
      <w:pPr>
        <w:pStyle w:val="CaptionedFigure"/>
      </w:pPr>
      <w:r>
        <w:drawing>
          <wp:inline>
            <wp:extent cx="5753100" cy="2528953"/>
            <wp:effectExtent b="0" l="0" r="0" t="0"/>
            <wp:docPr descr="Figure 4: Leave-one-out sensitivity — pooled r̄ range across leave-one-out iterations" title="" id="59" name="Picture"/>
            <a:graphic>
              <a:graphicData uri="http://schemas.openxmlformats.org/drawingml/2006/picture">
                <pic:pic>
                  <pic:nvPicPr>
                    <pic:cNvPr descr="figures/figure4_sensitivity.png" id="60" name="Picture"/>
                    <pic:cNvPicPr>
                      <a:picLocks noChangeArrowheads="1" noChangeAspect="1"/>
                    </pic:cNvPicPr>
                  </pic:nvPicPr>
                  <pic:blipFill>
                    <a:blip r:embed="rId58"/>
                    <a:stretch>
                      <a:fillRect/>
                    </a:stretch>
                  </pic:blipFill>
                  <pic:spPr bwMode="auto">
                    <a:xfrm>
                      <a:off x="0" y="0"/>
                      <a:ext cx="5753100" cy="2528953"/>
                    </a:xfrm>
                    <a:prstGeom prst="rect">
                      <a:avLst/>
                    </a:prstGeom>
                    <a:noFill/>
                    <a:ln w="9525">
                      <a:noFill/>
                      <a:headEnd/>
                      <a:tailEnd/>
                    </a:ln>
                  </pic:spPr>
                </pic:pic>
              </a:graphicData>
            </a:graphic>
          </wp:inline>
        </w:drawing>
      </w:r>
    </w:p>
    <w:p>
      <w:pPr>
        <w:pStyle w:val="ImageCaption"/>
      </w:pPr>
      <w:r>
        <w:t xml:space="preserve">Figure 4: Leave-one-out sensitivity — pooled</w:t>
      </w:r>
      <w:r>
        <w:t xml:space="preserve"> </w:t>
      </w:r>
      <w:r>
        <w:rPr>
          <w:iCs/>
          <w:i/>
        </w:rPr>
        <w:t xml:space="preserve">r̄</w:t>
      </w:r>
      <w:r>
        <w:t xml:space="preserve"> </w:t>
      </w:r>
      <w:r>
        <w:t xml:space="preserve">range across 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61"/>
    <w:bookmarkEnd w:id="62"/>
    <w:bookmarkStart w:id="67" w:name="discussion"/>
    <w:p>
      <w:pPr>
        <w:pStyle w:val="Heading2"/>
      </w:pPr>
      <w:r>
        <w:t xml:space="preserve">5. Discussion</w:t>
      </w:r>
    </w:p>
    <w:bookmarkStart w:id="63"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 directly contrary to E1a’s predicted advanced-over-emerging ordering. At the primary-study level, Do &amp; Phan (2025) document a negative aggregate DOI coefficient on 380 Indian WBES firms (FGLS estimation), with manager experience and female top-management leadership as positive moderating factors — a pattern consistent with CIMT’s prediction that firm-level compensating resources partially offset institutional friction in Emerging environments.</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 and its high (not low) point estimate is directly contrary to E1b’s predicted Frontier floor. The actual Frontier I→P effect could be zero, positive, or negative —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is confirmed — the ICRV between-regime Q_M test (</w:t>
      </w:r>
      <w:r>
        <w:rPr>
          <w:iCs/>
          <w:i/>
        </w:rPr>
        <w:t xml:space="preserve">Q</w:t>
      </w:r>
      <w:r>
        <w:t xml:space="preserve">_M = 17.35,</w:t>
      </w:r>
      <w:r>
        <w:t xml:space="preserve"> </w:t>
      </w:r>
      <w:r>
        <w:rPr>
          <w:iCs/>
          <w:i/>
        </w:rPr>
        <w:t xml:space="preserve">p</w:t>
      </w:r>
      <w:r>
        <w:t xml:space="preserve"> </w:t>
      </w:r>
      <w:r>
        <w:t xml:space="preserve">= .002) is statistically significant, establishing that I→P effect sizes vary across institutional regimes as theorized. The Q_M significance reflects the single-country vs. multi-country distinction rather than a monotone institutional gradient, so the directional gradient propositions E1a and E1b are not meta-analytically confirmed in the current sample.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 a result that bounds, rather than refutes, CIMT’s institutional gradient prediction.</w:t>
      </w:r>
    </w:p>
    <w:bookmarkEnd w:id="63"/>
    <w:bookmarkStart w:id="64" w:name="theoretical-contributions"/>
    <w:p>
      <w:pPr>
        <w:pStyle w:val="Heading3"/>
      </w:pPr>
      <w:r>
        <w:t xml:space="preserve">5.2 Theoretical Contributions</w:t>
      </w:r>
    </w:p>
    <w:p>
      <w:pPr>
        <w:pStyle w:val="FirstParagraph"/>
      </w:pPr>
      <w:r>
        <w:rPr>
          <w:bCs/>
          <w:b/>
        </w:rPr>
        <w:t xml:space="preserve">Contribution 1: Largest globally representative I→P meta-analysis to date.</w:t>
      </w:r>
      <w:r>
        <w:t xml:space="preserve"> </w:t>
      </w:r>
      <w:r>
        <w:t xml:space="preserve">The three-level MARA with</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is the most comprehensive quantitative synthesis of I→P evidence to apply three-level modeling, extending the ICBEF 2025 Asia-Pacific baseline (</w:t>
      </w:r>
      <w:r>
        <w:rPr>
          <w:iCs/>
          <w:i/>
        </w:rPr>
        <w:t xml:space="preserve">k</w:t>
      </w:r>
      <w:r>
        <w:t xml:space="preserve"> </w:t>
      </w:r>
      <w:r>
        <w:t xml:space="preserve">= 113) by 125 studies with a globally inclusive ICRV-coded corpus. Three-level modeling correctly partitions within-study and between-study variance, and the baseline</w:t>
      </w:r>
      <w:r>
        <w:t xml:space="preserve"> </w:t>
      </w:r>
      <w:r>
        <w:rPr>
          <w:iCs/>
          <w:i/>
        </w:rPr>
        <w:t xml:space="preserve">r</w:t>
      </w:r>
      <w:r>
        <w:t xml:space="preserve"> </w:t>
      </w:r>
      <w:r>
        <w:t xml:space="preserve">= 0.074 replicates prior estimates while remaining robust across seven sensitivity checks.</w:t>
      </w:r>
    </w:p>
    <w:p>
      <w:pPr>
        <w:pStyle w:val="BodyText"/>
      </w:pPr>
      <w:r>
        <w:rPr>
          <w:bCs/>
          <w:b/>
        </w:rPr>
        <w:t xml:space="preserve">Contribution 2: First meta-analytic test of ICRV, cDAI, and DPL moderators.</w:t>
      </w:r>
      <w:r>
        <w:t xml:space="preserve"> </w:t>
      </w:r>
      <w:r>
        <w:t xml:space="preserve">This paper is the first to formally test ICRV institutional regime, national digital adoption (cDAI), and Digital Paradox Lifecycle phase as moderators in a three-level MARA. H1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propositions (E1a/E1b) and the cDAI and DPL hypotheses (H2, H3) are not confirmed under rigorous between-group testing. These results set theoretically informative bounds: the</w:t>
      </w:r>
      <w:r>
        <w:t xml:space="preserve"> </w:t>
      </w:r>
      <w:r>
        <w:rPr>
          <w:iCs/>
          <w:i/>
        </w:rPr>
        <w:t xml:space="preserve">k</w:t>
      </w:r>
      <w:r>
        <w:t xml:space="preserve"> </w:t>
      </w:r>
      <w:r>
        <w:t xml:space="preserve">= 238 sample lacks sufficient between-regime variation in the diagnostic cells (particularly Frontier/SIDS,</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to adjudicate the CIMT gradient, and cDAI and DPL phase do not explain between-study heterogeneity in the current working database. Future formal-search replications with targeted regime-level sampling should test whether the gradient emerges with richer between-regime representation.</w:t>
      </w:r>
    </w:p>
    <w:p>
      <w:pPr>
        <w:pStyle w:val="BodyText"/>
      </w:pPr>
      <w:r>
        <w:rPr>
          <w:bCs/>
          <w:b/>
        </w:rPr>
        <w:t xml:space="preserve">Contribution 3: Substantial publication bias identified.</w:t>
      </w:r>
      <w:r>
        <w:t xml:space="preserve"> </w:t>
      </w:r>
      <w:r>
        <w:t xml:space="preserve">The trim-and-fill-corrected estimate (</w:t>
      </w:r>
      <w:r>
        <w:rPr>
          <w:iCs/>
          <w:i/>
        </w:rPr>
        <w:t xml:space="preserve">r</w:t>
      </w:r>
      <w:r>
        <w:t xml:space="preserve"> </w:t>
      </w:r>
      <w:r>
        <w:t xml:space="preserve">= 0.035,</w:t>
      </w:r>
      <w:r>
        <w:t xml:space="preserve"> </w:t>
      </w:r>
      <w:r>
        <w:rPr>
          <w:iCs/>
          <w:i/>
        </w:rPr>
        <w:t xml:space="preserve">k</w:t>
      </w:r>
      <w:r>
        <w:t xml:space="preserve"> </w:t>
      </w:r>
      <w:r>
        <w:t xml:space="preserve">= 58 imputed studies) and significant Begg’s τ (</w:t>
      </w:r>
      <w:r>
        <w:rPr>
          <w:iCs/>
          <w:i/>
        </w:rPr>
        <w:t xml:space="preserve">p</w:t>
      </w:r>
      <w:r>
        <w:t xml:space="preserve"> </w:t>
      </w:r>
      <w:r>
        <w:t xml:space="preserve">= .0007) together indicate that the I→P literature has a substantial positive publication bias. The raw pooled effect (</w:t>
      </w:r>
      <w:r>
        <w:rPr>
          <w:iCs/>
          <w:i/>
        </w:rPr>
        <w:t xml:space="preserve">r</w:t>
      </w:r>
      <w:r>
        <w:t xml:space="preserve"> </w:t>
      </w:r>
      <w:r>
        <w:t xml:space="preserve">= 0.074) likely overstates the true average causal effect by approximately 50–100%, with the bias-corrected estimate (</w:t>
      </w:r>
      <w:r>
        <w:rPr>
          <w:iCs/>
          <w:i/>
        </w:rPr>
        <w:t xml:space="preserve">r</w:t>
      </w:r>
      <w:r>
        <w:t xml:space="preserve"> </w:t>
      </w:r>
      <w:r>
        <w:t xml:space="preserve">= 0.035) providing a conservative lower bound. This finding — from the most globally comprehensive three-level MARA of I→P to date — is the most actionable theoretical contribution: it suggests that the IB literature’s widely cited</w:t>
      </w:r>
      <w:r>
        <w:t xml:space="preserve"> </w:t>
      </w:r>
      <w:r>
        <w:t xml:space="preserve">“</w:t>
      </w:r>
      <w:r>
        <w:t xml:space="preserve">positive I→P relationship</w:t>
      </w:r>
      <w:r>
        <w:t xml:space="preserve">”</w:t>
      </w:r>
      <w:r>
        <w:t xml:space="preserve"> </w:t>
      </w:r>
      <w:r>
        <w:t xml:space="preserve">is partially an artifact of selective publication rather than a robust phenomenon.</w:t>
      </w:r>
    </w:p>
    <w:bookmarkEnd w:id="64"/>
    <w:bookmarkStart w:id="65" w:name="managerial-and-policy-implications"/>
    <w:p>
      <w:pPr>
        <w:pStyle w:val="Heading3"/>
      </w:pPr>
      <w:r>
        <w:t xml:space="preserve">5.3 Managerial and Policy Implications</w:t>
      </w:r>
    </w:p>
    <w:p>
      <w:pPr>
        <w:pStyle w:val="FirstParagraph"/>
      </w:pPr>
      <w:r>
        <w:t xml:space="preserve">The non-confirmation of the three hypothesized moderators limits strong prescriptive conclusions about institutional regime or digital context, but the baseline finding and publication bias result carry practical significance.</w:t>
      </w:r>
    </w:p>
    <w:p>
      <w:pPr>
        <w:pStyle w:val="BodyText"/>
      </w:pPr>
      <w:r>
        <w:rPr>
          <w:bCs/>
          <w:b/>
        </w:rPr>
        <w:t xml:space="preserve">For firms across all institutional contexts:</w:t>
      </w:r>
      <w:r>
        <w:t xml:space="preserve"> </w:t>
      </w:r>
      <w:r>
        <w:t xml:space="preserve">The bias-corrected 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 estimate of the true average performance return to internationalization. Firms that expect large productivity gains from export intensification alone are likely to be disappointed — the published literature systematically over-reports positive effects. Internationalization strategy should be driven by firm-specific competitive advantages and market-specific learning, not by the assumption that</w:t>
      </w:r>
      <w:r>
        <w:t xml:space="preserve"> </w:t>
      </w:r>
      <w:r>
        <w:t xml:space="preserve">“</w:t>
      </w:r>
      <w:r>
        <w:t xml:space="preserve">internationalization improves performance</w:t>
      </w:r>
      <w:r>
        <w:t xml:space="preserve">”</w:t>
      </w:r>
      <w:r>
        <w:t xml:space="preserve"> </w:t>
      </w:r>
      <w:r>
        <w:t xml:space="preserve">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58 imputed, adj.</w:t>
      </w:r>
      <w:r>
        <w:t xml:space="preserve"> </w:t>
      </w:r>
      <w:r>
        <w:rPr>
          <w:iCs/>
          <w:i/>
        </w:rPr>
        <w:t xml:space="preserve">r</w:t>
      </w:r>
      <w:r>
        <w:t xml:space="preserve"> </w:t>
      </w:r>
      <w:r>
        <w:t xml:space="preserve">= 0.035) is a call for pre-registered studies with explicit null-hypothesis reporting. Publication practices in the I→P literature — where positive effects are over-represented — may be distorting the field’s understanding of when and why internationalization helps. Pre-registration on OSF and adoption of three-level MARA with trim-and-fill correction should become standard in future I→P 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 0.069, non-significant) is not large enough to justify institutional quality as the primary determinant of export-led productivity. Export promotion programs should target firm-level capabilities (technological, managerial) as much as institutional reform, given that the institution-performance gradient is not meta-analytically confirmed at current sample sizes.</w:t>
      </w:r>
    </w:p>
    <w:bookmarkEnd w:id="65"/>
    <w:bookmarkStart w:id="66"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 CI) does not permit definitive conclusions about the</w:t>
      </w:r>
      <w:r>
        <w:t xml:space="preserve"> </w:t>
      </w:r>
      <w:r>
        <w:t xml:space="preserve">“</w:t>
      </w:r>
      <w:r>
        <w:t xml:space="preserve">forced-penalty</w:t>
      </w:r>
      <w:r>
        <w:t xml:space="preserve">”</w:t>
      </w:r>
      <w:r>
        <w:t xml:space="preserve"> </w:t>
      </w:r>
      <w:r>
        <w:t xml:space="preserve">hypothesis — a targeted search for SIDS-focused primary studies (as specified in Appendix B) is required before meta-analytic SIDS effects are precise. (2) The cDAI × ICRV 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5-regime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66"/>
    <w:bookmarkEnd w:id="67"/>
    <w:bookmarkStart w:id="68" w:name="conclusion"/>
    <w:p>
      <w:pPr>
        <w:pStyle w:val="Heading2"/>
      </w:pPr>
      <w:r>
        <w:t xml:space="preserve">6. Conclusion</w:t>
      </w:r>
    </w:p>
    <w:p>
      <w:pPr>
        <w:pStyle w:val="FirstParagraph"/>
      </w:pPr>
      <w:r>
        <w:t xml:space="preserve">This paper presents the first three-level MARA of the internationalization–performance relationship drawing on a globally representative corpus, extending the ICBEF 2025 Asia-Pacific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and introducing three novel moderators for formal meta-analytic testing: ICRV institutional regime, country-level digital adoption (cDAI), and Digital Paradox Lifecycle (DPL) phase. The three-level pooled effect (</w:t>
      </w:r>
      <w:r>
        <w:rPr>
          <w:iCs/>
          <w:i/>
        </w:rPr>
        <w:t xml:space="preserve">r</w:t>
      </w:r>
      <w:r>
        <w:t xml:space="preserve"> </w:t>
      </w:r>
      <w:r>
        <w:t xml:space="preserve">= 0.074, 95% CI [0.060, 0.088],</w:t>
      </w:r>
      <w:r>
        <w:t xml:space="preserve"> </w:t>
      </w:r>
      <w:r>
        <w:rPr>
          <w:iCs/>
          <w:i/>
        </w:rPr>
        <w:t xml:space="preserve">I</w:t>
      </w:r>
      <w:r>
        <w:t xml:space="preserve">²_total = 62.4%) confirms a small but consistent positive I→P relationship globally, robust across seven sensitivity checks.</w:t>
      </w:r>
    </w:p>
    <w:p>
      <w:pPr>
        <w:pStyle w:val="BodyText"/>
      </w:pPr>
      <w:r>
        <w:t xml:space="preserve">H1 (ICRV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(E1a: Advanced largest; E1b: Frontier smallest) is not meta-analytically confirmable with sparse regime cells (Frontier</w:t>
      </w:r>
      <w:r>
        <w:t xml:space="preserve"> </w:t>
      </w:r>
      <w:r>
        <w:rPr>
          <w:iCs/>
          <w:i/>
        </w:rPr>
        <w:t xml:space="preserve">K</w:t>
      </w:r>
      <w:r>
        <w:t xml:space="preserve"> </w:t>
      </w:r>
      <w:r>
        <w:t xml:space="preserve">= 3), and the cDAI (H3:</w:t>
      </w:r>
      <w:r>
        <w:t xml:space="preserve"> </w:t>
      </w:r>
      <w:r>
        <w:rPr>
          <w:iCs/>
          <w:i/>
        </w:rPr>
        <w:t xml:space="preserve">Q</w:t>
      </w:r>
      <w:r>
        <w:t xml:space="preserve">_M = 1.23,</w:t>
      </w:r>
      <w:r>
        <w:t xml:space="preserve"> </w:t>
      </w:r>
      <w:r>
        <w:rPr>
          <w:iCs/>
          <w:i/>
        </w:rPr>
        <w:t xml:space="preserve">p</w:t>
      </w:r>
      <w:r>
        <w:t xml:space="preserve"> </w:t>
      </w:r>
      <w:r>
        <w:t xml:space="preserve">= .541) and DPL phase (H2:</w:t>
      </w:r>
      <w:r>
        <w:t xml:space="preserve"> </w:t>
      </w:r>
      <w:r>
        <w:rPr>
          <w:iCs/>
          <w:i/>
        </w:rPr>
        <w:t xml:space="preserve">Q</w:t>
      </w:r>
      <w:r>
        <w:t xml:space="preserve">_M = 0.56,</w:t>
      </w:r>
      <w:r>
        <w:t xml:space="preserve"> </w:t>
      </w:r>
      <w:r>
        <w:rPr>
          <w:iCs/>
          <w:i/>
        </w:rPr>
        <w:t xml:space="preserve">p</w:t>
      </w:r>
      <w:r>
        <w:t xml:space="preserve"> </w:t>
      </w:r>
      <w:r>
        <w:t xml:space="preserve">= .755) moderators do not explain between-study heterogeneity in the current sample. The CIMT institutional gradient (E1a/E1b), digital infrastructure amplification (H3), and DPL temporal moderation (H2) remain theoretically motivated but empirically unconfirmed at</w:t>
      </w:r>
      <w:r>
        <w:t xml:space="preserve"> </w:t>
      </w:r>
      <w:r>
        <w:rPr>
          <w:iCs/>
          <w:i/>
        </w:rPr>
        <w:t xml:space="preserve">k</w:t>
      </w:r>
      <w:r>
        <w:t xml:space="preserve"> </w:t>
      </w:r>
      <w:r>
        <w:t xml:space="preserve">= 238 — null results that should inform future pre-registered replications with targeted regime-level sampling.</w:t>
      </w:r>
    </w:p>
    <w:p>
      <w:pPr>
        <w:pStyle w:val="BodyText"/>
      </w:pPr>
      <w:r>
        <w:t xml:space="preserve">The most substantive empirical finding is substantial publication bias: trim-and-fill imputes</w:t>
      </w:r>
      <w:r>
        <w:t xml:space="preserve"> </w:t>
      </w:r>
      <w:r>
        <w:rPr>
          <w:iCs/>
          <w:i/>
        </w:rPr>
        <w:t xml:space="preserve">k</w:t>
      </w:r>
      <w:r>
        <w:t xml:space="preserve"> </w:t>
      </w:r>
      <w:r>
        <w:t xml:space="preserve">= 58 missing studies, reducing the bias-corrected pooled effect to</w:t>
      </w:r>
      <w:r>
        <w:t xml:space="preserve"> </w:t>
      </w:r>
      <w:r>
        <w:rPr>
          <w:iCs/>
          <w:i/>
        </w:rPr>
        <w:t xml:space="preserve">r</w:t>
      </w:r>
      <w:r>
        <w:t xml:space="preserve"> </w:t>
      </w:r>
      <w:r>
        <w:t xml:space="preserve">= 0.035 (95% CI [0.023, 0.048]) — positive but considerably attenuated. This suggests that the I→P field’s published literature over-represents positive results, and that the true average performance return to internationalization is closer to</w:t>
      </w:r>
      <w:r>
        <w:t xml:space="preserve"> </w:t>
      </w:r>
      <w:r>
        <w:rPr>
          <w:iCs/>
          <w:i/>
        </w:rPr>
        <w:t xml:space="preserve">r</w:t>
      </w:r>
      <w:r>
        <w:t xml:space="preserve"> </w:t>
      </w:r>
      <w:r>
        <w:t xml:space="preserve">≈ 0.035 than the oft-cited figures in the 0.07–0.10 range. The heterogeneity puzzle (</w:t>
      </w:r>
      <w:r>
        <w:rPr>
          <w:iCs/>
          <w:i/>
        </w:rPr>
        <w:t xml:space="preserve">I</w:t>
      </w:r>
      <w:r>
        <w:t xml:space="preserve">² = 62.4%) remains largely unresolved, and is dominated by within-study variance (Level 2, 54.1%) rather than between-study differences (Level 3, 8.4%), suggesting that methodological choices within papers — effect-size operationalization, sample windows, controls — contribute far more to heterogeneity than cross-country institutional differences.</w:t>
      </w:r>
    </w:p>
    <w:p>
      <w:pPr>
        <w:pStyle w:val="BodyText"/>
      </w:pPr>
      <w:r>
        <w:rPr>
          <w:bCs/>
          <w:b/>
        </w:rPr>
        <w:t xml:space="preserve">Limitations.</w:t>
      </w:r>
      <w:r>
        <w:t xml:space="preserve"> </w:t>
      </w:r>
      <w:r>
        <w:t xml:space="preserve">Five inferential constraints bound these conclusions. First, while the omnibus ICRV test is significant, the directional gradient propositions (E1a/E1b) and the cDAI and DPL hypotheses are not confirmed in the current</w:t>
      </w:r>
      <w:r>
        <w:t xml:space="preserve"> </w:t>
      </w:r>
      <w:r>
        <w:rPr>
          <w:iCs/>
          <w:i/>
        </w:rPr>
        <w:t xml:space="preserve">k</w:t>
      </w:r>
      <w:r>
        <w:t xml:space="preserve"> </w:t>
      </w:r>
      <w:r>
        <w:t xml:space="preserve">= 238 working database; for the directional gradient this may reflect insufficient</w:t>
      </w:r>
      <w:r>
        <w:t xml:space="preserve"> </w:t>
      </w:r>
      <w:r>
        <w:rPr>
          <w:iCs/>
          <w:i/>
        </w:rPr>
        <w:t xml:space="preserve">k</w:t>
      </w:r>
      <w:r>
        <w:t xml:space="preserve"> </w:t>
      </w:r>
      <w:r>
        <w:t xml:space="preserve">in the diagnostic regime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rather than a genuine absence of any institutional gradient. A formal WoS/Scopus search targeting Frontier and SIDS contexts is required before the gradient null can be interpreted as definitive. Second, the Frontier-group anomaly (</w:t>
      </w:r>
      <w:r>
        <w:rPr>
          <w:iCs/>
          <w:i/>
        </w:rPr>
        <w:t xml:space="preserve">K</w:t>
      </w:r>
      <w:r>
        <w:t xml:space="preserve"> </w:t>
      </w:r>
      <w:r>
        <w:t xml:space="preserve">= 3,</w:t>
      </w:r>
      <w:r>
        <w:t xml:space="preserve"> </w:t>
      </w:r>
      <w:r>
        <w:rPr>
          <w:iCs/>
          <w:i/>
        </w:rPr>
        <w:t xml:space="preserve">r̄</w:t>
      </w:r>
      <w:r>
        <w:t xml:space="preserve"> </w:t>
      </w:r>
      <w:r>
        <w:t xml:space="preserve">= 0.349, including one outlier Pouresmaeili et al. 2018) yields an unreliable estimate and is the dominant driver of the significant omnibus</w:t>
      </w:r>
      <w:r>
        <w:t xml:space="preserve"> </w:t>
      </w:r>
      <w:r>
        <w:rPr>
          <w:iCs/>
          <w:i/>
        </w:rPr>
        <w:t xml:space="preserve">Q</w:t>
      </w:r>
      <w:r>
        <w:t xml:space="preserve">_M; future work should search for additional Frontier-regime studies. Third, cDAI is measured at the study level using country-year World Bank Digital Adoption Index scores (primary) or ITU Digital Development Index (secondary), not direct replication of the WBES firm-level indicators used in the companion primary studies; any systematic error in the country-year DAI assignment — for instance, from vintage mismatch between the study’s data period and the DAI score’s reference year — may attenuate the moderation coefficient. Fourth, the systematic search was restricted to English-language publications; non-English studies (Chinese, Japanese, Korean, Southeast Asian) are underrepresented, potentially biasing regime distribution toward Advanced economies. Fifth, inter-coder reliability was assessed on a 20% double-coded subsample (</w:t>
      </w:r>
      <w:r>
        <w:rPr>
          <w:iCs/>
          <w:i/>
        </w:rPr>
        <w:t xml:space="preserve">k</w:t>
      </w:r>
      <w:r>
        <w:t xml:space="preserve"> </w:t>
      </w:r>
      <w:r>
        <w:t xml:space="preserve">= 47 studies); single-coder extraction for the remaining 80% cannot be validated without full dual-coding.</w:t>
      </w:r>
    </w:p>
    <w:p>
      <w:pPr>
        <w:pStyle w:val="BodyText"/>
      </w:pPr>
      <w:r>
        <w:rPr>
          <w:bCs/>
          <w:b/>
        </w:rPr>
        <w:t xml:space="preserve">Future research.</w:t>
      </w:r>
      <w:r>
        <w:t xml:space="preserve"> </w:t>
      </w:r>
      <w:r>
        <w:t xml:space="preserve">Three directions follow directly from the null moderator findings. First, a formal WoS/Scopus systematic search targeting Frontier and SIDS economy I→P studies (targeted search strings, Appendix B) would expand Frontier</w:t>
      </w:r>
      <w:r>
        <w:t xml:space="preserve"> </w:t>
      </w:r>
      <w:r>
        <w:rPr>
          <w:iCs/>
          <w:i/>
        </w:rPr>
        <w:t xml:space="preserve">k</w:t>
      </w:r>
      <w:r>
        <w:t xml:space="preserve"> </w:t>
      </w:r>
      <w:r>
        <w:t xml:space="preserve">from 3 to potentially 20–40 studies, enabling a meaningful test of the ICRV Frontier cell. Second, a pre-registered replication of the ICRV, cDAI, and DPL moderator hypotheses — with explicit power analysis for each regime cell and OSF pre-registration — would provide a definitive test of whether these moderators reach significance in a</w:t>
      </w:r>
      <w:r>
        <w:t xml:space="preserve"> </w:t>
      </w:r>
      <w:r>
        <w:rPr>
          <w:iCs/>
          <w:i/>
        </w:rPr>
        <w:t xml:space="preserve">k</w:t>
      </w:r>
      <w:r>
        <w:t xml:space="preserve"> </w:t>
      </w:r>
      <w:r>
        <w:t xml:space="preserve">≥ 400 corpus. Third, the substantial publication bias finding (</w:t>
      </w:r>
      <w:r>
        <w:rPr>
          <w:iCs/>
          <w:i/>
        </w:rPr>
        <w:t xml:space="preserve">k</w:t>
      </w:r>
      <w:r>
        <w:t xml:space="preserve"> </w:t>
      </w:r>
      <w:r>
        <w:t xml:space="preserve">= 58 imputed, adj.</w:t>
      </w:r>
      <w:r>
        <w:t xml:space="preserve"> </w:t>
      </w:r>
      <w:r>
        <w:rPr>
          <w:iCs/>
          <w:i/>
        </w:rPr>
        <w:t xml:space="preserve">r</w:t>
      </w:r>
      <w:r>
        <w:t xml:space="preserve"> </w:t>
      </w:r>
      <w:r>
        <w:t xml:space="preserve">= 0.035) motivates a dedicated publication bias audit: surveying I→P researchers about unpublished null results, and meta-analyzing grey literature and dissertations, would bound the true population effect more precisely than trim-and-fill alone.</w:t>
      </w:r>
    </w:p>
    <w:p>
      <w:r>
        <w:pict>
          <v:rect style="width:0;height:1.5pt" o:hralign="center" o:hrstd="t" o:hr="t"/>
        </w:pict>
      </w:r>
    </w:p>
    <w:bookmarkEnd w:id="68"/>
    <w:bookmarkStart w:id="6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9"/>
    <w:bookmarkStart w:id="70" w:name="competing-interests"/>
    <w:p>
      <w:pPr>
        <w:pStyle w:val="Heading2"/>
      </w:pPr>
      <w:r>
        <w:t xml:space="preserve">Competing Interests</w:t>
      </w:r>
    </w:p>
    <w:p>
      <w:pPr>
        <w:pStyle w:val="FirstParagraph"/>
      </w:pPr>
      <w:r>
        <w:t xml:space="preserve">The authors declare no conflict of interest.</w:t>
      </w:r>
    </w:p>
    <w:bookmarkEnd w:id="70"/>
    <w:bookmarkStart w:id="71"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w:t>
      </w:r>
    </w:p>
    <w:p>
      <w:pPr>
        <w:pStyle w:val="BodyText"/>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Jensen, M. C., &amp; Meckling, W. H. (1976). Theory of the firm: Managerial behavior, agency costs and ownership structure.</w:t>
      </w:r>
      <w:r>
        <w:t xml:space="preserve"> </w:t>
      </w:r>
      <w:r>
        <w:rPr>
          <w:iCs/>
          <w:i/>
        </w:rPr>
        <w:t xml:space="preserve">Journal of Financial Economics, 3</w:t>
      </w:r>
      <w:r>
        <w:t xml:space="preserve">(4),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Lakens, D., Scheel, A. M., &amp; Isager, P. M. (2020). Equivalence testing for psychological research: A tutorial.</w:t>
      </w:r>
      <w:r>
        <w:t xml:space="preserve"> </w:t>
      </w:r>
      <w:r>
        <w:rPr>
          <w:iCs/>
          <w:i/>
        </w:rPr>
        <w:t xml:space="preserve">Advances in Methods and Practices in Psychological Science, 1</w:t>
      </w:r>
      <w:r>
        <w:t xml:space="preserve">(2), 259–269.</w:t>
      </w:r>
    </w:p>
    <w:p>
      <w:pPr>
        <w:pStyle w:val="BodyText"/>
      </w:pPr>
      <w:r>
        <w:t xml:space="preserve">Landis, J. R., &amp; Koch, G. G. (1977). The measurement of observer agreement for categorical data.</w:t>
      </w:r>
      <w:r>
        <w:t xml:space="preserve"> </w:t>
      </w:r>
      <w:r>
        <w:rPr>
          <w:iCs/>
          <w:i/>
        </w:rPr>
        <w:t xml:space="preserve">Biometrics, 33</w:t>
      </w:r>
      <w:r>
        <w:t xml:space="preserve">(1),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72"/>
    <w:bookmarkStart w:id="73" w:name="appendix-a-prisma-2020-flow-diagram"/>
    <w:p>
      <w:pPr>
        <w:pStyle w:val="Heading2"/>
      </w:pPr>
      <w:r>
        <w:t xml:space="preserve">Appendix A — PRISMA 2020 Flow Diagram</w:t>
      </w:r>
    </w:p>
    <w:p>
      <w:pPr>
        <w:pStyle w:val="BlockText"/>
      </w:pPr>
      <w:r>
        <w:rPr>
          <w:bCs/>
          <w:b/>
        </w:rPr>
        <w:t xml:space="preserve">WoS + Scopus arms confirmed (20 May 2026). Final k/K pending full-text screening and extraction.</w:t>
      </w:r>
      <w:r>
        <w:br/>
      </w:r>
      <w:r>
        <w:t xml:space="preserve">Follows PRISMA 2020 (Page et al., 2021). Numbers marked ✓ are confirmed; [TBD] remain pending extraction.</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(full search, 20 May 2026):</w:t>
      </w:r>
      <w:r>
        <w:br/>
      </w:r>
      <w:r>
        <w:rPr>
          <w:rStyle w:val="VerbatimChar"/>
        </w:rPr>
        <w:t xml:space="preserve">  Web of Science Core Collection (SSCI+SCI-E+ESCI): n = 2,180 ✓</w:t>
      </w:r>
      <w:r>
        <w:br/>
      </w:r>
      <w:r>
        <w:rPr>
          <w:rStyle w:val="VerbatimChar"/>
        </w:rPr>
        <w:t xml:space="preserve">  Scopus (All Subject Areas, 1977–2026):             n = 1,083 ✓</w:t>
      </w:r>
      <w:r>
        <w:br/>
      </w:r>
      <w:r>
        <w:rPr>
          <w:rStyle w:val="VerbatimChar"/>
        </w:rPr>
        <w:t xml:space="preserve">  ─────────────────────────────────────────────────────</w:t>
      </w:r>
      <w:r>
        <w:br/>
      </w:r>
      <w:r>
        <w:rPr>
          <w:rStyle w:val="VerbatimChar"/>
        </w:rPr>
        <w:t xml:space="preserve">  Total from databases:                              n = 3,263 ✓</w:t>
      </w:r>
      <w:r>
        <w:br/>
      </w:r>
      <w:r>
        <w:br/>
      </w:r>
      <w:r>
        <w:rPr>
          <w:rStyle w:val="VerbatimChar"/>
        </w:rPr>
        <w:t xml:space="preserve">After cross-database deduplication (DOI-exact + title-fuzzy ≥85%):</w:t>
      </w:r>
      <w:r>
        <w:br/>
      </w:r>
      <w:r>
        <w:rPr>
          <w:rStyle w:val="VerbatimChar"/>
        </w:rPr>
        <w:t xml:space="preserve">  Duplicate records removed:                         n =   795  ✓</w:t>
      </w:r>
      <w:r>
        <w:br/>
      </w:r>
      <w:r>
        <w:rPr>
          <w:rStyle w:val="VerbatimChar"/>
        </w:rPr>
        <w:t xml:space="preserve">  Unique records:                                    n = 2,468  ✓</w:t>
      </w:r>
      <w:r>
        <w:br/>
      </w:r>
      <w:r>
        <w:rPr>
          <w:rStyle w:val="VerbatimChar"/>
        </w:rPr>
        <w:t xml:space="preserve">  Already in existing tracker (prior database):      n =   435  ✓</w:t>
      </w:r>
      <w:r>
        <w:br/>
      </w:r>
      <w:r>
        <w:rPr>
          <w:rStyle w:val="VerbatimChar"/>
        </w:rPr>
        <w:t xml:space="preserve">  New candidates for L2 screening:                   n = 2,032  ✓</w:t>
      </w:r>
      <w:r>
        <w:br/>
      </w:r>
      <w:r>
        <w:rPr>
          <w:rStyle w:val="VerbatimChar"/>
        </w:rPr>
        <w:t xml:space="preserve">    — with DOI (CrossRef enriched, 20 May 2026):     n = 1,512 (74.4%) ✓</w:t>
      </w:r>
      <w:r>
        <w:br/>
      </w:r>
      <w:r>
        <w:rPr>
          <w:rStyle w:val="VerbatimChar"/>
        </w:rPr>
        <w:t xml:space="preserve">    — no DOI (manual retrieval required):            n =   520 (25.6%) ✓</w:t>
      </w:r>
      <w:r>
        <w:br/>
      </w:r>
      <w:r>
        <w:br/>
      </w:r>
      <w:r>
        <w:rPr>
          <w:rStyle w:val="VerbatimChar"/>
        </w:rPr>
        <w:t xml:space="preserve">Records from supplementary methods:</w:t>
      </w:r>
      <w:r>
        <w:br/>
      </w:r>
      <w:r>
        <w:rPr>
          <w:rStyle w:val="VerbatimChar"/>
        </w:rPr>
        <w:t xml:space="preserve">  Backward citation scan (5 anchor meta-analyses):  n ≈ 478 screened</w:t>
      </w:r>
      <w:r>
        <w:br/>
      </w:r>
      <w:r>
        <w:rPr>
          <w:rStyle w:val="VerbatimChar"/>
        </w:rPr>
        <w:t xml:space="preserve">  Hand-search (author corpus, 2024–2026):           n = 19</w:t>
      </w:r>
      <w:r>
        <w:br/>
      </w:r>
      <w:r>
        <w:rPr>
          <w:rStyle w:val="VerbatimChar"/>
        </w:rPr>
        <w:t xml:space="preserve">  ─────────────────────────────────────────────────────</w:t>
      </w:r>
      <w:r>
        <w:br/>
      </w:r>
      <w:r>
        <w:rPr>
          <w:rStyle w:val="VerbatimChar"/>
        </w:rPr>
        <w:t xml:space="preserve">  Total records identified:                         N = 3,263 (databases) + ≈497 (supplementary) ✓</w:t>
      </w:r>
      <w:r>
        <w:br/>
      </w:r>
      <w:r>
        <w:br/>
      </w:r>
      <w:r>
        <w:rPr>
          <w:rStyle w:val="VerbatimChar"/>
        </w:rPr>
        <w:t xml:space="preserve">SCREENING — Level 1 (Title / Keyword Pre-screen)</w:t>
      </w:r>
      <w:r>
        <w:br/>
      </w:r>
      <w:r>
        <w:rPr>
          <w:rStyle w:val="VerbatimChar"/>
        </w:rPr>
        <w:t xml:space="preserve">─────────────────────────────────────────────────────────────────</w:t>
      </w:r>
      <w:r>
        <w:br/>
      </w:r>
      <w:r>
        <w:rPr>
          <w:rStyle w:val="VerbatimChar"/>
        </w:rPr>
        <w:t xml:space="preserve">After within-WoS deduplication:                      n = 2,179  (1 duplicate removed)</w:t>
      </w:r>
      <w:r>
        <w:br/>
      </w:r>
      <w:r>
        <w:rPr>
          <w:rStyle w:val="VerbatimChar"/>
        </w:rPr>
        <w:t xml:space="preserve">  Excluded at L1 (title clearly outside I→P domain): n = 1,397</w:t>
      </w:r>
      <w:r>
        <w:br/>
      </w:r>
      <w:r>
        <w:rPr>
          <w:rStyle w:val="VerbatimChar"/>
        </w:rPr>
        <w:t xml:space="preserve">    - No internationalization × performance signal  : n ≈ 1,200</w:t>
      </w:r>
      <w:r>
        <w:br/>
      </w:r>
      <w:r>
        <w:rPr>
          <w:rStyle w:val="VerbatimChar"/>
        </w:rPr>
        <w:t xml:space="preserve">    - Systematic reviews / meta-analyses            : n ≈   97</w:t>
      </w:r>
      <w:r>
        <w:br/>
      </w:r>
      <w:r>
        <w:rPr>
          <w:rStyle w:val="VerbatimChar"/>
        </w:rPr>
        <w:t xml:space="preserve">    - Qualitative / conceptual / medical            : n ≈  100</w:t>
      </w:r>
      <w:r>
        <w:br/>
      </w:r>
      <w:r>
        <w:rPr>
          <w:rStyle w:val="VerbatimChar"/>
        </w:rPr>
        <w:t xml:space="preserve">  Retained for Level-2 title screen:                 n =   782  ✓</w:t>
      </w:r>
      <w:r>
        <w:br/>
      </w:r>
      <w:r>
        <w:br/>
      </w:r>
      <w:r>
        <w:rPr>
          <w:rStyle w:val="VerbatimChar"/>
        </w:rPr>
        <w:t xml:space="preserve">SCREENING — Level 2 (Title Screen + UNSURE Resolution)</w:t>
      </w:r>
      <w:r>
        <w:br/>
      </w:r>
      <w:r>
        <w:rPr>
          <w:rStyle w:val="VerbatimChar"/>
        </w:rPr>
        <w:t xml:space="preserve">─────────────────────────────────────────────────────────────────</w:t>
      </w:r>
      <w:r>
        <w:br/>
      </w:r>
      <w:r>
        <w:rPr>
          <w:rStyle w:val="VerbatimChar"/>
        </w:rPr>
        <w:t xml:space="preserve">Records screened at L2 (title):                      n =   782</w:t>
      </w:r>
      <w:r>
        <w:br/>
      </w:r>
      <w:r>
        <w:rPr>
          <w:rStyle w:val="VerbatimChar"/>
        </w:rPr>
        <w:t xml:space="preserve">  Initial decisions (18 May 2026):</w:t>
      </w:r>
      <w:r>
        <w:br/>
      </w:r>
      <w:r>
        <w:rPr>
          <w:rStyle w:val="VerbatimChar"/>
        </w:rPr>
        <w:t xml:space="preserve">    Y (clearly eligible):                            n =   345</w:t>
      </w:r>
      <w:r>
        <w:br/>
      </w:r>
      <w:r>
        <w:rPr>
          <w:rStyle w:val="VerbatimChar"/>
        </w:rPr>
        <w:t xml:space="preserve">    N (clearly excluded):                            n =    35</w:t>
      </w:r>
      <w:r>
        <w:br/>
      </w:r>
      <w:r>
        <w:rPr>
          <w:rStyle w:val="VerbatimChar"/>
        </w:rPr>
        <w:t xml:space="preserve">      E1: Conceptual / editorial                     n =     4</w:t>
      </w:r>
      <w:r>
        <w:br/>
      </w:r>
      <w:r>
        <w:rPr>
          <w:rStyle w:val="VerbatimChar"/>
        </w:rPr>
        <w:t xml:space="preserve">      E2: Qualitative / case study                   n =     8</w:t>
      </w:r>
      <w:r>
        <w:br/>
      </w:r>
      <w:r>
        <w:rPr>
          <w:rStyle w:val="VerbatimChar"/>
        </w:rPr>
        <w:t xml:space="preserve">      E3: Macro-level / country-level analysis       n =     6</w:t>
      </w:r>
      <w:r>
        <w:br/>
      </w:r>
      <w:r>
        <w:rPr>
          <w:rStyle w:val="VerbatimChar"/>
        </w:rPr>
        <w:t xml:space="preserve">      E5: Export as DV (not IV→performance)          n =    17</w:t>
      </w:r>
      <w:r>
        <w:br/>
      </w:r>
      <w:r>
        <w:rPr>
          <w:rStyle w:val="VerbatimChar"/>
        </w:rPr>
        <w:t xml:space="preserve">    UNSURE (title insufficient):                     n =   402</w:t>
      </w:r>
      <w:r>
        <w:br/>
      </w:r>
      <w:r>
        <w:br/>
      </w:r>
      <w:r>
        <w:rPr>
          <w:rStyle w:val="VerbatimChar"/>
        </w:rPr>
        <w:t xml:space="preserve">  UNSURE title-only re-screen — Round 1 (script 14):</w:t>
      </w:r>
      <w:r>
        <w:br/>
      </w:r>
      <w:r>
        <w:rPr>
          <w:rStyle w:val="VerbatimChar"/>
        </w:rPr>
        <w:t xml:space="preserve">    Resolved Y:                                      n =   135</w:t>
      </w:r>
      <w:r>
        <w:br/>
      </w:r>
      <w:r>
        <w:rPr>
          <w:rStyle w:val="VerbatimChar"/>
        </w:rPr>
        <w:t xml:space="preserve">      Genuinely new (not in existing k=287):         n =   129  ✓</w:t>
      </w:r>
      <w:r>
        <w:br/>
      </w:r>
      <w:r>
        <w:rPr>
          <w:rStyle w:val="VerbatimChar"/>
        </w:rPr>
        <w:t xml:space="preserve">      Duplicates of existing database:               n =     6  → excluded</w:t>
      </w:r>
      <w:r>
        <w:br/>
      </w:r>
      <w:r>
        <w:rPr>
          <w:rStyle w:val="VerbatimChar"/>
        </w:rPr>
        <w:t xml:space="preserve">    Resolved N:                                      n =     3</w:t>
      </w:r>
      <w:r>
        <w:br/>
      </w:r>
      <w:r>
        <w:rPr>
          <w:rStyle w:val="VerbatimChar"/>
        </w:rPr>
        <w:t xml:space="preserve">    Still UNSURE after R1:                           n =   263</w:t>
      </w:r>
      <w:r>
        <w:br/>
      </w:r>
      <w:r>
        <w:br/>
      </w:r>
      <w:r>
        <w:rPr>
          <w:rStyle w:val="VerbatimChar"/>
        </w:rPr>
        <w:t xml:space="preserve">  UNSURE title-only re-screen — Round 2 (script 18, two-tier rules):</w:t>
      </w:r>
      <w:r>
        <w:br/>
      </w:r>
      <w:r>
        <w:rPr>
          <w:rStyle w:val="VerbatimChar"/>
        </w:rPr>
        <w:t xml:space="preserve">    Resolved Y (all genuinely new):                  n =    30  ✓</w:t>
      </w:r>
      <w:r>
        <w:br/>
      </w:r>
      <w:r>
        <w:rPr>
          <w:rStyle w:val="VerbatimChar"/>
        </w:rPr>
        <w:t xml:space="preserve">    Resolved N:                                      n =    29</w:t>
      </w:r>
      <w:r>
        <w:br/>
      </w:r>
      <w:r>
        <w:rPr>
          <w:rStyle w:val="VerbatimChar"/>
        </w:rPr>
        <w:t xml:space="preserve">    Still UNSURE after R2:                           n =   204</w:t>
      </w:r>
      <w:r>
        <w:br/>
      </w:r>
      <w:r>
        <w:br/>
      </w:r>
      <w:r>
        <w:rPr>
          <w:rStyle w:val="VerbatimChar"/>
        </w:rPr>
        <w:t xml:space="preserve">  UNSURE title-only re-screen — Round 3 (script 20, extended patterns):</w:t>
      </w:r>
      <w:r>
        <w:br/>
      </w:r>
      <w:r>
        <w:rPr>
          <w:rStyle w:val="VerbatimChar"/>
        </w:rPr>
        <w:t xml:space="preserve">    Resolved Y (all genuinely new):                  n =    25  ✓</w:t>
      </w:r>
      <w:r>
        <w:br/>
      </w:r>
      <w:r>
        <w:rPr>
          <w:rStyle w:val="VerbatimChar"/>
        </w:rPr>
        <w:t xml:space="preserve">    Resolved N:                                      n =    43</w:t>
      </w:r>
      <w:r>
        <w:br/>
      </w:r>
      <w:r>
        <w:rPr>
          <w:rStyle w:val="VerbatimChar"/>
        </w:rPr>
        <w:t xml:space="preserve">    Still UNSURE after R3:                           n =   136</w:t>
      </w:r>
      <w:r>
        <w:br/>
      </w:r>
      <w:r>
        <w:br/>
      </w:r>
      <w:r>
        <w:rPr>
          <w:rStyle w:val="VerbatimChar"/>
        </w:rPr>
        <w:t xml:space="preserve">  UNSURE title-only re-screen — Round 4 (script 22, capital structure / location</w:t>
      </w:r>
      <w:r>
        <w:br/>
      </w:r>
      <w:r>
        <w:rPr>
          <w:rStyle w:val="VerbatimChar"/>
        </w:rPr>
        <w:t xml:space="preserve">      strategy / antecedent/determinant exclusions; performance consequences /</w:t>
      </w:r>
      <w:r>
        <w:br/>
      </w:r>
      <w:r>
        <w:rPr>
          <w:rStyle w:val="VerbatimChar"/>
        </w:rPr>
        <w:t xml:space="preserve">      optimal multinationality / crisis resilience inclusions):</w:t>
      </w:r>
      <w:r>
        <w:br/>
      </w:r>
      <w:r>
        <w:rPr>
          <w:rStyle w:val="VerbatimChar"/>
        </w:rPr>
        <w:t xml:space="preserve">    Resolved Y (all genuinely new):                  n =    15  ✓</w:t>
      </w:r>
      <w:r>
        <w:br/>
      </w:r>
      <w:r>
        <w:rPr>
          <w:rStyle w:val="VerbatimChar"/>
        </w:rPr>
        <w:t xml:space="preserve">    Resolved N:                                      n =    34</w:t>
      </w:r>
      <w:r>
        <w:br/>
      </w:r>
      <w:r>
        <w:rPr>
          <w:rStyle w:val="VerbatimChar"/>
        </w:rPr>
        <w:t xml:space="preserve">    Still UNSURE:                                    n =    87</w:t>
      </w:r>
      <w:r>
        <w:br/>
      </w:r>
      <w:r>
        <w:br/>
      </w:r>
      <w:r>
        <w:rPr>
          <w:rStyle w:val="VerbatimChar"/>
        </w:rPr>
        <w:t xml:space="preserve">  UNSURE title-only re-screen — Round 5 (first-author manual pass, 19/05/2026):</w:t>
      </w:r>
      <w:r>
        <w:br/>
      </w:r>
      <w:r>
        <w:rPr>
          <w:rStyle w:val="VerbatimChar"/>
        </w:rPr>
        <w:t xml:space="preserve">    Resolved Y (all genuinely new):                  n =     4  ✓</w:t>
      </w:r>
      <w:r>
        <w:br/>
      </w:r>
      <w:r>
        <w:rPr>
          <w:rStyle w:val="VerbatimChar"/>
        </w:rPr>
        <w:t xml:space="preserve">    Resolved N:                                      n =    11</w:t>
      </w:r>
      <w:r>
        <w:br/>
      </w:r>
      <w:r>
        <w:rPr>
          <w:rStyle w:val="VerbatimChar"/>
        </w:rPr>
        <w:t xml:space="preserve">    Still UNSURE:                                    n =    72</w:t>
      </w:r>
      <w:r>
        <w:br/>
      </w:r>
      <w:r>
        <w:br/>
      </w:r>
      <w:r>
        <w:rPr>
          <w:rStyle w:val="VerbatimChar"/>
        </w:rPr>
        <w:t xml:space="preserve">  UNSURE title-only re-screen — Round 6 (first-author manual pass, 19/05/2026):</w:t>
      </w:r>
      <w:r>
        <w:br/>
      </w:r>
      <w:r>
        <w:rPr>
          <w:rStyle w:val="VerbatimChar"/>
        </w:rPr>
        <w:t xml:space="preserve">    Resolved Y (all genuinely new):                  n =     8  ✓</w:t>
      </w:r>
      <w:r>
        <w:br/>
      </w:r>
      <w:r>
        <w:rPr>
          <w:rStyle w:val="VerbatimChar"/>
        </w:rPr>
        <w:t xml:space="preserve">    Resolved N:                                      n =    46</w:t>
      </w:r>
      <w:r>
        <w:br/>
      </w:r>
      <w:r>
        <w:rPr>
          <w:rStyle w:val="VerbatimChar"/>
        </w:rPr>
        <w:t xml:space="preserve">    Still UNSURE:                                    n =    18</w:t>
      </w:r>
      <w:r>
        <w:br/>
      </w:r>
      <w:r>
        <w:br/>
      </w:r>
      <w:r>
        <w:rPr>
          <w:rStyle w:val="VerbatimChar"/>
        </w:rPr>
        <w:t xml:space="preserve">  UNSURE title-only re-screen — Round 7 (manual signals: book-chapter DOI,</w:t>
      </w:r>
      <w:r>
        <w:br/>
      </w:r>
      <w:r>
        <w:rPr>
          <w:rStyle w:val="VerbatimChar"/>
        </w:rPr>
        <w:t xml:space="preserve">      single-case, antecedent-DV, non-business journal, macro unit):</w:t>
      </w:r>
      <w:r>
        <w:br/>
      </w:r>
      <w:r>
        <w:rPr>
          <w:rStyle w:val="VerbatimChar"/>
        </w:rPr>
        <w:t xml:space="preserve">    Resolved Y:                                      n =     0</w:t>
      </w:r>
      <w:r>
        <w:br/>
      </w:r>
      <w:r>
        <w:rPr>
          <w:rStyle w:val="VerbatimChar"/>
        </w:rPr>
        <w:t xml:space="preserve">    Resolved N:                                      n =     8</w:t>
      </w:r>
      <w:r>
        <w:br/>
      </w:r>
      <w:r>
        <w:rPr>
          <w:rStyle w:val="VerbatimChar"/>
        </w:rPr>
        <w:t xml:space="preserve">    Still UNSURE:                                    n =    10</w:t>
      </w:r>
      <w:r>
        <w:br/>
      </w:r>
      <w:r>
        <w:br/>
      </w:r>
      <w:r>
        <w:rPr>
          <w:rStyle w:val="VerbatimChar"/>
        </w:rPr>
        <w:t xml:space="preserve">  UNSURE WebSearch abstract pass — Round 8 (19/05/2026, I→P eligibility</w:t>
      </w:r>
      <w:r>
        <w:br/>
      </w:r>
      <w:r>
        <w:rPr>
          <w:rStyle w:val="VerbatimChar"/>
        </w:rPr>
        <w:t xml:space="preserve">      criteria applied via web-sourced abstracts for all 10 remaining):</w:t>
      </w:r>
      <w:r>
        <w:br/>
      </w:r>
      <w:r>
        <w:rPr>
          <w:rStyle w:val="VerbatimChar"/>
        </w:rPr>
        <w:t xml:space="preserve">    Resolved Y (S0129, S0240, S0683):                n =     3</w:t>
      </w:r>
      <w:r>
        <w:br/>
      </w:r>
      <w:r>
        <w:rPr>
          <w:rStyle w:val="VerbatimChar"/>
        </w:rPr>
        <w:t xml:space="preserve">    Resolved N (wrong I measure/DV/focal unit):      n =     7</w:t>
      </w:r>
      <w:r>
        <w:br/>
      </w:r>
      <w:r>
        <w:rPr>
          <w:rStyle w:val="VerbatimChar"/>
        </w:rPr>
        <w:t xml:space="preserve">    Still UNSURE:                                    n =     0  ← ALL RESOLVED ✓</w:t>
      </w:r>
      <w:r>
        <w:br/>
      </w:r>
      <w:r>
        <w:br/>
      </w:r>
      <w:r>
        <w:rPr>
          <w:rStyle w:val="VerbatimChar"/>
        </w:rPr>
        <w:t xml:space="preserve">  Total L2 Y (WoS arm):                             n =   565  ✓</w:t>
      </w:r>
      <w:r>
        <w:br/>
      </w:r>
      <w:r>
        <w:rPr>
          <w:rStyle w:val="VerbatimChar"/>
        </w:rPr>
        <w:t xml:space="preserve">    (= 345 L2 Y + 135 R1 + 30 R2 + 25 R3 + 15 R4 + 4 R5 + 8 R6 + 0 R7 + 3 R8)</w:t>
      </w:r>
      <w:r>
        <w:br/>
      </w:r>
      <w:r>
        <w:br/>
      </w:r>
      <w:r>
        <w:rPr>
          <w:rStyle w:val="VerbatimChar"/>
        </w:rPr>
        <w:t xml:space="preserve">  Extraction pre-screen — Round 9 (worklist v11→v12, 19/05/2026,</w:t>
      </w:r>
      <w:r>
        <w:br/>
      </w:r>
      <w:r>
        <w:rPr>
          <w:rStyle w:val="VerbatimChar"/>
        </w:rPr>
        <w:t xml:space="preserve">      title-pattern analysis for 92 unresolved prescreen flags):</w:t>
      </w:r>
      <w:r>
        <w:br/>
      </w:r>
      <w:r>
        <w:rPr>
          <w:rStyle w:val="VerbatimChar"/>
        </w:rPr>
        <w:t xml:space="preserve">    Y (include for extraction):                       n =    41  ✓</w:t>
      </w:r>
      <w:r>
        <w:br/>
      </w:r>
      <w:r>
        <w:rPr>
          <w:rStyle w:val="VerbatimChar"/>
        </w:rPr>
        <w:t xml:space="preserve">    N (exclude from extraction priority):             n =    51</w:t>
      </w:r>
      <w:r>
        <w:br/>
      </w:r>
      <w:r>
        <w:rPr>
          <w:rStyle w:val="VerbatimChar"/>
        </w:rPr>
        <w:t xml:space="preserve">    Still UNSURE:                                     n =     0  ← ALL RESOLVED ✓</w:t>
      </w:r>
      <w:r>
        <w:br/>
      </w:r>
      <w:r>
        <w:rPr>
          <w:rStyle w:val="VerbatimChar"/>
        </w:rPr>
        <w:t xml:space="preserve">  Extraction pool prescreen: Y=435 (81.3%), N=100 (18.7%), UNSURE=0</w:t>
      </w:r>
      <w:r>
        <w:br/>
      </w:r>
      <w:r>
        <w:br/>
      </w:r>
      <w:r>
        <w:rPr>
          <w:rStyle w:val="VerbatimChar"/>
        </w:rPr>
        <w:t xml:space="preserve">ELIGIBILITY — Deduplication vs. Prior Database</w:t>
      </w:r>
      <w:r>
        <w:br/>
      </w:r>
      <w:r>
        <w:rPr>
          <w:rStyle w:val="VerbatimChar"/>
        </w:rPr>
        <w:t xml:space="preserve">─────────────────────────────────────────────────────────────────</w:t>
      </w:r>
      <w:r>
        <w:br/>
      </w:r>
      <w:r>
        <w:rPr>
          <w:rStyle w:val="VerbatimChar"/>
        </w:rPr>
        <w:t xml:space="preserve">Deduplicated against existing k=287 coded studies:</w:t>
      </w:r>
      <w:r>
        <w:br/>
      </w:r>
      <w:r>
        <w:rPr>
          <w:rStyle w:val="VerbatimChar"/>
        </w:rPr>
        <w:t xml:space="preserve">  Confirmed genuinely new (R1):                      n =   321  ✓</w:t>
      </w:r>
      <w:r>
        <w:br/>
      </w:r>
      <w:r>
        <w:rPr>
          <w:rStyle w:val="VerbatimChar"/>
        </w:rPr>
        <w:t xml:space="preserve">  Confirmed new (R1-R8):                             n =   214  (129+30+25+15+4+8+0+3)</w:t>
      </w:r>
      <w:r>
        <w:br/>
      </w:r>
      <w:r>
        <w:rPr>
          <w:rStyle w:val="VerbatimChar"/>
        </w:rPr>
        <w:t xml:space="preserve">  Active extraction pool (worklist v12):             n =   535  ✓</w:t>
      </w:r>
      <w:r>
        <w:br/>
      </w:r>
      <w:r>
        <w:rPr>
          <w:rStyle w:val="VerbatimChar"/>
        </w:rPr>
        <w:t xml:space="preserve">  Priority extraction candidates (prescreen Y):      n =   435  (310 with DOI; 125 no-DOI)</w:t>
      </w:r>
      <w:r>
        <w:br/>
      </w:r>
      <w:r>
        <w:rPr>
          <w:rStyle w:val="VerbatimChar"/>
        </w:rPr>
        <w:t xml:space="preserve">  Full-text excluded (reasons pending extraction):   n = [TBD]</w:t>
      </w:r>
      <w:r>
        <w:br/>
      </w:r>
      <w:r>
        <w:rPr>
          <w:rStyle w:val="VerbatimChar"/>
        </w:rPr>
        <w:t xml:space="preserve">    - No calculable r or convertible statistic</w:t>
      </w:r>
      <w:r>
        <w:br/>
      </w:r>
      <w:r>
        <w:rPr>
          <w:rStyle w:val="VerbatimChar"/>
        </w:rPr>
        <w:t xml:space="preserve">    - Unit of analysis not firm-level</w:t>
      </w:r>
      <w:r>
        <w:br/>
      </w:r>
      <w:r>
        <w:rPr>
          <w:rStyle w:val="VerbatimChar"/>
        </w:rPr>
        <w:t xml:space="preserve">    - Conference paper / thesis / working paper</w:t>
      </w:r>
      <w:r>
        <w:br/>
      </w:r>
      <w:r>
        <w:rPr>
          <w:rStyle w:val="VerbatimChar"/>
        </w:rPr>
        <w:t xml:space="preserve">    - Duplicate sample</w:t>
      </w:r>
      <w:r>
        <w:br/>
      </w:r>
      <w:r>
        <w:br/>
      </w:r>
      <w:r>
        <w:rPr>
          <w:rStyle w:val="VerbatimChar"/>
        </w:rPr>
        <w:t xml:space="preserve">NEW CANDIDATES (20 May 2026 full search, pending L2 screening):</w:t>
      </w:r>
      <w:r>
        <w:br/>
      </w:r>
      <w:r>
        <w:rPr>
          <w:rStyle w:val="VerbatimChar"/>
        </w:rPr>
        <w:t xml:space="preserve">─────────────────────────────────────────────────────────────────</w:t>
      </w:r>
      <w:r>
        <w:br/>
      </w:r>
      <w:r>
        <w:rPr>
          <w:rStyle w:val="VerbatimChar"/>
        </w:rPr>
        <w:t xml:space="preserve">  New candidates added to tracker v3:               n = 2,032  ✓</w:t>
      </w:r>
      <w:r>
        <w:br/>
      </w:r>
      <w:r>
        <w:rPr>
          <w:rStyle w:val="VerbatimChar"/>
        </w:rPr>
        <w:t xml:space="preserve">    1_DOI_FIRST (CrossRef DOI recovered):            n = 1,512  ✓</w:t>
      </w:r>
      <w:r>
        <w:br/>
      </w:r>
      <w:r>
        <w:rPr>
          <w:rStyle w:val="VerbatimChar"/>
        </w:rPr>
        <w:t xml:space="preserve">    2_NO_DOI_MANUAL (title/GS search required):      n =   520  ✓</w:t>
      </w:r>
      <w:r>
        <w:br/>
      </w:r>
      <w:r>
        <w:rPr>
          <w:rStyle w:val="VerbatimChar"/>
        </w:rPr>
        <w:t xml:space="preserve">  Working file:  fulltext_to_extraction_tracker_v3.csv</w:t>
      </w:r>
      <w:r>
        <w:br/>
      </w:r>
      <w:r>
        <w:rPr>
          <w:rStyle w:val="VerbatimChar"/>
        </w:rPr>
        <w:t xml:space="preserve">                 (2,467 rows = 435 prior + 2,032 new; 58 cols)</w:t>
      </w:r>
      <w:r>
        <w:br/>
      </w:r>
      <w:r>
        <w:rPr>
          <w:rStyle w:val="VerbatimChar"/>
        </w:rPr>
        <w:t xml:space="preserve">  Status: L2 full-text screening pending (OSF pre-registration confirmed)</w:t>
      </w:r>
      <w:r>
        <w:br/>
      </w:r>
      <w:r>
        <w:br/>
      </w:r>
      <w:r>
        <w:rPr>
          <w:rStyle w:val="VerbatimChar"/>
        </w:rPr>
        <w:t xml:space="preserve">INCLUDED</w:t>
      </w:r>
      <w:r>
        <w:br/>
      </w:r>
      <w:r>
        <w:rPr>
          <w:rStyle w:val="VerbatimChar"/>
        </w:rPr>
        <w:t xml:space="preserve">─────────────────────────────────────────────────────────────────</w:t>
      </w:r>
      <w:r>
        <w:br/>
      </w:r>
      <w:r>
        <w:rPr>
          <w:rStyle w:val="VerbatimChar"/>
        </w:rPr>
        <w:t xml:space="preserve">Studies included in meta-analysis:   k = 238 (prior DB: k = 238; updated 23/05/2026)</w:t>
      </w:r>
      <w:r>
        <w:br/>
      </w:r>
      <w:r>
        <w:rPr>
          <w:rStyle w:val="VerbatimChar"/>
        </w:rPr>
        <w:t xml:space="preserve">Effect sizes coded:                  K = 288 (prior DB: K = 288; updated 23/05/2026)</w:t>
      </w:r>
      <w:r>
        <w:br/>
      </w:r>
      <w:r>
        <w:br/>
      </w:r>
      <w:r>
        <w:rPr>
          <w:rStyle w:val="VerbatimChar"/>
        </w:rPr>
        <w:t xml:space="preserve">Note: k=238 / K=288 reflects the existing coded database (p6_study_database_v2.csv).</w:t>
      </w:r>
      <w:r>
        <w:br/>
      </w:r>
      <w:r>
        <w:rPr>
          <w:rStyle w:val="VerbatimChar"/>
        </w:rPr>
        <w:t xml:space="preserve">Final k/K will increase further as new L2 extraction from 2,032 new candidates</w:t>
      </w:r>
      <w:r>
        <w:br/>
      </w:r>
      <w:r>
        <w:rPr>
          <w:rStyle w:val="VerbatimChar"/>
        </w:rPr>
        <w:t xml:space="preserve">(fulltext_to_extraction_tracker_v3.csv) is completed.</w:t>
      </w:r>
    </w:p>
    <w:p>
      <w:pPr>
        <w:pStyle w:val="FirstParagraph"/>
      </w:pPr>
      <w:r>
        <w:rPr>
          <w:iCs/>
          <w:i/>
        </w:rPr>
        <w:t xml:space="preserve">The PRISMA checklist (Page et al., 2021) is available from the corresponding author.</w:t>
      </w:r>
    </w:p>
    <w:p>
      <w:r>
        <w:pict>
          <v:rect style="width:0;height:1.5pt" o:hralign="center" o:hrstd="t" o:hr="t"/>
        </w:pict>
      </w:r>
    </w:p>
    <w:bookmarkEnd w:id="73"/>
    <w:bookmarkStart w:id="74" w:name="appendix-b-coding-protocol-7-moderators"/>
    <w:p>
      <w:pPr>
        <w:pStyle w:val="Heading2"/>
      </w:pPr>
      <w:r>
        <w:t xml:space="preserve">Appendix B — Coding Protocol (7 Moderators)</w:t>
      </w:r>
    </w:p>
    <w:tbl>
      <w:tblPr>
        <w:tblStyle w:val="Table"/>
        <w:tblW w:type="pct" w:w="5000"/>
        <w:tblLook w:firstRow="1" w:lastRow="0" w:firstColumn="0" w:lastColumn="0" w:noHBand="0" w:noVBand="0" w:val="0020"/>
        <w:jc w:val="start"/>
      </w:tblPr>
      <w:tblGrid>
        <w:gridCol w:w="2354"/>
        <w:gridCol w:w="2782"/>
        <w:gridCol w:w="278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SIDS: island state; V: &lt; −0.50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w:t>
            </w:r>
            <w:r>
              <w:t xml:space="preserve"> </w:t>
            </w:r>
            <w:r>
              <w:t xml:space="preserve">“</w:t>
            </w:r>
            <w:r>
              <w:t xml:space="preserve">pooled</w:t>
            </w:r>
            <w:r>
              <w:t xml:space="preserve">”</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74"/>
    <w:bookmarkStart w:id="75" w:name="Xf97f952f96803e451cdf304f81d710dfb198f95"/>
    <w:p>
      <w:pPr>
        <w:pStyle w:val="Heading2"/>
      </w:pPr>
      <w:r>
        <w:t xml:space="preserve">Appendix C — Consistency Check: MetaEssentials vs. </w:t>
      </w:r>
      <w:r>
        <w:rPr>
          <w:rStyle w:val="VerbatimChar"/>
        </w:rPr>
        <w:t xml:space="preserve">metafor</w:t>
      </w:r>
    </w:p>
    <w:tbl>
      <w:tblPr>
        <w:tblStyle w:val="Table"/>
        <w:tblW w:type="pct" w:w="5000"/>
        <w:tblLook w:firstRow="1" w:lastRow="0" w:firstColumn="0" w:lastColumn="0" w:noHBand="0" w:noVBand="0" w:val="0020"/>
        <w:jc w:val="start"/>
      </w:tblPr>
      <w:tblGrid>
        <w:gridCol w:w="1146"/>
        <w:gridCol w:w="3543"/>
        <w:gridCol w:w="323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 within-study</w:t>
            </w:r>
          </w:p>
        </w:tc>
        <w:tc>
          <w:tcPr/>
          <w:p>
            <w:pPr>
              <w:pStyle w:val="Compact"/>
              <w:jc w:val="left"/>
            </w:pPr>
            <w:r>
              <w:t xml:space="preserve">—</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w:t>
            </w:r>
          </w:p>
        </w:tc>
        <w:tc>
          <w:tcPr/>
          <w:p>
            <w:pPr>
              <w:pStyle w:val="Compact"/>
              <w:jc w:val="left"/>
            </w:pPr>
            <w:r>
              <w:t xml:space="preserve">0.00135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(62.4% vs. 87.92%) reflects the expanded</w:t>
      </w:r>
      <w:r>
        <w:t xml:space="preserve"> </w:t>
      </w:r>
      <w:r>
        <w:rPr>
          <w:iCs/>
          <w:i/>
        </w:rPr>
        <w:t xml:space="preserve">k</w:t>
      </w:r>
      <w:r>
        <w:t xml:space="preserve"> </w:t>
      </w:r>
      <w:r>
        <w:t xml:space="preserve">= 238 sample and the three-level structure that partitions variance across levels correctly. The narrower 95% CI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 ≈ 6,900 words</w:t>
      </w:r>
      <w:r>
        <w:t xml:space="preserve"> </w:t>
      </w:r>
      <w:r>
        <w:rPr>
          <w:iCs/>
          <w:i/>
        </w:rPr>
        <w:t xml:space="preserve">Target journal: International Business Review (IBR, Elsevier, IF ≈ 5.5, ABS-3). IBR requires 8,000–10,000 words for empirical articles; the manuscript will reach range after Sections 3–4 expansion with confirmed metafor output once formal effect-size extraction from p6_study_database_coded.md is complete using the standardized coding protocol (Appendix B).</w:t>
      </w:r>
    </w:p>
    <w:bookmarkEnd w:id="75"/>
    <w:bookmarkEnd w:id="7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2026-05-25T12:21:15Z</dcterms:created>
  <dcterms:modified xsi:type="dcterms:W3CDTF">2026-05-25T12:21:15Z</dcterms:modified>
</cp:coreProperties>
</file>

<file path=docProps/custom.xml><?xml version="1.0" encoding="utf-8"?>
<Properties xmlns="http://schemas.openxmlformats.org/officeDocument/2006/custom-properties" xmlns:vt="http://schemas.openxmlformats.org/officeDocument/2006/docPropsVTypes"/>
</file>