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1befdef1a3d3bbb6becbb285b966567b1f4ed35"/>
    <w:p>
      <w:pPr>
        <w:pStyle w:val="Heading1"/>
      </w:pPr>
      <w:r>
        <w:t xml:space="preserve">Where Internationalization Pays: Institutional Regime and Digital Capability as Joint Determinants of the Performance Optimum across 49 Asian and Pacific Economies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The central unresolved question in research on the internationalization–performance (I–P) relationship is not whether the relationship is non-linear, but what determines</w:t>
      </w:r>
      <w:r>
        <w:t xml:space="preserve"> </w:t>
      </w:r>
      <w:r>
        <w:rPr>
          <w:iCs/>
          <w:i/>
        </w:rPr>
        <w:t xml:space="preserve">where</w:t>
      </w:r>
      <w:r>
        <w:t xml:space="preserve"> </w:t>
      </w:r>
      <w:r>
        <w:t xml:space="preserve">its performance-maximising optimum falls. We develop and test an integrated multi-level account in which the inverted-U is universal in form but its turning point is</w:t>
      </w:r>
      <w:r>
        <w:t xml:space="preserve"> </w:t>
      </w:r>
      <w:r>
        <w:rPr>
          <w:iCs/>
          <w:i/>
        </w:rPr>
        <w:t xml:space="preserve">jointly relocated</w:t>
      </w:r>
      <w:r>
        <w:t xml:space="preserve"> </w:t>
      </w:r>
      <w:r>
        <w:t xml:space="preserve">by the institutional regime in which a firm operates and by the firm’s digital capability — and in which digital capability operates as a partial</w:t>
      </w:r>
      <w:r>
        <w:t xml:space="preserve"> </w:t>
      </w:r>
      <w:r>
        <w:rPr>
          <w:iCs/>
          <w:i/>
        </w:rPr>
        <w:t xml:space="preserve">substitute</w:t>
      </w:r>
      <w:r>
        <w:t xml:space="preserve"> </w:t>
      </w:r>
      <w:r>
        <w:t xml:space="preserve">for institutional strength rather than as a uniform enhancer. Using harmonised microdata from 91,982 firms across 49 economies and 102 country-year waves of the World Bank Enterprise Survey (2003–2025), spanning all six groups of the Institutional Capability and Resource Vulnerability (ICRV) framework, we estimate a hierarchical set of OLS models with HC1 robust standard errors. We confirm a robustly inverted-U I–P relationship with a turning point at approximately 36% of sales from exports (Lind–Mehlum test p &lt; .001; confirmed in M11 at TP=34.6%, p=.002). Institutional regime systematically relocates this optimum: the performance-maximising export intensity shifts from earlier-peaking in advanced regimes to later-peaking in frontier and vulnerable regimes. Digital adoption (DAI) both raises the performance level and reshapes the curve — compressing ascending-limb returns at low FSTS and attenuating performance decline at high FSTS (FSTS×DAI p &lt; .01; FSTS²×DAI p &lt; .01 in M8–M9) — and its curve-reshaping potency is significantly stronger in weaker-institution regimes (DAI×ICRV p = .012), consistent with digital-for-institutional substitution. Technological capability (TCI) raises the performance level without reliably reshaping the curve, and managerial experience and female top management improve performance. The account offers a parsimonious resolution to the fragmented Asian I–P literature: divergent country findings are not mutually contradictory but locate firms at different positions on a single optimum whose location is jointly set by institutional quality and digital capability.</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 conditions that prior single-country and meta-analytic designs have not jointly satisfied.</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theoretical, not merely empirical. First, we advance a</w:t>
      </w:r>
      <w:r>
        <w:t xml:space="preserve"> </w:t>
      </w:r>
      <w:r>
        <w:rPr>
          <w:iCs/>
          <w:i/>
        </w:rPr>
        <w:t xml:space="preserve">relocated-optimum</w:t>
      </w:r>
      <w:r>
        <w:t xml:space="preserve"> </w:t>
      </w:r>
      <w:r>
        <w:t xml:space="preserve">account of the I–P relationship: the inverted-U is universal in form, but its turning point is endogenous to the institutional regime, shifting from earlier-peaking in advanced regimes toward later-peaking in frontier and vulnerable ones (confirmed across specifications at N = 84,910–29,840; M11: TP = 34.6%, Lind–Mehlum p = .002).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we theorise and test</w:t>
      </w:r>
      <w:r>
        <w:t xml:space="preserve"> </w:t>
      </w:r>
      <w:r>
        <w:rPr>
          <w:iCs/>
          <w:i/>
        </w:rPr>
        <w:t xml:space="preserve">digital-for-institutional substitution</w:t>
      </w:r>
      <w:r>
        <w:t xml:space="preserve">: the curve-reshaping potency of digital adoption is significantly greater where formal institutions are weaker (DAI×ICRV, p = .012), positioning foundational digital capability as a partial substitute for institutional infrastructure in converting exports into performance — a multi-economy extension of the institutional-voids logic (Khanna &amp; Palepu, 1997) into the digital domain. Third, we formalise the Institutional Capability and Resource Vulnerability (ICRV) framework as a firm-relevant contingency construct that orders economies jointly by institutional capability and exposure to resource vulnerability, and show that it predicts both the slope and the curvature of the I–P function —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p>
      <w:pPr>
        <w:pStyle w:val="BodyText"/>
      </w:pPr>
      <w:r>
        <w:t xml:space="preserve">These traditions are typically invoked piecemeal. We integrate them through a single contingency construct — the</w:t>
      </w:r>
      <w:r>
        <w:t xml:space="preserve"> </w:t>
      </w:r>
      <w:r>
        <w:rPr>
          <w:bCs/>
          <w:b/>
        </w:rPr>
        <w:t xml:space="preserve">Institutional Capability and Resource Vulnerability (ICRV)</w:t>
      </w:r>
      <w:r>
        <w:t xml:space="preserve"> </w:t>
      </w:r>
      <w:r>
        <w:t xml:space="preserve">framework —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Our central theoretical claim follows from locating the firm within this regime space: the inverted-U</w:t>
      </w:r>
      <w:r>
        <w:t xml:space="preserve"> </w:t>
      </w:r>
      <w:r>
        <w:rPr>
          <w:iCs/>
          <w:i/>
        </w:rPr>
        <w:t xml:space="preserve">form</w:t>
      </w:r>
      <w:r>
        <w:t xml:space="preserve"> </w:t>
      </w:r>
      <w:r>
        <w:t xml:space="preserve">of the I–P relationship is universal (H1), but its performance-maximising turning point is</w:t>
      </w:r>
      <w:r>
        <w:t xml:space="preserve"> </w:t>
      </w:r>
      <w:r>
        <w:rPr>
          <w:iCs/>
          <w:i/>
        </w:rPr>
        <w:t xml:space="preserve">jointly relocated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9" w:name="discussion"/>
    <w:p>
      <w:pPr>
        <w:pStyle w:val="Heading2"/>
      </w:pPr>
      <w:r>
        <w:t xml:space="preserve">5. Discussion</w:t>
      </w:r>
    </w:p>
    <w:bookmarkStart w:id="43" w:name="X578d84a21b3accaf1a7ada71f01c76c882cdaa8"/>
    <w:p>
      <w:pPr>
        <w:pStyle w:val="Heading3"/>
      </w:pPr>
      <w:r>
        <w:t xml:space="preserve">5.1 Theoretical Contributions: A Jointly-Determined Optimum</w:t>
      </w:r>
    </w:p>
    <w:p>
      <w:pPr>
        <w:pStyle w:val="FirstParagraph"/>
      </w:pPr>
      <w:r>
        <w:t xml:space="preserve">Our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the</w:t>
      </w:r>
      <w:r>
        <w:t xml:space="preserve"> </w:t>
      </w:r>
      <w:r>
        <w:rPr>
          <w:bCs/>
          <w:b/>
        </w:rPr>
        <w:t xml:space="preserve">relocated-optimum thesis</w:t>
      </w:r>
      <w:r>
        <w:t xml:space="preserve"> </w:t>
      </w:r>
      <w:r>
        <w:t xml:space="preserve">reframes the two-decade debate over the shape of the I–P curve. The inverted-U holds across all six ICRV regime groups (H1), but the turning point is not a fixed structural parameter: it migrates with institutional quality (H5), from early-peaking in advanced regimes to late-peaking in frontier and vulnerable ones. This dissolves the apparent contradiction between studies reporting positive-linear, inverted-U, and null effects (§5.2): they are observations of a single curve sampled at different institutional locations. The contribution is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optimum</w:t>
      </w:r>
      <w:r>
        <w:t xml:space="preserve"> </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 DAI×ICRV interaction (β = +0.060, p = .012)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This is, to our knowledge, the first multi-economy firm-level evidence that digitalisation and institutional quality act as substitutes rather than complements in the internationalization-to-performance conversion.</w:t>
      </w:r>
    </w:p>
    <w:p>
      <w:pPr>
        <w:pStyle w:val="BodyText"/>
      </w:pPr>
      <w:r>
        <w:t xml:space="preserve">Third, the</w:t>
      </w:r>
      <w:r>
        <w:t xml:space="preserve"> </w:t>
      </w:r>
      <w:r>
        <w:rPr>
          <w:bCs/>
          <w:b/>
        </w:rPr>
        <w:t xml:space="preserve">level–relocation distinction</w:t>
      </w:r>
      <w:r>
        <w:t xml:space="preserve"> </w:t>
      </w:r>
      <w:r>
        <w:t xml:space="preserve">separates two roles that the capabilities literature often conflates. Technological capability raises the performance level across the curve but does not reliably relocate the optimum in the pooled sample (§5.3), whereas institutional regime relocates the optimum without uniformly lifting the level. Distinguishing optimum-relocating forces from level-shifting forces clarifies why country-specific capability findings (e.g., TCI moderation in P3 Vietnam and P5 China) need not generalise: capability-driven curve reshaping requires an institutional complementarity that is unevenly present across the ICRV spectrum.</w:t>
      </w:r>
    </w:p>
    <w:p>
      <w:pPr>
        <w:pStyle w:val="BodyText"/>
      </w:pPr>
      <w:r>
        <w:t xml:space="preserve">Fourth, we offer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 dimensions that the varieties-of-capitalism (Hall &amp; Soskice, 2001) and institutional-voids (Khanna &amp; Palepu, 1997) traditions treat separately — ICRV predicts both the slope and the curvature of the I–P function across 49 economies, providing a transportable scaffold for theorising firm strategy under heterogeneous institutional regimes.</w:t>
      </w:r>
    </w:p>
    <w:bookmarkEnd w:id="43"/>
    <w:bookmarkStart w:id="44" w:name="resolution-of-cross-study-heterogeneity"/>
    <w:p>
      <w:pPr>
        <w:pStyle w:val="Heading3"/>
      </w:pPr>
      <w:r>
        <w:t xml:space="preserve">5.2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4"/>
    <w:bookmarkStart w:id="45"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5"/>
    <w:bookmarkStart w:id="46"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6"/>
    <w:bookmarkStart w:id="47" w:name="managerial-heterogeneity"/>
    <w:p>
      <w:pPr>
        <w:pStyle w:val="Heading3"/>
      </w:pPr>
      <w:r>
        <w:t xml:space="preserve">5.5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7"/>
    <w:bookmarkStart w:id="48" w:name="limitations"/>
    <w:p>
      <w:pPr>
        <w:pStyle w:val="Heading3"/>
      </w:pPr>
      <w:r>
        <w:t xml:space="preserve">5.6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8"/>
    <w:bookmarkEnd w:id="49"/>
    <w:bookmarkStart w:id="50" w:name="conclusions"/>
    <w:p>
      <w:pPr>
        <w:pStyle w:val="Heading2"/>
      </w:pPr>
      <w:r>
        <w:t xml:space="preserve">6. Conclusions</w:t>
      </w:r>
    </w:p>
    <w:p>
      <w:pPr>
        <w:pStyle w:val="FirstParagraph"/>
      </w:pPr>
      <w:r>
        <w:t xml:space="preserve">This study set out to explain not whether internationalization pays, but where and for whom. Across a 49-economy, 102-wave WBES sample, the inverted-U I–P relationship is universal in form — peaking at approximately 36% export intensity — yet its optimum is jointly relocated by institutional regime and digital capability, and digital capability operates as a partial substitute for institutional strength. Three implications follow. First, for firms on the ascending limb (FSTS &lt; 36%),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a curve reshaper, and its returns are largest where institutions are weakest (DAI×ICRV, p = .012) — making digitalisation a particularly high-leverage instrument in frontier and vulnerable regimes.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 the sample’s largest Group IV economy —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50"/>
    <w:bookmarkStart w:id="51"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1"/>
    <w:bookmarkStart w:id="52"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2"/>
    <w:bookmarkStart w:id="53"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School of Economics, Can Tho University, patu@ctu.edu.vn, ORCID: 0000-0003-0667-3137</w:t>
      </w:r>
      <w:r>
        <w:br/>
      </w:r>
      <w:r>
        <w:rPr>
          <w:iCs/>
          <w:i/>
        </w:rPr>
        <w:t xml:space="preserve">First author: Do Thuy Huong, Vinh Long University of Technology Education, huongdt@vlute.edu.vn, ORCID: 0000-0002-7711-2487</w:t>
      </w:r>
    </w:p>
    <w:bookmarkEnd w:id="53"/>
    <w:bookmarkEnd w:id="5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2026-05-25T12:21:27Z</dcterms:created>
  <dcterms:modified xsi:type="dcterms:W3CDTF">2026-05-25T12:21:27Z</dcterms:modified>
</cp:coreProperties>
</file>

<file path=docProps/custom.xml><?xml version="1.0" encoding="utf-8"?>
<Properties xmlns="http://schemas.openxmlformats.org/officeDocument/2006/custom-properties" xmlns:vt="http://schemas.openxmlformats.org/officeDocument/2006/docPropsVTypes"/>
</file>