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việc áp dụng công cụ số bề mặt không đủ để bù đắp cho sự thiếu hụt hạ tầng vật lý, hệ thống thanh toán và khung pháp lý thương mại điện tử. DAI chỉ phát huy "digital shield effect" khi nền tảng thể chế hỗ trợ đã có sẵn.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235</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chỉ phát huy vai trò điều tiết trong bối cảnh Advanced (Nhóm I, II) và không có ý nghĩa trong Frontier/SIDS gợi ý rằng DAI không phải là foundational capability (như TCI) mà là</w:t>
      </w:r>
      <w:r>
        <w:t xml:space="preserve"> </w:t>
      </w:r>
      <w:r>
        <w:rPr>
          <w:bCs/>
          <w:b/>
        </w:rPr>
        <w:t xml:space="preserve">situational resource</w:t>
      </w:r>
      <w:r>
        <w:t xml:space="preserve"> </w:t>
      </w:r>
      <w:r>
        <w:t xml:space="preserve">— tài nguyên có điều kiện phụ thuộc vào hệ sinh thái số xung quanh.</w:t>
      </w:r>
    </w:p>
    <w:p>
      <w:pPr>
        <w:pStyle w:val="BodyText"/>
      </w:pPr>
      <w:r>
        <w:t xml:space="preserve">Điều này có hàm ý lý thuyết quan trọng cho RBV và digital capability literature (Bhandari et al., 2023; Verhoef et al., 2021): không phải mọi nguồn lực số đều tạo ra lợi thế cạnh tranh trong mọi bối cảnh. Giá trị của DAI là</w:t>
      </w:r>
      <w:r>
        <w:t xml:space="preserve"> </w:t>
      </w:r>
      <w:r>
        <w:rPr>
          <w:bCs/>
          <w:b/>
        </w:rPr>
        <w:t xml:space="preserve">complementary asset</w:t>
      </w:r>
      <w:r>
        <w:t xml:space="preserve"> </w:t>
      </w:r>
      <w:r>
        <w:t xml:space="preserve">(Teece, 1986) cần đi kèm với cơ sở hạ tầng thể chế và số phù hợp. Không có complementary assets, DAI chỉ là chi phí bổ sung mà không tạo ra lợi thế.</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 tăng đơn điệu theo chiều từ SIDS lên Advanced Innovation,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(bản thảo đang chuẩn bị, Đỗ &amp; Phan, 2026):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(bản thảo đang chuẩn bị, Đỗ &amp; Phan,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(bản thảo đang chuẩn bị,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(bản thảo đang chuẩn bị, Đỗ &amp; Phan, 2026): meta-analysis ba tầng mở rộng</w:t>
      </w:r>
      <w:r>
        <w:t xml:space="preserve"> </w:t>
      </w:r>
      <m:oMath>
        <m:r>
          <m:t>k</m:t>
        </m:r>
        <m:r>
          <m:rPr>
            <m:sty m:val="p"/>
          </m:rPr>
          <m:t>=</m:t>
        </m:r>
        <m:r>
          <m:t>235</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2"/>
        </w:numPr>
      </w:pPr>
      <w:r>
        <w:rPr>
          <w:bCs/>
          <w:b/>
        </w:rPr>
        <w:t xml:space="preserve">P7</w:t>
      </w:r>
      <w:r>
        <w:t xml:space="preserve"> </w:t>
      </w:r>
      <w:r>
        <w:t xml:space="preserve">(bản thảo đang chuẩn bị, Đỗ &amp; Phan, 2026):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(bản thảo đang chuẩn bị,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235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2026-05-15T15:34:35Z</dcterms:created>
  <dcterms:modified xsi:type="dcterms:W3CDTF">2026-05-15T15:34:35Z</dcterms:modified>
</cp:coreProperties>
</file>

<file path=docProps/custom.xml><?xml version="1.0" encoding="utf-8"?>
<Properties xmlns="http://schemas.openxmlformats.org/officeDocument/2006/custom-properties" xmlns:vt="http://schemas.openxmlformats.org/officeDocument/2006/docPropsVTypes"/>
</file>