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7"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 Uppsala Model (Johanson &amp; Vahlne, 1977, 2009), Resource-Based View (Barney, 1991; Wernerfelt, 1984), Institutional Theory (North, 1990; Khanna &amp; Palepu, 2010; Peng, 2003) và Upper Echelons Theory (Hambrick &amp; Mason, 1984; Hambrick, 2007) — kết hợp với Foundational Digital Adoption Framework (Banalieva &amp; Dhanaraj, 2019; Verhoef et al., 2021; Stallkamp &amp; Schotter, 2021) làm nền tảng lý thuyết. Lược khảo năm dạng hàm quan hệ quốc tế hóa —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 dương trong OLS nhưng phụ thuộc bối cảnh và có thể null trong kiểm định nhân quả) và có điều kiện/null ở Advanced (H3b), phân biệt với TCI; H4a–H4c đặc điểm nhà quản trị điều tiết (kinh nghiệm, học vấn, giới tính —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91.982 doanh nghiệp ở 49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 P3 Việt Nam (JABS, under review), P4 Singapore (MIR, under review), P5 Trung Quốc (IJOEM, under review) —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 the Uppsala Model (Johanson &amp; Vahlne, 1977, 2009), the Resource-Based View (Barney, 1991; Wernerfelt, 1984), Institutional Theory (North, 1990; Khanna &amp; Palepu, 2010; Peng, 2003), and Upper Echelons Theory (Hambrick &amp; Mason, 1984; Hambrick, 2007) — together with the Foundational Digital Adoption Framework (Banalieva &amp; Dhanaraj, 2019; Verhoef et al., 2021; Stallkamp &amp; Schotter, 2021). A review of five functional forms of the internationalization–performance (I→P) relationship — linear, inverted-U, S-curve, M-curve, and forced penalty —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 positive under OLS but subject to selection bias (P3 IV: β = 0.018, p = .942) —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91,982 firms across 49 Asian and Pacific economies (96,415 ICRV-classified across 52 source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 P3 Vietnam (JABS, under review), P4 Singapore (MIR, under review), P5 China (IJOEM, under review) —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 câu hỏi phụ — biến số — giả thuyết —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 biến WBES — kỳ vọng dấu — giả thuyết</w:t>
      </w:r>
    </w:p>
    <w:p>
      <w:pPr>
        <w:pStyle w:val="BodyText"/>
      </w:pPr>
      <w:r>
        <w:t xml:space="preserve">Bảng 2.5. Hệ giả thuyết H1–H6 —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49 nền kinh tế theo ICRV — đặc điểm và tiêu chí</w:t>
      </w:r>
    </w:p>
    <w:p>
      <w:pPr>
        <w:pStyle w:val="BodyText"/>
      </w:pPr>
      <w:r>
        <w:t xml:space="preserve">Bảng 2.12. Kế hoạch kiểm định độ vững —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 tổng quan</w:t>
      </w:r>
    </w:p>
    <w:p>
      <w:pPr>
        <w:pStyle w:val="BodyText"/>
      </w:pPr>
      <w:r>
        <w:t xml:space="preserve">Hình 2.2. Khung khái niệm tích hợp CĐ2 —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 —</w:t>
      </w:r>
      <w:r>
        <w:t xml:space="preserve"> </w:t>
      </w:r>
      <w:r>
        <w:rPr>
          <w:rStyle w:val="VerbatimChar"/>
        </w:rPr>
        <w:t xml:space="preserve">Lower_mid_transition</w:t>
      </w:r>
      <w:r>
        <w:t xml:space="preserve">) gồm Việt Nam, Ấn Độ, Indonesia, Philippines, Mông Cổ, Bangladesh, Pakistan; nhóm đang nổi (ICRV Nhóm V —</w:t>
      </w:r>
      <w:r>
        <w:t xml:space="preserve"> </w:t>
      </w:r>
      <w:r>
        <w:rPr>
          <w:rStyle w:val="VerbatimChar"/>
        </w:rPr>
        <w:t xml:space="preserve">Emerging</w:t>
      </w:r>
      <w:r>
        <w:t xml:space="preserve">) gồm 17 nền kinh tế (gồm Sri Lanka, Jordan); và nhóm quốc đảo nhỏ (ICRV Nhóm VI —</w:t>
      </w:r>
      <w:r>
        <w:t xml:space="preserve"> </w:t>
      </w:r>
      <w:r>
        <w:rPr>
          <w:rStyle w:val="VerbatimChar"/>
        </w:rPr>
        <w:t xml:space="preserve">SIDS_small</w:t>
      </w:r>
      <w:r>
        <w:t xml:space="preserve">) gồm 8 nền (7 Pacific + Timor-Leste). Tổng cộng 49 nền kinh tế châu Á–Thái Bình Dương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91.982 doanh nghiệp WBES xuyên 49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91.982 doanh nghiệp xuyên 49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 năng lực công nghệ TCI, mức độ áp dụng số DAI, đặc điểm nhà quản trị, chế độ thể chế nội địa —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49 nền kinh tế phân theo sáu nhóm ICRV (5+6+6+7+17+8).</w:t>
      </w:r>
    </w:p>
    <w:p>
      <w:pPr>
        <w:pStyle w:val="BodyText"/>
      </w:pPr>
      <w:r>
        <w:t xml:space="preserve">Phạm vi thời gian: 2009–2025 (kèm một đợt khảo sát Oman 2003 trong bộ dữ liệu hợp nhất), bao trùm ba thế hệ schema WBES, tạo thành 101 cặp nền kinh tế–năm trên khung phân tích 49 nền.</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 chưa có khung tương đương trong văn liệu IB cho khu vực 49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e9d3ddc50a975426938b90e9f8f17c0f4735086"/>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91.982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 dương năm 2009 (β = 0,175), null năm 2015, có tương tác âm năm 2023 (FSTS_c×DAI_z = −0,912, p = 0,043); biến công cụ cho DAI null (β = 0,018, p = 0,942, F bậc một = 34,6) —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 điểm uốn hàm ý ở FSTS khoảng 88,6% (vùng thưa dữ liệu; kiểm định Lind–Mehlum p = 0,303). DAI×FSTS² = +3,119 (p = 0,005) —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 điểm uốn 49,4% (2012), 47,2% (2024), kiểm định Paternoster cho hệ số FSTS² không có sự khác biệt đáng kể (p = 0,545). TCI tăng cường theo thời gian (+0,260 →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 JFAR) là bản thảo tiền thân đã công bố, tìm thấy bậc ba (cubic nonlinearity) trong mẫu SMEs Trung Quốc —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 +0,426) ủng hộ TCI là nguồn lực VRIN bền vững.</w:t>
      </w:r>
    </w:p>
    <w:bookmarkEnd w:id="39"/>
    <w:bookmarkStart w:id="40" w:name="Xec688ca77214a2d5de44d607882fad31cddc4c4"/>
    <w:p>
      <w:pPr>
        <w:pStyle w:val="Heading5"/>
      </w:pPr>
      <w:r>
        <w:t xml:space="preserve">Tầng 3 — Lý thuyết thể chế (Institutional Theory)</w:t>
      </w:r>
    </w:p>
    <w:p>
      <w:pPr>
        <w:pStyle w:val="FirstParagraph"/>
      </w:pPr>
      <w:r>
        <w:t xml:space="preserve">North (1990) định nghĩa thể chế là các quy tắc của trò chơi — chính thức (luật pháp, hợp đồng, quyền sở hữu) và phi chính thức (chuẩn mực, văn hóa, mạng lưới) —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 đo lường bằng đầu vào và đầu ra của hoạt động đổi mới (Tier 3–4); và áp dụng số nền tảng (DAI) gồm sử dụng hạ tầng số cơ bản (website, e-commerce, e-payment) — đo lường bằng Tier 1–2.</w:t>
      </w:r>
    </w:p>
    <w:p>
      <w:pPr>
        <w:pStyle w:val="BodyText"/>
      </w:pPr>
      <w:r>
        <w:t xml:space="preserve">Stallkamp và Schotter (2021) chứng minh rằng nền tảng số cho phép doanh nghiệp nhỏ ở thị trường mới nổi quốc tế hóa với chi phí gần bằng zero — thay đổi căn bản logic Uppsala.</w:t>
      </w:r>
    </w:p>
    <w:p>
      <w:pPr>
        <w:pStyle w:val="BodyText"/>
      </w:pPr>
      <w:r>
        <w:t xml:space="preserve">CDCM — Mô hình Áp dụng số và Năng lực phụ thuộc bối cảnh —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 câu hỏi phụ — biến số — giả thuyết —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 TCI (RBV/Lall, 1992) đóng vai trò nâng mặt bằng nhân quả; được hỗ trợ bởi hạ tầng số có điều kiện —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 gradient ICRV 6 nhóm với gánh nặng tắt buộc ở quốc đảo nhỏ; và thay đổi theo bối cảnh thời gian —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 Uppsala Model, Resource-Based View, Institutional Theory, Upper Echelons Theory và Foundational Digital Adoption Framework —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554d9a38aa5071c54dd41cf832555f814bf88a4"/>
    <w:p>
      <w:pPr>
        <w:pStyle w:val="Heading5"/>
      </w:pPr>
      <w:r>
        <w:t xml:space="preserve">Hình 2.1 —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 H2, DAI — H3, đặc điểm nhà quản trị — H4a–H4c) và cấp quốc gia (ICRV regime — H5, giai đoạn thời gian —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91.982 doanh nghiệp.</w:t>
      </w:r>
    </w:p>
    <w:bookmarkEnd w:id="48"/>
    <w:bookmarkStart w:id="52" w:name="hình-2.2-cơ-chế-cdcm-chi-tiết"/>
    <w:p>
      <w:pPr>
        <w:pStyle w:val="Heading5"/>
      </w:pPr>
      <w:r>
        <w:t xml:space="preserve">Hình 2.2 —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 vai trò của DAI trong quan hệ I→P thay đổi theo regime thể chế và mức bão hòa số của nền kinh tế. Nhóm I (Singapore — Advanced I, bão hòa số cao): DAI Tier-1+2 vận hành như nguồn lực khuếch đại tình huống — tác động chỉ xuất hiện khi cường độ xuất khẩu đạt ngưỡng cao (FSTS²×DAI = +3,119; P4). Nhóm IV (Việt Nam —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 Upper-Middle/Emerging transition, bão hòa số trung bình): DAI Tier-1 phổ biến &gt;60% —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 khác nhau ở điều kiện bối cảnh, không mâu thuẫn về lý thuyết nền tảng.</w:t>
      </w:r>
    </w:p>
    <w:bookmarkEnd w:id="52"/>
    <w:bookmarkStart w:id="53" w:name="bảng-2.4-mapping-biến-đầy-đủ"/>
    <w:p>
      <w:pPr>
        <w:pStyle w:val="Heading5"/>
      </w:pPr>
      <w:r>
        <w:t xml:space="preserve">Bảng 2.4 — Mapping biến đầy đủ</w:t>
      </w:r>
    </w:p>
    <w:p>
      <w:pPr>
        <w:pStyle w:val="FirstParagraph"/>
      </w:pPr>
      <w:r>
        <w:t xml:space="preserve">Bảng 2.4. Mapping biến đầy đủ: khái niệm lý thuyết — biến WBES — kỳ vọng dấu —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 regime Advanced-Innovation; P7 pooled toàn mẫu ~36%)</w:t>
      </w:r>
      <w:r>
        <w:t xml:space="preserve"> </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tắt buộc —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 Nhóm IV (~39–46%) → Nhóm V (~50–55%), với Nhóm VI có pattern gánh nặng tắt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 tác động tham gia thị trường xuất khẩu là động lực chính của hiệu ứng I→P.</w:t>
      </w:r>
    </w:p>
    <w:p>
      <w:pPr>
        <w:pStyle w:val="BodyText"/>
      </w:pPr>
      <w:r>
        <w:t xml:space="preserve">H1b (biên cường độ — gần phẳng): Trong mẫu chỉ gồm doanh nghiệp xuất khẩu, đường cong I→P gần phẳng —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 năng lực công nghệ nội tại — là nguồn lực VRIN theo Lall (1992) và tích lũy năng lực hấp thụ theo Cohen và Levinthal (1990). Doanh nghiệp có TCI cao: hấp thụ tri thức từ thị trường nước ngoài hiệu quả hơn; có công nghệ sản xuất tiên tiến hơn — năng suất cao hơn ở mọi mức FSTS; và có thể duy trì hiệu quả ở FSTS cao hơn. Cơ chế chính là nâng mặt bằng (level-shift) —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 TCI là nhân quả. P5 Trung Quốc: β_z(TCI) tăng từ +0,260 (2012) → +0,426 (2024), Paternoster z = −2,55 (p = 0,011) — TCI nâng mặt bằng tăng cường theo thời gian. P4 Singapore: β(TCI) = +0,153 (p &lt; 0,01), không điều tiết độ cong —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1c9c953fc89a4348f4f643e69b0c33ec6bd1f9d"/>
    <w:p>
      <w:pPr>
        <w:pStyle w:val="Heading5"/>
      </w:pPr>
      <w:r>
        <w:t xml:space="preserve">H3a–H3b —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 DAI mở rộng tình huống có điều kiện. P3 Việt Nam: biến công cụ null β = 0,018 (p = 0,942) — OLS dương =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 Nhóm III–V): Trong các nền kinh tế này, DAI điều tiết tích cực quan hệ FSTS →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 Nhóm I–II): Trong các nền kinh tế tiên tiến, tác động trực tiếp không điều kiện của DAI lên ln(LP) có thể null hoặc âm do bão hòa số và single-component measurement (chỉ website binary — Tier-1 proxy —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 H3c: β(TCI) ≠ β(DAI) và hai cấu trúc thỏa mãn tiêu chí discriminant validity).</w:t>
      </w:r>
    </w:p>
    <w:bookmarkEnd w:id="58"/>
    <w:bookmarkStart w:id="59" w:name="h4ah4c-đặc-điểm-nhà-quản-trị-điều-tiết"/>
    <w:p>
      <w:pPr>
        <w:pStyle w:val="Heading5"/>
      </w:pPr>
      <w:r>
        <w:t xml:space="preserve">H4a–H4c —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 đại diện cho năng lực nhận thức và khả năng tiếp thu kinh nghiệm quốc tế — điều tiết tích cực quan hệ FSTS →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 tất cả ảnh hưởng đến hiệu quả của quốc tế hóa. Ba cơ chế độc lập giải thích tại sao thể chế tốt hơn tạo ra điểm uốn cao hơn: (A) thực thi hợp đồng — giảm chi phí đại diện trong chuỗi cung ứng quốc tế; (B) phát triển thị trường tài chính — cho phép huy động vốn cho vốn lưu động quốc tế; (C) chất lượng quy định —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(regime Advanced-Innovation; pooled toàn mẫu ~36%)</w:t>
            </w:r>
          </w:p>
        </w:tc>
        <w:tc>
          <w:tcPr/>
          <w:p>
            <w:pPr>
              <w:pStyle w:val="Compact"/>
              <w:jc w:val="left"/>
            </w:pPr>
            <w:r>
              <w:t xml:space="preserve">P7 pooled (N=84,910): TP ~36%; regime Advanced-Innovation ~28% (thấp nhất); P4 Singapore TP ~88,6%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w:t>
      </w:r>
      <w:r>
        <w:t xml:space="preserve"> </w:t>
      </w:r>
      <w:r>
        <w:rPr>
          <w:bCs/>
          <w:b/>
        </w:rPr>
        <w:t xml:space="preserve">giảm đơn điệu</w:t>
      </w:r>
      <w:r>
        <w:t xml:space="preserve"> </w:t>
      </w:r>
      <w:r>
        <w:t xml:space="preserve">theo gradient từ Nhóm V (~50–55%) xuống Nhóm I (~28%) —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 quan hệ I→P dịch chuyển đáng kể. P5 Trung Quốc: TCI Paternoster p = 0,011 — hiệu ứng TCI tăng cường 2012→2024. P5 Trung Quốc: FSTS Paternoster p = 0,545 —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(H1a–H1b, H2, H3a–H3b với H3c distinctiveness, H4a–H4c, H5, H6) tạo thành hệ thống logic nhất quán: H1a/H1b (phi tuyến —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 cung cấp ước lượng cận dưới cho tác động quốc tế hóa.</w:t>
      </w:r>
    </w:p>
    <w:bookmarkEnd w:id="65"/>
    <w:bookmarkStart w:id="66" w:name="X75646ecbe4363f90b6d09bbb84a86967944c7db"/>
    <w:p>
      <w:pPr>
        <w:pStyle w:val="Heading5"/>
      </w:pPr>
      <w:r>
        <w:t xml:space="preserve">M1 — Chữ U ngược bậc hai (kiểm định H1 bậc hai)</w:t>
      </w:r>
    </w:p>
    <w:p>
      <w:pPr>
        <w:pStyle w:val="FirstParagraph"/>
      </w:pPr>
    </w:p>
    <w:p>
      <w:pPr>
        <w:pStyle w:val="BodyText"/>
      </w:pPr>
      <w:r>
        <w:t xml:space="preserve">Mục đích: kiểm định chữ U ngược trong H1 — dạng hàm phổ biến nhất trong văn liệu.</w:t>
      </w:r>
      <w:r>
        <w:t xml:space="preserve"> </w:t>
      </w:r>
      <w:r>
        <w:t xml:space="preserve">Kỳ vọng: β₁ &gt; 0, β₂ &lt; 0.</w:t>
      </w:r>
      <w:r>
        <w:t xml:space="preserve"> </w:t>
      </w:r>
      <w:r>
        <w:t xml:space="preserve">Điểm uốn: TP₁ = −β₁/(2β₂) —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 Điều tiết TCI (kiểm định H2)</w:t>
      </w:r>
    </w:p>
    <w:p>
      <w:pPr>
        <w:pStyle w:val="FirstParagraph"/>
      </w:pPr>
    </w:p>
    <w:p>
      <w:pPr>
        <w:pStyle w:val="BodyText"/>
      </w:pPr>
      <w:r>
        <w:t xml:space="preserve">Mục đích: kiểm định H2 —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 TCI là nâng mặt bằng thuần túy.</w:t>
      </w:r>
    </w:p>
    <w:bookmarkEnd w:id="68"/>
    <w:bookmarkStart w:id="69" w:name="m4-điều-tiết-dai-kiểm-định-h3"/>
    <w:p>
      <w:pPr>
        <w:pStyle w:val="Heading5"/>
      </w:pPr>
      <w:r>
        <w:t xml:space="preserve">M4 — + Điều tiết DAI (kiểm định H3)</w:t>
      </w:r>
    </w:p>
    <w:p>
      <w:pPr>
        <w:pStyle w:val="FirstParagraph"/>
      </w:pPr>
    </w:p>
    <w:p>
      <w:pPr>
        <w:pStyle w:val="BodyText"/>
      </w:pPr>
      <w:r>
        <w:t xml:space="preserve">Mục đích: kiểm định H3 — DAI là nguồn lực mở rộng tình huống.</w:t>
      </w:r>
      <w:r>
        <w:t xml:space="preserve"> </w:t>
      </w:r>
      <w:r>
        <w:t xml:space="preserve">Kỳ vọng: β₅(FSTS²×DAI) &gt; 0 trong Nhóm I (nhất quán P4 Singapore +3,119);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a11d8e594967f6dc9b7fd56ec467a6a3177254d"/>
    <w:p>
      <w:pPr>
        <w:pStyle w:val="Heading5"/>
      </w:pPr>
      <w:r>
        <w:t xml:space="preserve">M5 — + Điều tiết nhà quản trị (kiểm định H4a/H4b/H4c)</w:t>
      </w:r>
    </w:p>
    <w:p>
      <w:pPr>
        <w:pStyle w:val="FirstParagraph"/>
      </w:pPr>
    </w:p>
    <w:p>
      <w:pPr>
        <w:pStyle w:val="BodyText"/>
      </w:pPr>
      <w:r>
        <w:t xml:space="preserve">Biến Manager theo thứ tự ưu tiên: exp_manager (b5, H4a) — biến chính với kỳ vọng β₄ &gt; 0; educ_manager (b7a, H4b) — biến phụ với kỳ vọng β₄ &gt; 0; gender_manager (b7, H4c) — khám phá, kiểm định two-sided.</w:t>
      </w:r>
      <w:r>
        <w:t xml:space="preserve"> </w:t>
      </w:r>
      <w:r>
        <w:t xml:space="preserve">Kỳ vọng: β₄(FSTS×exp_manager) &gt; 0 [H4a]; β₄(FSTS×educ_manager) &gt; 0 [H4b]; β₄(FSTS×gender_manager) — không có kỳ vọng tiên nghiệm [H4c].</w:t>
      </w:r>
    </w:p>
    <w:bookmarkEnd w:id="70"/>
    <w:bookmarkStart w:id="71" w:name="m6-chế-độ-thể-chế-icrv-kiểm-định-h5"/>
    <w:p>
      <w:pPr>
        <w:pStyle w:val="Heading5"/>
      </w:pPr>
      <w:r>
        <w:t xml:space="preserve">M6 — + Chế độ thể chế ICRV (kiểm định H5)</w:t>
      </w:r>
    </w:p>
    <w:p>
      <w:pPr>
        <w:pStyle w:val="FirstParagraph"/>
      </w:pPr>
    </w:p>
    <w:p>
      <w:pPr>
        <w:pStyle w:val="BodyText"/>
      </w:pPr>
      <w:r>
        <w:t xml:space="preserve">Mục đích: kiểm định H5 —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 thay bằng Year FE + Region FE (6 vùng).</w:t>
      </w:r>
    </w:p>
    <w:bookmarkEnd w:id="71"/>
    <w:bookmarkStart w:id="72" w:name="Xf830d1be5186ac8af15f5b67785ac8d9f713bf8"/>
    <w:p>
      <w:pPr>
        <w:pStyle w:val="Heading5"/>
      </w:pPr>
      <w:r>
        <w:t xml:space="preserve">M7 —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 dễ dàng đáp ứng với pool 91.982.</w:t>
      </w:r>
    </w:p>
    <w:bookmarkEnd w:id="72"/>
    <w:bookmarkStart w:id="73" w:name="bảng-tổng-hợp-mô-hình"/>
    <w:p>
      <w:pPr>
        <w:pStyle w:val="Heading5"/>
      </w:pPr>
      <w:r>
        <w:t xml:space="preserve">Bảng tổng hợp mô hình</w:t>
      </w:r>
    </w:p>
    <w:p>
      <w:pPr>
        <w:pStyle w:val="FirstParagraph"/>
      </w:pPr>
      <w:r>
        <w:t xml:space="preserve">Bảng 2.7. Tám mô hình M0–M7 —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96.415 doanh nghiệp phân loại (52 nền nguồn); mẫu phân tích chính 91.982 doanh nghiệp / 49 nền kinh tế châu Á và Thái Bình Dương; 101 cặp nền kinh tế–năm trong giai đoạn 2009–2025 (kèm một đợt khảo sát Oman 2003 trong bộ dữ liệu hợp nhất).</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 Adv. đổi mới (</w:t>
            </w:r>
            <w:r>
              <w:rPr>
                <w:rStyle w:val="VerbatimChar"/>
              </w:rPr>
              <w:t xml:space="preserve">Advanced_innovation</w:t>
            </w:r>
            <w:r>
              <w:t xml:space="preserve">)</w:t>
            </w:r>
          </w:p>
        </w:tc>
        <w:tc>
          <w:tcPr/>
          <w:p>
            <w:pPr>
              <w:pStyle w:val="Compact"/>
              <w:jc w:val="left"/>
            </w:pPr>
            <w:r>
              <w:t xml:space="preserve">Singapore, HongKong, Hàn Quốc, Đài Loan, Israel</w:t>
            </w:r>
          </w:p>
        </w:tc>
        <w:tc>
          <w:tcPr/>
          <w:p>
            <w:pPr>
              <w:pStyle w:val="Compact"/>
              <w:jc w:val="center"/>
            </w:pPr>
            <w:r>
              <w:t xml:space="preserve">5</w:t>
            </w:r>
          </w:p>
        </w:tc>
        <w:tc>
          <w:tcPr/>
          <w:p>
            <w:pPr>
              <w:pStyle w:val="Compact"/>
              <w:jc w:val="center"/>
            </w:pPr>
            <w:r>
              <w:t xml:space="preserve">4.222</w:t>
            </w:r>
          </w:p>
        </w:tc>
      </w:tr>
      <w:tr>
        <w:tc>
          <w:tcPr/>
          <w:p>
            <w:pPr>
              <w:pStyle w:val="Compact"/>
              <w:jc w:val="left"/>
            </w:pPr>
            <w:r>
              <w:t xml:space="preserve">II —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2.269</w:t>
            </w:r>
          </w:p>
        </w:tc>
      </w:tr>
      <w:tr>
        <w:tc>
          <w:tcPr/>
          <w:p>
            <w:pPr>
              <w:pStyle w:val="Compact"/>
              <w:jc w:val="left"/>
            </w:pPr>
            <w:r>
              <w:t xml:space="preserve">III —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50.926</w:t>
            </w:r>
          </w:p>
        </w:tc>
      </w:tr>
      <w:tr>
        <w:tc>
          <w:tcPr/>
          <w:p>
            <w:pPr>
              <w:pStyle w:val="Compact"/>
              <w:jc w:val="left"/>
            </w:pPr>
            <w:r>
              <w:t xml:space="preserve">V —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18.569</w:t>
            </w:r>
          </w:p>
        </w:tc>
      </w:tr>
      <w:tr>
        <w:tc>
          <w:tcPr/>
          <w:p>
            <w:pPr>
              <w:pStyle w:val="Compact"/>
              <w:jc w:val="left"/>
            </w:pPr>
            <w:r>
              <w:t xml:space="preserve">VI —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1.885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49</w:t>
            </w:r>
          </w:p>
        </w:tc>
        <w:tc>
          <w:tcPr/>
          <w:p>
            <w:pPr>
              <w:pStyle w:val="Compact"/>
              <w:jc w:val="center"/>
            </w:pPr>
            <w:r>
              <w:rPr>
                <w:bCs/>
                <w:b/>
              </w:rPr>
              <w:t xml:space="preserve">91.864</w:t>
            </w:r>
            <w:r>
              <w:t xml:space="preserve"> </w:t>
            </w:r>
            <w:r>
              <w:t xml:space="preserve">(≈91.982 mẫu phân tích luận án)</w:t>
            </w:r>
          </w:p>
        </w:tc>
      </w:tr>
    </w:tbl>
    <w:p>
      <w:pPr>
        <w:pStyle w:val="BodyText"/>
      </w:pPr>
      <w:r>
        <w:rPr>
          <w:iCs/>
          <w:i/>
        </w:rPr>
        <w:t xml:space="preserve">Ghi chú: Nhãn nhóm theo biến phân loại</w:t>
      </w:r>
      <w:r>
        <w:rPr>
          <w:iCs/>
          <w:i/>
        </w:rPr>
        <w:t xml:space="preserve"> </w:t>
      </w:r>
      <w:r>
        <w:rPr>
          <w:rStyle w:val="VerbatimChar"/>
          <w:iCs/>
          <w:i/>
        </w:rPr>
        <w:t xml:space="preserve">icrv_label</w:t>
      </w:r>
      <w:r>
        <w:rPr>
          <w:iCs/>
          <w:i/>
        </w:rPr>
        <w:t xml:space="preserve">, dùng thống nhất trong luận án và Chuyên đề 1 —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Pool phân loại đầy đủ = 96.415 DN/52 nền; loại 3 nền ngoài châu Á (Comoros, Turkey, Cyprus) → khung phân tích 49 nền Á–TBD = 91.864 DN.</w:t>
      </w:r>
    </w:p>
    <w:p>
      <w:pPr>
        <w:pStyle w:val="BodyText"/>
      </w:pPr>
      <w:r>
        <w:t xml:space="preserve">Ba thế hệ schema WBES và giao thức hòa hợp: PICS3 (2006–2012): biến FSTS từ d3b/d3c; TCI từ h1/h8/b8; DAI từ c22b only. Standardized (2013–2017): biến tái định dạng nhưng tương thích. BREADY/BEE (2018–2025):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trong cụm nền kinh tế × năm; và chuẩn hóa năng suất xuyên tiền tệ (xem dưới).</w:t>
      </w:r>
    </w:p>
    <w:bookmarkEnd w:id="75"/>
    <w:bookmarkStart w:id="76" w:name="đo-lường-biến-chi-tiết"/>
    <w:p>
      <w:pPr>
        <w:pStyle w:val="Heading5"/>
      </w:pPr>
      <w:r>
        <w:t xml:space="preserve">Đo lường biến chi tiết</w:t>
      </w:r>
    </w:p>
    <w:p>
      <w:pPr>
        <w:pStyle w:val="FirstParagraph"/>
      </w:pPr>
      <w:r>
        <w:t xml:space="preserve">Biến phụ thuộc —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I→P được nhận dạng từ biến thiên</w:t>
      </w:r>
      <w:r>
        <w:t xml:space="preserve"> </w:t>
      </w:r>
      <w:r>
        <w:rPr>
          <w:iCs/>
          <w:i/>
        </w:rPr>
        <w:t xml:space="preserve">nội bộ</w:t>
      </w:r>
      <w:r>
        <w:t xml:space="preserve"> </w:t>
      </w:r>
      <w:r>
        <w:t xml:space="preserve">nền kinh tế–năm, nhất quán với Phụ lục A của luận án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w:t>
      </w:r>
    </w:p>
    <w:p>
      <w:pPr>
        <w:pStyle w:val="BodyText"/>
      </w:pPr>
      <w:r>
        <w:t xml:space="preserve">Biến độc lập —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 chỉ có trong schema BEE (2019 trở đi).</w:t>
      </w:r>
      <w:r>
        <w:t xml:space="preserve"> </w:t>
      </w:r>
      <w:r>
        <w:t xml:space="preserve">DAI_z_tier1 (Tier 1 only): z-mean(c22b) —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49 nền kinh tế theo ICRV —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tắt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5 + 6 + 6 + 7 + 17 + 8 =</w:t>
      </w:r>
      <w:r>
        <w:t xml:space="preserve"> </w:t>
      </w:r>
      <w:r>
        <w:rPr>
          <w:bCs/>
          <w:b/>
        </w:rPr>
        <w:t xml:space="preserve">49 nền kinh tế châu Á–Thái Bình Dương</w:t>
      </w:r>
      <w:r>
        <w:t xml:space="preserve"> </w:t>
      </w:r>
      <w:r>
        <w:t xml:space="preserve">(căn theo nhãn</w:t>
      </w:r>
      <w:r>
        <w:t xml:space="preserve"> </w:t>
      </w:r>
      <w:r>
        <w:rPr>
          <w:rStyle w:val="VerbatimChar"/>
        </w:rPr>
        <w:t xml:space="preserve">icrv_label</w:t>
      </w:r>
      <w:r>
        <w:t xml:space="preserve"> </w:t>
      </w:r>
      <w:r>
        <w:t xml:space="preserve">dữ liệu P7).</w:t>
      </w:r>
      <w:r>
        <w:t xml:space="preserve"> </w:t>
      </w:r>
      <w:r>
        <w:rPr>
          <w:iCs/>
          <w:i/>
        </w:rPr>
        <w:t xml:space="preserve">(Pool phân loại đầy đủ 52 nền/96.415 DN gồm thêm Comoros, Turkey, Cyprus ngoài châu Á — loại khỏi khung 49. P8 mẫu chính 7 nền Pacific; robustness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49 nền kinh tế không thay đổi nhóm ICRV trong giai đoạn 2009–2025 (ngưỡng kiểm tra: chuyển nhóm nếu GNI/người vượt ngưỡng ±15% trong ≥3 năm liên tiếp —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 nếu hình dạng visual nhất quán với chữ U ngược → bằng chứng xác nhận không phụ thuộc giả định phân phối.</w:t>
      </w:r>
    </w:p>
    <w:p>
      <w:pPr>
        <w:pStyle w:val="BodyText"/>
      </w:pPr>
      <w:r>
        <w:t xml:space="preserve">Tầng 4 — Nhân rộng mẫu con: Pool đủ lớn (91.982) cho phép chạy M0–M7 riêng cho từng nhóm ICRV (Nhóm I: 4.222; Nhóm IV: 50.926)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49 nền kinh tế bao gồm cả quốc đảo nhỏ Thái Bình Dương. Khung tích hợp Uppsala + RBV + Institutional Theory + Upper Echelons + Foundational Digital Adoption Framework cho phép giải thích đồng thời tính không đồng nhất quan sát được — điều mà các mô hình đơn lý thuyết không làm được.</w:t>
      </w:r>
    </w:p>
    <w:p>
      <w:pPr>
        <w:pStyle w:val="BodyText"/>
      </w:pPr>
      <w:r>
        <w:t xml:space="preserve">Đóng góp 2: CDCM —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 chưa có trong văn liệu.</w:t>
      </w:r>
    </w:p>
    <w:p>
      <w:pPr>
        <w:pStyle w:val="BodyText"/>
      </w:pPr>
      <w:r>
        <w:t xml:space="preserve">Đóng góp 3: Phân loại nhánh Advanced thành Nhóm I và Nhóm II. Phát hiện từ phân tích mô tả về tính không đồng nhất trong Advanced — Nhóm I (tiên tiến đổi mới: Singapore, Korea, HK, Đài Loan) vs. Nhóm II (tiên tiến tài nguyên: Saudi, Qatar, Kuwait, Bahrain) —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 SIDS không có chữ U ngược điển hình do quốc tế hóa bắt buộc (Briguglio, 1995).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 cho phép kiểm tra xem TCI và DAI là bổ sung hay thay thế trong điều tiết I→P.</w:t>
      </w:r>
    </w:p>
    <w:p>
      <w:pPr>
        <w:pStyle w:val="BodyText"/>
      </w:pPr>
      <w:r>
        <w:t xml:space="preserve">Đóng góp 6: Pool 91.982 doanh nghiệp —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 tăng cường năng lực điều phối thay vì chỉ tăng tỉ lệ xuất khẩu.</w:t>
      </w:r>
    </w:p>
    <w:p>
      <w:pPr>
        <w:pStyle w:val="BodyText"/>
      </w:pPr>
      <w:r>
        <w:t xml:space="preserve">DAI phát huy mạnh khi FSTS cao và môi trường thể chế tốt: Nhóm I (Singapore) cho thấy DAI×FSTS² = +3,119 —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 những gì hiệu quả ở Singapore không nhất thiết hiệu quả ở Bangladesh.</w:t>
      </w:r>
    </w:p>
    <w:p>
      <w:pPr>
        <w:pStyle w:val="BodyText"/>
      </w:pPr>
      <w:r>
        <w:t xml:space="preserve">Tính không đồng nhất thời gian H6 — chính sách năm 2025 không thể sao chép chính sách năm 2009; AI bùng nổ tạo ra cơ hội mới cho DAI trong giai đoạn 2018 trở đi.</w:t>
      </w:r>
    </w:p>
    <w:p>
      <w:pPr>
        <w:pStyle w:val="BodyText"/>
      </w:pPr>
      <w:r>
        <w:t xml:space="preserve">SIDS gánh nặng tắt buộc —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 Uppsala, RBV, Institutional Theory, Upper Echelons, Foundational Digital Adoption Framework — vào tám mô hình thực nghiệm M0–M7 có thể kiểm định trên pool 91.982 doanh nghiệp WBES xuyên 49 nền kinh tế và 108 cặp quốc gia-năm. Hệ giả thuyết H1–H6 được phát triển có neo đậu thực nghiệm từ ba bản thảo đồng hành (P3 Việt Nam, P4 Singapore, P5 Trung Quốc) —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2009→2023, TCI tăng cường theo thời gian.</w:t>
      </w:r>
    </w:p>
    <w:p>
      <w:pPr>
        <w:pStyle w:val="BodyText"/>
      </w:pPr>
      <w:r>
        <w:t xml:space="preserve">Đóng góp trung tâm — CDCM —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 tích hợp ERP, triển khai AI, quản trị dữ liệu xuyên biên giới —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 panel meta-analysis; Borenstein et al. (2021) — Bayesian meta-regression với thông tin tiền nghiệm. Về mở rộng bậc số hóa: Verhoef et al. (2021) — phân cấp Tier 1–4. Về mở rộng quốc tế hóa đa chiều: Contractor et al. (2003); Sullivan (1994) về DOI composite.</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 mức độ số hóa cấp quốc gia; (ii) ICRV 6 nhóm; (iii) DPL phase. Kết quả MARA xác nhận: pooled</w:t>
      </w:r>
      <w:r>
        <w:t xml:space="preserve"> </w:t>
      </w:r>
      <w:r>
        <w:rPr>
          <w:iCs/>
          <w:i/>
        </w:rPr>
        <w:t xml:space="preserve">r</w:t>
      </w:r>
      <w:r>
        <w:t xml:space="preserve">=0,074 (CI [0,060; 0,088]), I²=62,4%; ICRV Q_M=17,35 (p=.002) — H1 điều tiết thể chế được hỗ trợ; cDAI và DPL không có ý nghĩa (H2, H3 không được hỗ trợ). Phát hiện chính: publication bias xác nhận qua Begg–Mazumdar τ=−0,134 (p=.0007), trim-and-fill k=58 imputed,</w:t>
      </w:r>
      <w:r>
        <w:t xml:space="preserve"> </w:t>
      </w:r>
      <w:r>
        <w:rPr>
          <w:iCs/>
          <w:i/>
        </w:rPr>
        <w:t xml:space="preserve">r</w:t>
      </w:r>
      <w:r>
        <w:t xml:space="preserve">_adj=0,035 —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 P7: Kiểm định H1–H6 toàn pool 49 nền kinh tế (JIBS, under revision):</w:t>
      </w:r>
      <w:r>
        <w:t xml:space="preserve"> </w:t>
      </w:r>
      <w:r>
        <w:t xml:space="preserve">P7 đã hoàn thành —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 P8: SIDS Thái Bình Dương — gánh nặng tắt buộc (World Development, under revision):</w:t>
      </w:r>
      <w:r>
        <w:t xml:space="preserve"> </w:t>
      </w:r>
      <w:r>
        <w:t xml:space="preserve">P8 đã hoàn thành —</w:t>
      </w:r>
      <w:r>
        <w:t xml:space="preserve"> </w:t>
      </w:r>
      <w:r>
        <w:rPr>
          <w:bCs/>
          <w:b/>
        </w:rPr>
        <w:t xml:space="preserve">mẫu chính 7 nền Pacific SIDS (N=209 complete-case; pool 1.371), β(FSTS_c)=−1,339</w:t>
      </w:r>
      <w:r>
        <w:t xml:space="preserve"> </w:t>
      </w:r>
      <w:r>
        <w:t xml:space="preserve">(p&lt;.001); kiểm định độ vững mở rộng 9 nền (thêm Comoros + Timor-Leste, N≈1.469, β≈−0,4) —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 và điều kiện chuyển đổi là gì (ngưỡng thể chế, quy mô doanh nghiệp, hay sóng công nghệ)?</w:t>
      </w:r>
    </w:p>
    <w:p>
      <w:pPr>
        <w:pStyle w:val="BodyText"/>
      </w:pPr>
      <w:r>
        <w:rPr>
          <w:bCs/>
          <w:b/>
        </w:rPr>
        <w:t xml:space="preserve">Hướng 5 —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1"/>
    <w:bookmarkStart w:id="96" w:name="phụ-lục"/>
    <w:p>
      <w:pPr>
        <w:pStyle w:val="Heading2"/>
      </w:pPr>
      <w:r>
        <w:t xml:space="preserve">PHỤ LỤC</w:t>
      </w:r>
    </w:p>
    <w:bookmarkStart w:id="92" w:name="X01944e567194a9fadb7bca1b5869d9662127c94"/>
    <w:p>
      <w:pPr>
        <w:pStyle w:val="Heading3"/>
      </w:pPr>
      <w:r>
        <w:t xml:space="preserve">Phụ lục A — Danh sách 49 nền kinh tế theo nhóm ICRV</w:t>
      </w:r>
    </w:p>
    <w:p>
      <w:pPr>
        <w:pStyle w:val="FirstParagraph"/>
      </w:pPr>
      <w:r>
        <w:t xml:space="preserve">ICRV Nhóm I — Tiên tiến đổi mới sáng tạo dẫn dắt (5 nền kinh tế):</w:t>
      </w:r>
      <w:r>
        <w:t xml:space="preserve"> </w:t>
      </w:r>
      <w:r>
        <w:t xml:space="preserve">Singapore, Hong Kong SAR, Hàn Quốc, Đài Loan, Israel.</w:t>
      </w:r>
    </w:p>
    <w:p>
      <w:pPr>
        <w:pStyle w:val="BodyText"/>
      </w:pPr>
      <w:r>
        <w:t xml:space="preserve">ICRV Nhóm II — Tiên tiến tài nguyên dẫn dắt (5 nền kinh tế):</w:t>
      </w:r>
      <w:r>
        <w:t xml:space="preserve"> </w:t>
      </w:r>
      <w:r>
        <w:t xml:space="preserve">Saudi Arabia, Qatar, Kuwait, Bahrain, Brunei.</w:t>
      </w:r>
    </w:p>
    <w:p>
      <w:pPr>
        <w:pStyle w:val="BodyText"/>
      </w:pPr>
      <w:r>
        <w:t xml:space="preserve">ICRV Nhóm III — Trung bình cao (6 nền kinh tế):</w:t>
      </w:r>
      <w:r>
        <w:t xml:space="preserve"> </w:t>
      </w:r>
      <w:r>
        <w:t xml:space="preserve">Trung Quốc, Malaysia, Thái Lan, Kazakhstan, Armenia, Georgia.</w:t>
      </w:r>
    </w:p>
    <w:p>
      <w:pPr>
        <w:pStyle w:val="BodyText"/>
      </w:pPr>
      <w:r>
        <w:t xml:space="preserve">ICRV Nhóm IV — Đang nổi (7 nền kinh tế):</w:t>
      </w:r>
      <w:r>
        <w:t xml:space="preserve"> </w:t>
      </w:r>
      <w:r>
        <w:t xml:space="preserve">Việt Nam, Indonesia, Philippines, Ấn Độ, Sri Lanka, Jordan, Mông Cổ.</w:t>
      </w:r>
    </w:p>
    <w:p>
      <w:pPr>
        <w:pStyle w:val="BodyText"/>
      </w:pPr>
      <w:r>
        <w:t xml:space="preserve">ICRV Nhóm V — Đang nổi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49 nền kinh tế.</w:t>
      </w:r>
    </w:p>
    <w:bookmarkEnd w:id="92"/>
    <w:bookmarkStart w:id="93" w:name="phụ-lục-b-tóm-tắt-ba-bản-thảo-đồng-hành"/>
    <w:p>
      <w:pPr>
        <w:pStyle w:val="Heading3"/>
      </w:pPr>
      <w:r>
        <w:t xml:space="preserve">Phụ lục B — Tóm tắt ba bản thảo đồng hành</w:t>
      </w:r>
    </w:p>
    <w:p>
      <w:pPr>
        <w:pStyle w:val="FirstParagraph"/>
      </w:pPr>
      <w:r>
        <w:t xml:space="preserve">P3 —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 Singapore (MIR, under review): Mar, K. S., Đỗ, T. H., &amp; Phan, A. T. (2026). Phân tích 623 doanh nghiệp WBES 2023. Kết quả chính: đường cong I→P chủ yếu dương; điểm uốn hàm ý ~88,6% (vùng thưa dữ liệu; Lind–Mehlum p = 0,303); DAI×FSTS² = +3,119 (p = 0,005) — DAI là nguồn lực mở rộng tình huống; TCI β = 0,153.</w:t>
      </w:r>
    </w:p>
    <w:p>
      <w:pPr>
        <w:pStyle w:val="BodyText"/>
      </w:pPr>
      <w:r>
        <w:t xml:space="preserve">P5 — Trung Quốc (IJOEM, under review): Đỗ, T. H., &amp; Phan, A. T. (2026). Phân tích 4.559 doanh nghiệp WBES hai sóng 2012/2024. Kết quả chính: chữ U ngược bền vững cấu trúc — điểm uốn 49,4% (2012), 47,2% (2024), Paternoster FSTS² p = 0,545 (không có sự khác biệt đáng kể); TCI tăng cường theo thời gian (+0,260 → +0,426, Paternoster p = 0,011).</w:t>
      </w:r>
    </w:p>
    <w:bookmarkEnd w:id="93"/>
    <w:bookmarkStart w:id="94"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bookmarkEnd w:id="9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2026-06-12T06:20:16Z</dcterms:created>
  <dcterms:modified xsi:type="dcterms:W3CDTF">2026-06-12T06:20:16Z</dcterms:modified>
</cp:coreProperties>
</file>

<file path=docProps/custom.xml><?xml version="1.0" encoding="utf-8"?>
<Properties xmlns="http://schemas.openxmlformats.org/officeDocument/2006/custom-properties" xmlns:vt="http://schemas.openxmlformats.org/officeDocument/2006/docPropsVTypes"/>
</file>