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BỘ GIÁO DỤC VÀ ĐÀO TẠO</w:t>
      </w:r>
    </w:p>
    <w:p>
      <w:pPr>
        <w:pStyle w:val="Title"/>
      </w:pPr>
      <w:r>
        <w:t xml:space="preserve">TRƯỜNG ĐẠI HỌC CẦN THƠ</w:t>
      </w:r>
    </w:p>
    <w:p>
      <w:pPr>
        <w:pStyle w:val="BodyText"/>
      </w:pPr>
      <w:r>
        <w:t xml:space="preserve"> </w:t>
      </w:r>
    </w:p>
    <w:p>
      <w:pPr>
        <w:pStyle w:val="Title"/>
      </w:pPr>
      <w:r>
        <w:rPr>
          <w:bCs/>
          <w:b/>
        </w:rPr>
        <w:t xml:space="preserve">ĐỖ THÙY HƯƠNG</w:t>
      </w:r>
    </w:p>
    <w:p>
      <w:pPr>
        <w:pStyle w:val="BodyText"/>
      </w:pPr>
      <w:r>
        <w:t xml:space="preserve"> </w:t>
      </w:r>
    </w:p>
    <w:p>
      <w:pPr>
        <w:pStyle w:val="Title"/>
      </w:pPr>
      <w:r>
        <w:rPr>
          <w:bCs/>
          <w:b/>
        </w:rPr>
        <w:t xml:space="preserve">QUỐC TẾ HÓA VÀ HIỆU QUẢ HOẠT ĐỘNG KINH DOANH CỦA CÁC DOANH NGHIỆP Ở CHÂU Á</w:t>
      </w:r>
    </w:p>
    <w:p>
      <w:pPr>
        <w:pStyle w:val="BodyText"/>
      </w:pPr>
      <w:r>
        <w:t xml:space="preserve"> </w:t>
      </w:r>
    </w:p>
    <w:p>
      <w:pPr>
        <w:pStyle w:val="Title"/>
      </w:pPr>
      <w:r>
        <w:t xml:space="preserve">LUẬN ÁN TIẾN SĨ</w:t>
      </w:r>
    </w:p>
    <w:p>
      <w:pPr>
        <w:pStyle w:val="Title"/>
      </w:pPr>
      <w:r>
        <w:t xml:space="preserve">NGÀNH QUẢN TRỊ KINH DOANH</w:t>
      </w:r>
    </w:p>
    <w:p>
      <w:pPr>
        <w:pStyle w:val="Title"/>
      </w:pPr>
      <w:r>
        <w:t xml:space="preserve">MÃ SỐ: 9340101</w:t>
      </w:r>
    </w:p>
    <w:p>
      <w:pPr>
        <w:pStyle w:val="BodyText"/>
      </w:pPr>
      <w:r>
        <w:t xml:space="preserve"> </w:t>
      </w:r>
    </w:p>
    <w:p>
      <w:pPr>
        <w:pStyle w:val="Title"/>
      </w:pPr>
      <w:r>
        <w:t xml:space="preserve">NĂM 2026</w:t>
      </w:r>
    </w:p>
    <w:p>
      <w:r>
        <w:br w:type="page"/>
      </w:r>
    </w:p>
    <w:p>
      <w:pPr>
        <w:pStyle w:val="Title"/>
      </w:pPr>
      <w:r>
        <w:t xml:space="preserve">BỘ GIÁO DỤC VÀ ĐÀO TẠO</w:t>
      </w:r>
    </w:p>
    <w:p>
      <w:pPr>
        <w:pStyle w:val="Title"/>
      </w:pPr>
      <w:r>
        <w:t xml:space="preserve">TRƯỜNG ĐẠI HỌC CẦN THƠ</w:t>
      </w:r>
    </w:p>
    <w:p>
      <w:pPr>
        <w:pStyle w:val="BodyText"/>
      </w:pPr>
      <w:r>
        <w:t xml:space="preserve"> </w:t>
      </w:r>
    </w:p>
    <w:p>
      <w:pPr>
        <w:pStyle w:val="Title"/>
      </w:pPr>
      <w:r>
        <w:rPr>
          <w:bCs/>
          <w:b/>
        </w:rPr>
        <w:t xml:space="preserve">ĐỖ THÙY HƯƠNG</w:t>
      </w:r>
    </w:p>
    <w:p>
      <w:pPr>
        <w:pStyle w:val="Title"/>
      </w:pPr>
      <w:r>
        <w:t xml:space="preserve">MÃ SỐ NCS: P1323001</w:t>
      </w:r>
    </w:p>
    <w:p>
      <w:pPr>
        <w:pStyle w:val="BodyText"/>
      </w:pPr>
      <w:r>
        <w:t xml:space="preserve"> </w:t>
      </w:r>
    </w:p>
    <w:p>
      <w:pPr>
        <w:pStyle w:val="Title"/>
      </w:pPr>
      <w:r>
        <w:rPr>
          <w:bCs/>
          <w:b/>
        </w:rPr>
        <w:t xml:space="preserve">QUỐC TẾ HÓA VÀ HIỆU QUẢ HOẠT ĐỘNG KINH DOANH CỦA CÁC DOANH NGHIỆP Ở CHÂU Á</w:t>
      </w:r>
    </w:p>
    <w:p>
      <w:pPr>
        <w:pStyle w:val="BodyText"/>
      </w:pPr>
      <w:r>
        <w:t xml:space="preserve"> </w:t>
      </w:r>
    </w:p>
    <w:p>
      <w:pPr>
        <w:pStyle w:val="Title"/>
      </w:pPr>
      <w:r>
        <w:t xml:space="preserve">LUẬN ÁN TIẾN SĨ</w:t>
      </w:r>
    </w:p>
    <w:p>
      <w:pPr>
        <w:pStyle w:val="Title"/>
      </w:pPr>
      <w:r>
        <w:t xml:space="preserve">NGÀNH QUẢN TRỊ KINH DOANH</w:t>
      </w:r>
    </w:p>
    <w:p>
      <w:pPr>
        <w:pStyle w:val="Title"/>
      </w:pPr>
      <w:r>
        <w:t xml:space="preserve">MÃ SỐ: 9340101</w:t>
      </w:r>
    </w:p>
    <w:p>
      <w:pPr>
        <w:pStyle w:val="BodyText"/>
      </w:pPr>
      <w:r>
        <w:t xml:space="preserve"> </w:t>
      </w:r>
    </w:p>
    <w:p>
      <w:pPr>
        <w:pStyle w:val="Title"/>
      </w:pPr>
      <w:r>
        <w:t xml:space="preserve">NGƯỜI HƯỚNG DẪN KHOA HỌC</w:t>
      </w:r>
    </w:p>
    <w:p>
      <w:pPr>
        <w:pStyle w:val="Title"/>
      </w:pPr>
      <w:r>
        <w:t xml:space="preserve">PGS.TS. PHAN ANH TÚ</w:t>
      </w:r>
    </w:p>
    <w:p>
      <w:pPr>
        <w:pStyle w:val="BodyText"/>
      </w:pPr>
      <w:r>
        <w:t xml:space="preserve"> </w:t>
      </w:r>
    </w:p>
    <w:p>
      <w:pPr>
        <w:pStyle w:val="Title"/>
      </w:pPr>
      <w:r>
        <w:t xml:space="preserve">NĂM 2026</w:t>
      </w:r>
    </w:p>
    <w:p>
      <w:r>
        <w:br w:type="page"/>
      </w:r>
    </w:p>
    <w:bookmarkStart w:id="20" w:name="trang-xác-nhận-của-hội-đồng"/>
    <w:p>
      <w:pPr>
        <w:pStyle w:val="Heading1"/>
      </w:pPr>
      <w:r>
        <w:t xml:space="preserve">TRANG XÁC NHẬN CỦA HỘI ĐỒNG</w:t>
      </w:r>
    </w:p>
    <w:p>
      <w:pPr>
        <w:pStyle w:val="FirstParagraph"/>
      </w:pPr>
      <w:r>
        <w:t xml:space="preserve">Luận án tiến sĩ</w:t>
      </w:r>
      <w:r>
        <w:t xml:space="preserve"> </w:t>
      </w:r>
      <w:r>
        <w:t xml:space="preserve">“</w:t>
      </w:r>
      <w:r>
        <w:t xml:space="preserve">Quốc tế hóa và hiệu quả hoạt động kinh doanh của các doanh nghiệp ở Châu Á</w:t>
      </w:r>
      <w:r>
        <w:t xml:space="preserve">”</w:t>
      </w:r>
      <w:r>
        <w:t xml:space="preserve"> </w:t>
      </w:r>
      <w:r>
        <w:t xml:space="preserve">do nghiên cứu sinh Đỗ Thùy Hương thực hiện dưới sự hướng dẫn khoa học của PGS.TS. Phan Anh Tú,</w:t>
      </w:r>
      <w:r>
        <w:t xml:space="preserve"> </w:t>
      </w:r>
      <w:r>
        <w:t xml:space="preserve">đã được Hội đồng đánh giá luận án tiến sĩ cấp Trường thông qua.</w:t>
      </w:r>
    </w:p>
    <w:p>
      <w:pPr>
        <w:pStyle w:val="BodyText"/>
      </w:pPr>
      <w:r>
        <w:rPr>
          <w:iCs/>
          <w:i/>
        </w:rPr>
        <w:t xml:space="preserve">[Phần xác nhận và chữ ký của Chủ tịch Hội đồng cùng các thành viên được hoàn thiện sau buổi bảo</w:t>
      </w:r>
      <w:r>
        <w:rPr>
          <w:iCs/>
          <w:i/>
        </w:rPr>
        <w:t xml:space="preserve"> </w:t>
      </w:r>
      <w:r>
        <w:rPr>
          <w:iCs/>
          <w:i/>
        </w:rPr>
        <w:t xml:space="preserve">vệ, theo mẫu Phụ lục 3b của Quy định 1799/2021.]</w:t>
      </w:r>
    </w:p>
    <w:p>
      <w:pPr>
        <w:pStyle w:val="BodyText"/>
      </w:pPr>
      <w:r>
        <w:t xml:space="preserve"> </w:t>
      </w:r>
    </w:p>
    <w:p>
      <w:pPr>
        <w:pStyle w:val="Author"/>
      </w:pPr>
      <w:r>
        <w:t xml:space="preserve">Cần Thơ, ngày … tháng … năm ……</w:t>
      </w:r>
    </w:p>
    <w:p>
      <w:pPr>
        <w:pStyle w:val="Author"/>
      </w:pPr>
      <w:r>
        <w:t xml:space="preserve">Chủ tịch Hội đồng</w:t>
      </w:r>
    </w:p>
    <w:p>
      <w:r>
        <w:br w:type="page"/>
      </w:r>
    </w:p>
    <w:bookmarkEnd w:id="20"/>
    <w:bookmarkStart w:id="21" w:name="lời-cảm-ơn"/>
    <w:p>
      <w:pPr>
        <w:pStyle w:val="Heading1"/>
      </w:pPr>
      <w:r>
        <w:t xml:space="preserve">LỜI CẢM ƠN</w:t>
      </w:r>
    </w:p>
    <w:p>
      <w:pPr>
        <w:pStyle w:val="FirstParagraph"/>
      </w:pPr>
      <w:r>
        <w:t xml:space="preserve">Nghiên cứu sinh trân trọng cảm ơn PGS.TS. Phan Anh Tú đã tận tình hướng dẫn trong suốt</w:t>
      </w:r>
      <w:r>
        <w:t xml:space="preserve"> </w:t>
      </w:r>
      <w:r>
        <w:t xml:space="preserve">quá trình thực hiện luận án. Nghiên cứu sinh cảm ơn quý thầy cô Trường Kinh tế, Trường Đại</w:t>
      </w:r>
      <w:r>
        <w:t xml:space="preserve"> </w:t>
      </w:r>
      <w:r>
        <w:t xml:space="preserve">học Cần Thơ và Khoa Sau đại học đã hỗ trợ về chuyên môn và thủ tục đào tạo. Nghiên cứu sinh</w:t>
      </w:r>
      <w:r>
        <w:t xml:space="preserve"> </w:t>
      </w:r>
      <w:r>
        <w:t xml:space="preserve">cũng gửi lời cảm ơn đến gia đình, đồng nghiệp và bạn bè đã động viên, chia sẻ trong thời gian</w:t>
      </w:r>
      <w:r>
        <w:t xml:space="preserve"> </w:t>
      </w:r>
      <w:r>
        <w:t xml:space="preserve">học tập và nghiên cứu.</w:t>
      </w:r>
    </w:p>
    <w:p>
      <w:pPr>
        <w:pStyle w:val="BodyText"/>
      </w:pPr>
      <w:r>
        <w:rPr>
          <w:iCs/>
          <w:i/>
        </w:rPr>
        <w:t xml:space="preserve">[Nghiên cứu sinh hoàn thiện lời cảm ơn theo nguyện vọng cá nhân trước khi nộp.]</w:t>
      </w:r>
    </w:p>
    <w:p>
      <w:r>
        <w:br w:type="page"/>
      </w:r>
    </w:p>
    <w:bookmarkEnd w:id="21"/>
    <w:bookmarkStart w:id="22" w:name="tóm-tắt"/>
    <w:p>
      <w:pPr>
        <w:pStyle w:val="Heading1"/>
      </w:pPr>
      <w:r>
        <w:t xml:space="preserve">TÓM TẮT</w:t>
      </w:r>
    </w:p>
    <w:p>
      <w:pPr>
        <w:pStyle w:val="FirstParagraph"/>
      </w:pPr>
      <w:r>
        <w:t xml:space="preserve">Luận án phân tích ảnh hưởng của quốc tế hóa đến hiệu quả hoạt động kinh doanh của doanh</w:t>
      </w:r>
      <w:r>
        <w:t xml:space="preserve"> </w:t>
      </w:r>
      <w:r>
        <w:t xml:space="preserve">nghiệp ở châu Á và khu vực lân cận, dựa trên dữ liệu vi mô Khảo sát Doanh nghiệp của Ngân</w:t>
      </w:r>
      <w:r>
        <w:t xml:space="preserve"> </w:t>
      </w:r>
      <w:r>
        <w:t xml:space="preserve">hàng Thế giới (World Bank Enterprise Survey). Nghiên cứu sử dụng khung Biến thiên chế độ bối cảnh thể chế (Institutional Context Regime Variation — ICRV) để</w:t>
      </w:r>
      <w:r>
        <w:t xml:space="preserve"> </w:t>
      </w:r>
      <w:r>
        <w:t xml:space="preserve">giải thích vì sao mối quan hệ quốc tế hóa–hiệu quả thay đổi giữa các nền kinh tế. Hệ thống công</w:t>
      </w:r>
      <w:r>
        <w:t xml:space="preserve"> </w:t>
      </w:r>
      <w:r>
        <w:t xml:space="preserve">trình gồm một phân tích tổng hợp ba tầng, các nghiên cứu đơn quốc gia (Việt Nam, Singapore,</w:t>
      </w:r>
      <w:r>
        <w:t xml:space="preserve"> </w:t>
      </w:r>
      <w:r>
        <w:t xml:space="preserve">Trung Quốc), một nghiên cứu đa quốc gia trên 45 nền kinh tế, và một trường hợp biên là các</w:t>
      </w:r>
      <w:r>
        <w:t xml:space="preserve"> </w:t>
      </w:r>
      <w:r>
        <w:t xml:space="preserve">quốc đảo nhỏ đang phát triển Thái Bình Dương.</w:t>
      </w:r>
    </w:p>
    <w:p>
      <w:pPr>
        <w:pStyle w:val="BodyText"/>
      </w:pPr>
      <w:r>
        <w:t xml:space="preserve">Kết quả cho thấy quan hệ quốc tế hóa–hiệu quả có dạng chữ U ngược về hình thức, song điểm tối</w:t>
      </w:r>
      <w:r>
        <w:t xml:space="preserve"> </w:t>
      </w:r>
      <w:r>
        <w:t xml:space="preserve">ưu của nó được dịch chuyển bởi chế độ thể chế và năng lực số: điểm tối ưu xuất hiện sớm hơn ở</w:t>
      </w:r>
      <w:r>
        <w:t xml:space="preserve"> </w:t>
      </w:r>
      <w:r>
        <w:t xml:space="preserve">các nền kinh tế thể chế mạnh và muộn hơn ở các nền kinh tế cận biên và dễ tổn thương. Năng lực</w:t>
      </w:r>
      <w:r>
        <w:t xml:space="preserve"> </w:t>
      </w:r>
      <w:r>
        <w:t xml:space="preserve">số đóng vai trò thay thế một phần cho chất lượng thể chế, với hiệu lực rõ hơn ở những nơi thể chế</w:t>
      </w:r>
      <w:r>
        <w:t xml:space="preserve"> </w:t>
      </w:r>
      <w:r>
        <w:t xml:space="preserve">yếu. Luận án góp phần dung hòa các kết quả mâu thuẫn trong văn liệu và đề xuất hàm ý chính</w:t>
      </w:r>
      <w:r>
        <w:t xml:space="preserve"> </w:t>
      </w:r>
      <w:r>
        <w:t xml:space="preserve">sách theo từng nhóm chế độ thể chế.</w:t>
      </w:r>
    </w:p>
    <w:p>
      <w:pPr>
        <w:pStyle w:val="BodyText"/>
      </w:pPr>
      <w:r>
        <w:rPr>
          <w:bCs/>
          <w:b/>
        </w:rPr>
        <w:t xml:space="preserve">Từ khóa:</w:t>
      </w:r>
      <w:r>
        <w:t xml:space="preserve"> </w:t>
      </w:r>
      <w:r>
        <w:t xml:space="preserve">quốc tế hóa; hiệu quả hoạt động kinh doanh; chữ U ngược; chế độ thể chế; năng lực</w:t>
      </w:r>
      <w:r>
        <w:t xml:space="preserve"> </w:t>
      </w:r>
      <w:r>
        <w:t xml:space="preserve">số; châu Á; Khảo sát Doanh nghiệp Ngân hàng Thế giới.</w:t>
      </w:r>
    </w:p>
    <w:p>
      <w:pPr>
        <w:pStyle w:val="BodyText"/>
      </w:pPr>
      <w:r>
        <w:rPr>
          <w:iCs/>
          <w:i/>
        </w:rPr>
        <w:t xml:space="preserve">[Bản tóm tắt là bản nháp cấu trúc; nghiên cứu sinh rà soát số liệu tổng hợp cuối trước khi nộp.]</w:t>
      </w:r>
    </w:p>
    <w:p>
      <w:r>
        <w:br w:type="page"/>
      </w:r>
    </w:p>
    <w:bookmarkEnd w:id="22"/>
    <w:bookmarkStart w:id="23" w:name="abstract"/>
    <w:p>
      <w:pPr>
        <w:pStyle w:val="Heading1"/>
      </w:pPr>
      <w:r>
        <w:t xml:space="preserve">ABSTRACT</w:t>
      </w:r>
    </w:p>
    <w:p>
      <w:pPr>
        <w:pStyle w:val="FirstParagraph"/>
      </w:pPr>
      <w:r>
        <w:t xml:space="preserve">This dissertation examines how internationalization affects firm business performance across</w:t>
      </w:r>
      <w:r>
        <w:t xml:space="preserve"> </w:t>
      </w:r>
      <w:r>
        <w:t xml:space="preserve">Asian and neighbouring economies, drawing on firm-level microdata from the World Bank Enterprise</w:t>
      </w:r>
      <w:r>
        <w:t xml:space="preserve"> </w:t>
      </w:r>
      <w:r>
        <w:t xml:space="preserve">Survey. It applies the Institutional Context Regime Variation (ICRV) framework to</w:t>
      </w:r>
      <w:r>
        <w:t xml:space="preserve"> </w:t>
      </w:r>
      <w:r>
        <w:t xml:space="preserve">explain why the internationalization–performance relationship varies across economies. The body of</w:t>
      </w:r>
      <w:r>
        <w:t xml:space="preserve"> </w:t>
      </w:r>
      <w:r>
        <w:t xml:space="preserve">work comprises a three-level meta-analysis, single-economy studies (Vietnam, Singapore, China), a</w:t>
      </w:r>
      <w:r>
        <w:t xml:space="preserve"> </w:t>
      </w:r>
      <w:r>
        <w:t xml:space="preserve">multi-economy study spanning 45 economies, and a boundary case of Pacific Small Island Developing</w:t>
      </w:r>
      <w:r>
        <w:t xml:space="preserve"> </w:t>
      </w:r>
      <w:r>
        <w:t xml:space="preserve">States.</w:t>
      </w:r>
    </w:p>
    <w:p>
      <w:pPr>
        <w:pStyle w:val="BodyText"/>
      </w:pPr>
      <w:r>
        <w:t xml:space="preserve">The findings indicate that the internationalization–performance relationship is universal in its</w:t>
      </w:r>
      <w:r>
        <w:t xml:space="preserve"> </w:t>
      </w:r>
      <w:r>
        <w:t xml:space="preserve">inverted-U form, but its optimum is relocated by institutional regime and digital capability: the</w:t>
      </w:r>
      <w:r>
        <w:t xml:space="preserve"> </w:t>
      </w:r>
      <w:r>
        <w:t xml:space="preserve">optimum occurs earlier in stronger-institution economies and later in frontier and vulnerable ones.</w:t>
      </w:r>
      <w:r>
        <w:t xml:space="preserve"> </w:t>
      </w:r>
      <w:r>
        <w:t xml:space="preserve">Digital capability acts as a partial substitute for institutional quality, with stronger effects where</w:t>
      </w:r>
      <w:r>
        <w:t xml:space="preserve"> </w:t>
      </w:r>
      <w:r>
        <w:t xml:space="preserve">institutions are weaker. The dissertation reconciles conflicting prior evidence and offers</w:t>
      </w:r>
      <w:r>
        <w:t xml:space="preserve"> </w:t>
      </w:r>
      <w:r>
        <w:t xml:space="preserve">regime-specific policy implications.</w:t>
      </w:r>
    </w:p>
    <w:p>
      <w:pPr>
        <w:pStyle w:val="BodyText"/>
      </w:pPr>
      <w:r>
        <w:rPr>
          <w:bCs/>
          <w:b/>
        </w:rPr>
        <w:t xml:space="preserve">Keywords:</w:t>
      </w:r>
      <w:r>
        <w:t xml:space="preserve"> </w:t>
      </w:r>
      <w:r>
        <w:t xml:space="preserve">internationalization; firm performance; inverted-U; institutional regime; digital</w:t>
      </w:r>
      <w:r>
        <w:t xml:space="preserve"> </w:t>
      </w:r>
      <w:r>
        <w:t xml:space="preserve">capability; Asia; World Bank Enterprise Surveys.</w:t>
      </w:r>
    </w:p>
    <w:p>
      <w:r>
        <w:br w:type="page"/>
      </w:r>
    </w:p>
    <w:bookmarkEnd w:id="23"/>
    <w:bookmarkStart w:id="24" w:name="lời-cam-đoan"/>
    <w:p>
      <w:pPr>
        <w:pStyle w:val="Heading1"/>
      </w:pPr>
      <w:r>
        <w:t xml:space="preserve">LỜI CAM ĐOAN</w:t>
      </w:r>
    </w:p>
    <w:p>
      <w:pPr>
        <w:pStyle w:val="FirstParagraph"/>
      </w:pPr>
      <w:r>
        <w:t xml:space="preserve">Tôi xin cam đoan luận án</w:t>
      </w:r>
      <w:r>
        <w:t xml:space="preserve"> </w:t>
      </w:r>
      <w:r>
        <w:t xml:space="preserve">“</w:t>
      </w:r>
      <w:r>
        <w:t xml:space="preserve">Quốc tế hóa và hiệu quả hoạt động kinh doanh của các doanh nghiệp ở</w:t>
      </w:r>
      <w:r>
        <w:t xml:space="preserve"> </w:t>
      </w:r>
      <w:r>
        <w:t xml:space="preserve">Châu Á</w:t>
      </w:r>
      <w:r>
        <w:t xml:space="preserve">”</w:t>
      </w:r>
      <w:r>
        <w:t xml:space="preserve"> </w:t>
      </w:r>
      <w:r>
        <w:t xml:space="preserve">là công trình nghiên cứu của riêng tôi dưới sự hướng dẫn khoa học của PGS.TS. Phan Anh</w:t>
      </w:r>
      <w:r>
        <w:t xml:space="preserve"> </w:t>
      </w:r>
      <w:r>
        <w:t xml:space="preserve">Tú. Các số liệu, kết quả nêu trong luận án là trung thực và chưa từng được công bố trong bất kỳ</w:t>
      </w:r>
      <w:r>
        <w:t xml:space="preserve"> </w:t>
      </w:r>
      <w:r>
        <w:t xml:space="preserve">công trình nào khác, ngoại trừ các công bố của chính tác giả được trích dẫn đầy đủ. Mọi nguồn tài</w:t>
      </w:r>
      <w:r>
        <w:t xml:space="preserve"> </w:t>
      </w:r>
      <w:r>
        <w:t xml:space="preserve">liệu tham khảo đều được trích dẫn theo đúng quy định.</w:t>
      </w:r>
    </w:p>
    <w:p>
      <w:pPr>
        <w:pStyle w:val="BodyText"/>
      </w:pPr>
      <w:r>
        <w:t xml:space="preserve"> </w:t>
      </w:r>
    </w:p>
    <w:p>
      <w:pPr>
        <w:pStyle w:val="Author"/>
      </w:pPr>
      <w:r>
        <w:t xml:space="preserve">Cần Thơ, ngày … tháng … năm 2026</w:t>
      </w:r>
    </w:p>
    <w:p>
      <w:pPr>
        <w:pStyle w:val="Author"/>
      </w:pPr>
      <w:r>
        <w:t xml:space="preserve">Nghiên cứu sinh</w:t>
      </w:r>
    </w:p>
    <w:p>
      <w:pPr>
        <w:pStyle w:val="Author"/>
      </w:pPr>
      <w:r>
        <w:t xml:space="preserve">Đỗ Thùy Hương</w:t>
      </w:r>
    </w:p>
    <w:p>
      <w:r>
        <w:br w:type="page"/>
      </w:r>
    </w:p>
    <w:p>
      <w:pPr>
        <w:pStyle w:val="Title"/>
      </w:pPr>
      <w:r>
        <w:rPr>
          <w:bCs/>
          <w:b/>
        </w:rPr>
        <w:t xml:space="preserve">MỤC LỤC</w:t>
      </w:r>
    </w:p>
    <w:p>
      <w:fldSimple w:instr=" TOC \o &quot;1-3&quot; \h \z \u ">
        <w:r>
          <w:t xml:space="preserve">[Trong Word: bôi chọn dòng này rồi nhấn F9 (Update Field) để tạo mục lục tự động từ các đề mục chương/mục.]</w:t>
        </w:r>
      </w:fldSimple>
    </w:p>
    <w:p>
      <w:r>
        <w:br w:type="page"/>
      </w:r>
    </w:p>
    <w:p>
      <w:pPr>
        <w:pStyle w:val="Title"/>
      </w:pPr>
      <w:r>
        <w:rPr>
          <w:bCs/>
          <w:b/>
        </w:rPr>
        <w:t xml:space="preserve">DANH SÁCH BẢNG</w:t>
      </w:r>
    </w:p>
    <w:p>
      <w:fldSimple w:instr=" TOC \h \z \c &quot;Bảng&quot; ">
        <w:r>
          <w:t xml:space="preserve">[Trong Word: nhấn F9 để tạo danh sách bảng từ chú thích (caption) có nhãn "Bảng".]</w:t>
        </w:r>
      </w:fldSimple>
    </w:p>
    <w:p>
      <w:r>
        <w:br w:type="page"/>
      </w:r>
    </w:p>
    <w:p>
      <w:pPr>
        <w:pStyle w:val="Title"/>
      </w:pPr>
      <w:r>
        <w:rPr>
          <w:bCs/>
          <w:b/>
        </w:rPr>
        <w:t xml:space="preserve">DANH SÁCH HÌNH</w:t>
      </w:r>
    </w:p>
    <w:p>
      <w:fldSimple w:instr=" TOC \h \z \c &quot;Hình&quot; ">
        <w:r>
          <w:t xml:space="preserve">[Trong Word: nhấn F9 để tạo danh sách hình từ chú thích (caption) có nhãn "Hình".]</w:t>
        </w:r>
      </w:fldSimple>
    </w:p>
    <w:p>
      <w:r>
        <w:br w:type="page"/>
      </w:r>
    </w:p>
    <w:bookmarkEnd w:id="24"/>
    <w:bookmarkStart w:id="25" w:name="danh-mục-từ-viết-tắt"/>
    <w:p>
      <w:pPr>
        <w:pStyle w:val="Heading1"/>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WBES</w:t>
            </w:r>
          </w:p>
        </w:tc>
        <w:tc>
          <w:tcPr/>
          <w:p>
            <w:pPr>
              <w:pStyle w:val="Compact"/>
              <w:jc w:val="left"/>
            </w:pPr>
            <w:r>
              <w:t xml:space="preserve">World Bank Enterprise Survey</w:t>
            </w:r>
          </w:p>
        </w:tc>
        <w:tc>
          <w:tcPr/>
          <w:p>
            <w:pPr>
              <w:pStyle w:val="Compact"/>
              <w:jc w:val="left"/>
            </w:pPr>
            <w:r>
              <w:t xml:space="preserve">Khảo sát Doanh nghiệp Ngân hàng Thế giới</w:t>
            </w:r>
          </w:p>
        </w:tc>
      </w:tr>
      <w:tr>
        <w:tc>
          <w:tcPr/>
          <w:p>
            <w:pPr>
              <w:pStyle w:val="Compact"/>
              <w:jc w:val="left"/>
            </w:pPr>
            <w:r>
              <w:t xml:space="preserve">I–P</w:t>
            </w:r>
          </w:p>
        </w:tc>
        <w:tc>
          <w:tcPr/>
          <w:p>
            <w:pPr>
              <w:pStyle w:val="Compact"/>
              <w:jc w:val="left"/>
            </w:pPr>
            <w:r>
              <w:t xml:space="preserve">Internationalization–Performance</w:t>
            </w:r>
          </w:p>
        </w:tc>
        <w:tc>
          <w:tcPr/>
          <w:p>
            <w:pPr>
              <w:pStyle w:val="Compact"/>
              <w:jc w:val="left"/>
            </w:pPr>
            <w:r>
              <w:t xml:space="preserve">Quốc tế hóa–Hiệu quả</w:t>
            </w:r>
          </w:p>
        </w:tc>
      </w:tr>
      <w:tr>
        <w:tc>
          <w:tcPr/>
          <w:p>
            <w:pPr>
              <w:pStyle w:val="Compact"/>
              <w:jc w:val="left"/>
            </w:pPr>
            <w:r>
              <w:t xml:space="preserve">FSTS</w:t>
            </w:r>
          </w:p>
        </w:tc>
        <w:tc>
          <w:tcPr/>
          <w:p>
            <w:pPr>
              <w:pStyle w:val="Compact"/>
              <w:jc w:val="left"/>
            </w:pPr>
            <w:r>
              <w:t xml:space="preserve">Foreign Sales to Total Sales</w:t>
            </w:r>
          </w:p>
        </w:tc>
        <w:tc>
          <w:tcPr/>
          <w:p>
            <w:pPr>
              <w:pStyle w:val="Compact"/>
              <w:jc w:val="left"/>
            </w:pPr>
            <w:r>
              <w:t xml:space="preserve">Cường độ xuất khẩu</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bối cảnh thể chế</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cDAI</w:t>
            </w:r>
          </w:p>
        </w:tc>
        <w:tc>
          <w:tcPr/>
          <w:p>
            <w:pPr>
              <w:pStyle w:val="Compact"/>
              <w:jc w:val="left"/>
            </w:pPr>
            <w:r>
              <w:t xml:space="preserve">Country-level Digital Adoption</w:t>
            </w:r>
          </w:p>
        </w:tc>
        <w:tc>
          <w:tcPr/>
          <w:p>
            <w:pPr>
              <w:pStyle w:val="Compact"/>
              <w:jc w:val="left"/>
            </w:pPr>
            <w:r>
              <w:t xml:space="preserve">Áp dụng số cấp quốc gia</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MARA</w:t>
            </w:r>
          </w:p>
        </w:tc>
        <w:tc>
          <w:tcPr/>
          <w:p>
            <w:pPr>
              <w:pStyle w:val="Compact"/>
              <w:jc w:val="left"/>
            </w:pPr>
            <w:r>
              <w:t xml:space="preserve">Meta-Analytic Regression Analysis</w:t>
            </w:r>
          </w:p>
        </w:tc>
        <w:tc>
          <w:tcPr/>
          <w:p>
            <w:pPr>
              <w:pStyle w:val="Compact"/>
              <w:jc w:val="left"/>
            </w:pPr>
            <w:r>
              <w:t xml:space="preserve">Phân tích hồi quy tổng hợp</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SME</w:t>
            </w:r>
          </w:p>
        </w:tc>
        <w:tc>
          <w:tcPr/>
          <w:p>
            <w:pPr>
              <w:pStyle w:val="Compact"/>
              <w:jc w:val="left"/>
            </w:pPr>
            <w:r>
              <w:t xml:space="preserve">Small and Medium-sized Enterprise</w:t>
            </w:r>
          </w:p>
        </w:tc>
        <w:tc>
          <w:tcPr/>
          <w:p>
            <w:pPr>
              <w:pStyle w:val="Compact"/>
              <w:jc w:val="left"/>
            </w:pPr>
            <w:r>
              <w:t xml:space="preserve">Doanh nghiệp nhỏ và vừa</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WGI</w:t>
            </w:r>
          </w:p>
        </w:tc>
        <w:tc>
          <w:tcPr/>
          <w:p>
            <w:pPr>
              <w:pStyle w:val="Compact"/>
              <w:jc w:val="left"/>
            </w:pPr>
            <w:r>
              <w:t xml:space="preserve">Worldwide Governance Indicators</w:t>
            </w:r>
          </w:p>
        </w:tc>
        <w:tc>
          <w:tcPr/>
          <w:p>
            <w:pPr>
              <w:pStyle w:val="Compact"/>
              <w:jc w:val="left"/>
            </w:pPr>
            <w:r>
              <w:t xml:space="preserve">Chỉ số quản trị toàn cầu</w:t>
            </w:r>
          </w:p>
        </w:tc>
      </w:tr>
      <w:tr>
        <w:tc>
          <w:tcPr/>
          <w:p>
            <w:pPr>
              <w:pStyle w:val="Compact"/>
              <w:jc w:val="left"/>
            </w:pPr>
            <w:r>
              <w:t xml:space="preserve">OLS</w:t>
            </w:r>
          </w:p>
        </w:tc>
        <w:tc>
          <w:tcPr/>
          <w:p>
            <w:pPr>
              <w:pStyle w:val="Compact"/>
              <w:jc w:val="left"/>
            </w:pPr>
            <w:r>
              <w:t xml:space="preserve">Ordinary Least Squares</w:t>
            </w:r>
          </w:p>
        </w:tc>
        <w:tc>
          <w:tcPr/>
          <w:p>
            <w:pPr>
              <w:pStyle w:val="Compact"/>
              <w:jc w:val="left"/>
            </w:pPr>
            <w:r>
              <w:t xml:space="preserve">Bình phương nhỏ nhất thông thường</w:t>
            </w:r>
          </w:p>
        </w:tc>
      </w:tr>
      <w:tr>
        <w:tc>
          <w:tcPr/>
          <w:p>
            <w:pPr>
              <w:pStyle w:val="Compact"/>
              <w:jc w:val="left"/>
            </w:pPr>
            <w:r>
              <w:t xml:space="preserve">TP</w:t>
            </w:r>
          </w:p>
        </w:tc>
        <w:tc>
          <w:tcPr/>
          <w:p>
            <w:pPr>
              <w:pStyle w:val="Compact"/>
              <w:jc w:val="left"/>
            </w:pPr>
            <w:r>
              <w:t xml:space="preserve">Turning Point</w:t>
            </w:r>
          </w:p>
        </w:tc>
        <w:tc>
          <w:tcPr/>
          <w:p>
            <w:pPr>
              <w:pStyle w:val="Compact"/>
              <w:jc w:val="left"/>
            </w:pPr>
            <w:r>
              <w:t xml:space="preserve">Điểm tối ưu (điểm uốn)</w:t>
            </w:r>
          </w:p>
        </w:tc>
      </w:tr>
    </w:tbl>
    <w:p>
      <w:pPr>
        <w:pStyle w:val="BodyText"/>
      </w:pPr>
      <w:r>
        <w:rPr>
          <w:iCs/>
          <w:i/>
        </w:rPr>
        <w:t xml:space="preserve">Danh mục đầy đủ 68 thuật ngữ: xem</w:t>
      </w:r>
      <w:r>
        <w:rPr>
          <w:iCs/>
          <w:i/>
        </w:rPr>
        <w:t xml:space="preserve"> </w:t>
      </w:r>
      <w:r>
        <w:rPr>
          <w:rStyle w:val="VerbatimChar"/>
          <w:iCs/>
          <w:i/>
        </w:rPr>
        <w:t xml:space="preserve">thesis/09b_vn_term_glossary.md</w:t>
      </w:r>
      <w:r>
        <w:rPr>
          <w:iCs/>
          <w:i/>
        </w:rPr>
        <w:t xml:space="preserve">.</w:t>
      </w:r>
    </w:p>
    <w:p>
      <w:r>
        <w:br w:type="page"/>
      </w:r>
    </w:p>
    <w:bookmarkEnd w:id="25"/>
    <w:bookmarkStart w:id="38" w:name="chương-1-giới-thiệu"/>
    <w:p>
      <w:pPr>
        <w:pStyle w:val="Heading1"/>
      </w:pPr>
      <w:r>
        <w:t xml:space="preserve">CHƯƠNG 1: GIỚI THIỆU</w:t>
      </w:r>
    </w:p>
    <w:p>
      <w:pPr>
        <w:pStyle w:val="FirstParagraph"/>
      </w:pPr>
      <w:r>
        <w:t xml:space="preserve">Chương mở đầu đặt nền cho toàn bộ luận án. Chương lần lượt làm rõ vì sao mối quan hệ giữa quốc tế hóa và hiệu quả hoạt động kinh doanh của doanh nghiệp vẫn là một vấn đề chưa có lời giải dứt khoát, vì sao châu Á và khu vực lân cận lại là bối cảnh thích hợp đặc biệt để xử lý vấn đề ấy, và luận án này dự kiến đóng góp gì cho tài liệu nghiên cứu kinh doanh quốc tế. Trên cơ sở đó, chương trình bày mục tiêu, câu hỏi nghiên cứu, đối tượng và phạm vi, khái quát phương pháp cùng dữ liệu, những đóng góp mới, và sau cùng là kết cấu của luận án.</w:t>
      </w:r>
    </w:p>
    <w:p>
      <w:r>
        <w:pict>
          <v:rect style="width:0;height:1.5pt" o:hralign="center" o:hrstd="t" o:hr="t"/>
        </w:pict>
      </w:r>
    </w:p>
    <w:bookmarkStart w:id="26" w:name="tính-cấp-thiết-và-bối-cảnh-nghiên-cứu"/>
    <w:p>
      <w:pPr>
        <w:pStyle w:val="Heading2"/>
      </w:pPr>
      <w:r>
        <w:t xml:space="preserve">1.1 Tính cấp thiết và bối cảnh nghiên cứu</w:t>
      </w:r>
    </w:p>
    <w:p>
      <w:pPr>
        <w:pStyle w:val="FirstParagraph"/>
      </w:pPr>
      <w:r>
        <w:t xml:space="preserve">Cùng một mức cường độ xuất khẩu có thể nâng một doanh nghiệp ở nền kinh tế thể chế mạnh lên đỉnh năng suất, nhưng lại đẩy một doanh nghiệp ở quốc đảo nhỏ Thái Bình Dương vào vòng suy giảm đơn điệu. Chính nghịch lý đó, cùng một hành vi quốc tế hóa nhưng cho hai kết cục trái ngược tùy chế độ thể chế, là điểm khởi đầu của luận án này. 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Lu và Beamish (2004) cung cấp bằng chứng then chốt về quan hệ hình chữ S giữa mức độ quốc tế hóa và hiệu quả, còn Contractor et al. (2003) cùng nhiều nghiên cứu kế tiếp tiếp tục thách thức, bổ sung và điều chỉnh kết luận đó. Điều đáng chú ý không phải là sự thiếu vắng bằng chứng. Vấn đề nằm ở sự phân tán của nó. Mối quan hệ giữa quốc tế hóa và hiệu quả hoạt động kinh doanh (internationalization-performance,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(meta-analysis) ba tầng của chính luận án trên 238 nghiên cứu xác nhận lại quy luật thực nghiệm này: hệ số tương quan tổng hợp chỉ vào khoảng r = 0,074, trong khi mức dị biệt còn lại sau khi đã tính tới sai số lấy mẫu vẫn ở mức I² = 62,4%.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hết sức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(Khanna &amp; Palepu, 2010; Peng, 2003). Sự đa dạng thể chế giữa các quốc gia châu Á trải dài từ những nền kinh tế quản trị ổn định và pháp quyền mạnh như Singapore đến các nền kinh tế đang trong quá trình phát triển thể chế như Campuchia hay các quốc đảo Thái Bình Dương. Dải biến thiên đó đặc biệt phong phú và rất thuận lợi cho việc kiểm định. Luận án tiếp cận dải biến thiên ấy một cách hệ thống thông qua khung phân loại thể chế sáu nhóm được phát triển riêng cho luận án, gọi là Biến thiên chế độ bối cảnh thể chế (Institutional Context Regime Variation, ICRV). Khác với cách hiểu thể chế như một bối cảnh tĩnh, luận án định vị ICRV như một bộ lọc chi phí giao dịch (transaction cost filter): ở chế độ thể chế mạnh, bộ lọc cho giao dịch xuất khẩu đi qua trơn tru nên doanh nghiệp duy trì được lợi ích đến mức cường độ cao; ở chế độ thể chế yếu, bộ lọc tắc nghẽn, biến xuất khẩu thành một gánh nặng trừ khi doanh nghiệp sở hữu những năng lực số và công nghệ nội tại bù đắp cho khoảng trống thể chế.</w:t>
      </w:r>
    </w:p>
    <w:p>
      <w:pPr>
        <w:pStyle w:val="BodyText"/>
      </w:pPr>
      <w:r>
        <w:t xml:space="preserve">Cùng lúc đó, chuyển đổi số đang làm thay đổi căn bản cả cách thức doanh nghiệp quốc tế hóa lẫn cách quốc tế hóa tác động đến hiệu quả hoạt động. Banalieva và Dhanaraj (2019) lập luận rằng lý thuyết nội hóa cần được cập nhật cho nền kinh tế số, bởi dữ liệu số và tương tác qua nền tảng làm giảm sự phụ thuộc vào hiện diện vật lý. Stallkamp và Schotter (2021) chỉ ra rằng các doanh nghiệp nền tảng quốc tế hóa theo một logic khác hẳn với công ty đa quốc gia truyền thống, cho phép cả những doanh nghiệp nhỏ ở thị trường mới nổi vươn ra quốc tế với chi phí gần bằng không. Verhoef et al. (2021) cung cấp khung phân tầng ba cấp, từ số hóa thông tin, số hóa quy trình đến chuyển đổi số toàn diện. Tuy nhiên, phần lớn bằng chứng thực nghiệm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w:t>
      </w:r>
    </w:p>
    <w:p>
      <w:pPr>
        <w:pStyle w:val="BodyText"/>
      </w:pPr>
      <w:r>
        <w:t xml:space="preserve">Sau cùng, chính nhà quản trị cấp cao mới là tầng chuyển hóa các điều kiện vĩ mô thành quyết định chiến lược và thành kết quả quốc tế hóa cụ thể. Lý thuyết Bậc trên (upper echelons theory) của Hambrick và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(liability of foreignness); bên cạnh đó, sự đa dạng giới tính ở cấp lãnh đạo có thể tăng cường quản trị rủi ro và mở rộng góc nhìn khi ra quyết định (Hsu et al., 2013; Post &amp; Byron, 2015). Đưa tầng nhà quản trị vào khung giải thích đa tầng là điều cần thiết để phản ánh đầy đủ sự phức tạp của quan hệ I-P trong bối cảnh châu Á.</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p>
      <w:r>
        <w:pict>
          <v:rect style="width:0;height:1.5pt" o:hralign="center" o:hrstd="t" o:hr="t"/>
        </w:pict>
      </w:r>
    </w:p>
    <w:bookmarkEnd w:id="26"/>
    <w:bookmarkStart w:id="27" w:name="mục-tiêu-nghiên-cứu"/>
    <w:p>
      <w:pPr>
        <w:pStyle w:val="Heading2"/>
      </w:pPr>
      <w:r>
        <w:t xml:space="preserve">1.2 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(moderating effect) của thể chế, năng lực số và đặc điểm nhà quản trị đối với mối quan hệ này.</w:t>
      </w:r>
    </w:p>
    <w:p>
      <w:pPr>
        <w:pStyle w:val="BodyText"/>
      </w:pPr>
      <w:r>
        <w:t xml:space="preserve">Từ mục tiêu chung đó, luận án triển khai bốn mục tiêu cụ thể. Mục tiêu thứ nhất là tổng hợp và cập nhật bằng chứng phân tích tổng hợp về quan hệ I-P trong giai đoạn 1982-2026, qua đó xác định tác động tổng hợp, mức độ dị biệt, và những biến điều tiết chính giải thích sự dị biệt giữa các nghiên cứu. Mục tiêu thứ hai là kiểm định cơ chế cụ thể của quan hệ I-P trong các bối cảnh quốc gia khác nhau, gồm Singapore với tư cách nền kinh tế nhỏ mở tiên tiến, Việt Nam với tư cách nền kinh tế chuyển đổi đang mở rộng, và Trung Quốc với tư cách nền kinh tế thu nhập trung bình cao quy mô lớn; so sánh ba bối cảnh này giúp làm rõ cách các cơ chế I-P vận hành khác nhau theo từng quốc gia, đồng thời kiểm định tính ổn định của cấu trúc phi tuyến theo thời gian. Mục tiêu thứ ba là mở rộng phân tích sang phạm vi đa quốc gia gồm 45 nền kinh tế châu Á và Thái Bình Dương, trong đó có nhóm các quốc đảo nhỏ Thái Bình Dương, nhằm kiểm định khả năng khái quát hóa của các phát hiện trên một dải bối cảnh thể chế rộng, kế thừa và mở rộng từ tập 17 nền kinh tế trong Do và Phan (2026a). Mục tiêu thứ tư là phân tích vai trò điều tiết của ba nhóm nhân tố: thể chế (đo bằng các nhóm con ICRV cùng các chỉ số rào cản thể chế), năng lực số (phân biệt rõ Chỉ số năng lực công nghệ, Technological Capability Index, TCI với Chỉ số chấp nhận số, Digital Adoption Index, DAI), và đặc điểm nhà quản trị cấp cao (kinh nghiệm và giới tính).</w:t>
      </w:r>
    </w:p>
    <w:p>
      <w:r>
        <w:pict>
          <v:rect style="width:0;height:1.5pt" o:hralign="center" o:hrstd="t" o:hr="t"/>
        </w:pict>
      </w:r>
    </w:p>
    <w:bookmarkEnd w:id="27"/>
    <w:bookmarkStart w:id="28" w:name="câu-hỏi-nghiên-cứu"/>
    <w:p>
      <w:pPr>
        <w:pStyle w:val="Heading2"/>
      </w:pPr>
      <w:r>
        <w:t xml:space="preserve">1.3 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nào về thể chế, năng lực số và đặc điểm nhà quản trị giải thích mức độ dị biệt cao trong mối quan hệ đó?</w:t>
      </w:r>
    </w:p>
    <w:p>
      <w:pPr>
        <w:pStyle w:val="BodyText"/>
      </w:pPr>
      <w:r>
        <w:t xml:space="preserve">Từ câu hỏi trung tâm này, luận án đặt ra bốn câu hỏi nghiên cứu cụ thể, tương ứng với bốn mục tiêu cụ thể ở trên.</w:t>
      </w:r>
    </w:p>
    <w:p>
      <w:pPr>
        <w:pStyle w:val="BodyText"/>
      </w:pPr>
      <w:r>
        <w:t xml:space="preserve">Câu hỏi nghiên cứu thứ nhất hướng vào bằng chứng tổng hợp: tác động tổng hợp của quốc tế hóa lên hiệu quả hoạt động doanh nghiệp trong các nghiên cứu giai đoạn 1982-2026 là bao nhiêu, mức độ dị biệt đến đâu, và những biến điều tiết nào giải thích sự dị biệt đó một cách có hệ thống?</w:t>
      </w:r>
    </w:p>
    <w:p>
      <w:pPr>
        <w:pStyle w:val="BodyText"/>
      </w:pPr>
      <w:r>
        <w:t xml:space="preserve">Câu hỏi nghiên cứu thứ hai đi vào từng bối cảnh quốc gia gồm Singapore, Việt Nam và Trung Quốc: quan hệ I-P vận hành theo những cơ chế đặc thù nào ở mỗi nền kinh tế, tính phi tuyến biểu hiện ra sao, và cấu trúc phi tuyến đó có ổn định theo thời gian hay không?</w:t>
      </w:r>
    </w:p>
    <w:p>
      <w:pPr>
        <w:pStyle w:val="BodyText"/>
      </w:pPr>
      <w:r>
        <w:t xml:space="preserve">Câu hỏi nghiên cứu thứ ba mở rộng ra phạm vi đa quốc gia gồm 45 nền kinh tế châu Á và Thái Bình Dương: vai trò điều tiết của Chỉ số chấp nhận số và Chỉ số năng lực công nghệ có khái quát hóa được không, và hai cấu trúc khái niệm này có thực sự vận hành theo những cơ chế khác nhau hay không?</w:t>
      </w:r>
    </w:p>
    <w:p>
      <w:pPr>
        <w:pStyle w:val="BodyText"/>
      </w:pPr>
      <w:r>
        <w:t xml:space="preserve">Câu hỏi nghiên cứu thứ tư khép lại bằng tương tác giữa các tầng điều tiết: thể chế, đo bằng nhóm con ICRV, cùng với sự phân biệt giữa năng lực công nghệ và chấp nhận số, và đặc điểm nhà quản trị, điều tiết quan hệ I-P như thế nào, và tương tác đồng thời giữa các tầng đó mang ý nghĩa ra sao đối với việc xác định điều kiện biên của mối quan hệ?</w:t>
      </w:r>
    </w:p>
    <w:p>
      <w:r>
        <w:pict>
          <v:rect style="width:0;height:1.5pt" o:hralign="center" o:hrstd="t" o:hr="t"/>
        </w:pict>
      </w:r>
    </w:p>
    <w:bookmarkEnd w:id="28"/>
    <w:bookmarkStart w:id="32" w:name="đối-tượng-và-phạm-vi-nghiên-cứu"/>
    <w:p>
      <w:pPr>
        <w:pStyle w:val="Heading2"/>
      </w:pPr>
      <w:r>
        <w:t xml:space="preserve">1.4 Đối tượng và phạm vi nghiên cứu</w:t>
      </w:r>
    </w:p>
    <w:bookmarkStart w:id="29" w:name="đối-tượng-nghiên-cứu"/>
    <w:p>
      <w:pPr>
        <w:pStyle w:val="Heading3"/>
      </w:pPr>
      <w:r>
        <w:t xml:space="preserve">1.4.1 Đối tượng nghiên cứu</w:t>
      </w:r>
    </w:p>
    <w:p>
      <w:pPr>
        <w:pStyle w:val="FirstParagraph"/>
      </w:pPr>
      <w:r>
        <w:t xml:space="preserve">Đối tượng nghiên cứu của luận án là mối quan hệ giữa quốc tế hóa và hiệu quả hoạt động kinh doanh của doanh nghiệp, cùng với các nhân tố điều tiết mối quan hệ đó, gồm bối cảnh thể chế, năng lực số và đặc điểm nhà quản trị cấp cao. Đơn vị phân tích là doanh nghiệp ở cấp độ tổ chức, không phải cấp độ ngành hay cấp độ quốc gia. Trong luận án, quốc tế hóa được đo chủ yếu bằng tỷ lệ doanh thu xuất khẩu trên tổng doanh thu (Foreign Sales to Total Sales, FSTS), tức cường độ xuất khẩu, còn hiệu quả hoạt động được đo chủ yếu bằng năng suất lao động, bổ sung bằng tỷ suất lợi nhuận trên doanh thu và tăng trưởng doanh thu trong các kiểm tra độ vững.</w:t>
      </w:r>
    </w:p>
    <w:bookmarkEnd w:id="29"/>
    <w:bookmarkStart w:id="30" w:name="phạm-vi-không-gian"/>
    <w:p>
      <w:pPr>
        <w:pStyle w:val="Heading3"/>
      </w:pPr>
      <w:r>
        <w:t xml:space="preserve">1.4.2 Phạm vi không gian</w:t>
      </w:r>
    </w:p>
    <w:p>
      <w:pPr>
        <w:pStyle w:val="FirstParagraph"/>
      </w:pPr>
      <w:r>
        <w:t xml:space="preserve">Phạm vi không gian chính của nghiên cứu gồm 45 nền kinh tế châu Á và Thái Bình Dương có dữ liệu trong Khảo sát Doanh nghiệp của Ngân hàng Thế giới (World Bank Enterprise Surveys, WBES), được phân loại và tổ chức theo sáu nhóm con trong khung ICRV. Sáu nhóm con đó là: nhóm tiên tiến dẫn dắt bằng đổi mới (Advanced Innovation-Driven), đại diện là Singapore, Hàn Quốc và Đài Loan; nhóm tiên tiến dẫn dắt bằng tài nguyên (Advanced Resource-Driven), đại diện là các nền kinh tế vùng Vịnh; nhóm thu nhập trung bình cao (Upper-middle), đại diện là Trung Quốc và Malaysia; nhóm đang nổi (Emerging), gồm Việt Nam và các nền kinh tế ASEAN đang phát triển; nhóm cận biên (Frontier), gồm các nền kinh tế kém phát triển nhất như Campuchia, Nepal và Bangladesh; và nhóm quốc đảo nhỏ Thái Bình Dương (Pacific SIDS), gồm các quốc đảo nhỏ đang phát triển (Small Island Developing States, SIDS) được đưa vào phân tích để kiểm định các điều kiện biên cực đoan của quan hệ I-P. Nhật Bản không nằm trong phạm vi thực nghiệm vì cấu trúc dữ liệu WBES không bao phủ Nhật Bản đầy đủ.</w:t>
      </w:r>
    </w:p>
    <w:p>
      <w:pPr>
        <w:pStyle w:val="BodyText"/>
      </w:pPr>
      <w:r>
        <w:t xml:space="preserve">Cách ghi</w:t>
      </w:r>
      <w:r>
        <w:t xml:space="preserve"> </w:t>
      </w:r>
      <w:r>
        <w:t xml:space="preserve">“</w:t>
      </w:r>
      <w:r>
        <w:t xml:space="preserve">45 nền kinh tế</w:t>
      </w:r>
      <w:r>
        <w:t xml:space="preserve">”</w:t>
      </w:r>
      <w:r>
        <w:t xml:space="preserve"> </w:t>
      </w:r>
      <w:r>
        <w:t xml:space="preserve">phản ánh hai phạm vi mẫu khác nhau chứ không phải mâu thuẫn. Phân tích mô tả bao phủ 47 nền kinh tế với 101.185 doanh nghiệp, còn mô hình hồi quy đa quốc gia bao phủ 45 nền kinh tế đáp ứng đủ yêu cầu dữ liệu cho ước lượng. Tương tự, danh sách nhóm quốc đảo nhỏ Thái Bình Dương gồm nhiều nền kinh tế đảo nhỏ, nhưng số quan sát thực tế đưa vào hồi quy còn tùy thuộc vào dữ liệu sẵn có sau khi lọc giá trị khuyết.</w:t>
      </w:r>
    </w:p>
    <w:bookmarkEnd w:id="30"/>
    <w:bookmarkStart w:id="31" w:name="phạm-vi-thời-gian"/>
    <w:p>
      <w:pPr>
        <w:pStyle w:val="Heading3"/>
      </w:pPr>
      <w:r>
        <w:t xml:space="preserve">1.4.3 Phạm vi thời gian</w:t>
      </w:r>
    </w:p>
    <w:p>
      <w:pPr>
        <w:pStyle w:val="FirstParagraph"/>
      </w:pPr>
      <w:r>
        <w:t xml:space="preserve">Phạm vi thời gian của nghiên cứu có hai mức. Ở giai đoạn phân tích tổng hợp, luận án tổng hợp các nghiên cứu trong khoảng 1982-2026, bao quát toàn bộ chương trình nghiên cứu về quan hệ I-P từ những công trình thực nghiệm đầu tiên đến thời điểm hoàn thành luận án. Ở giai đoạn phân tích thực nghiệm đa quốc gia, luận án sử dụng dữ liệu WBES trong khoảng 2009-2025, gồm 101.185 doanh nghiệp với 108 cặp quốc gia-năm trải qua 14 mốc khảo sát. Dữ liệu WBES đến từ ba thế hệ lược đồ bảng hỏi (schema), gồm thế hệ PICS3 giai đoạn 2009-2013, thế hệ chuẩn hóa giai đoạn 2014-2018, và thế hệ BREADY/BEE giai đoạn 2019-2025, và đã được hòa hợp để bảo đảm tính nhất quán khi đo lường biến qua các đợt khảo sát.</w:t>
      </w:r>
    </w:p>
    <w:p>
      <w:r>
        <w:pict>
          <v:rect style="width:0;height:1.5pt" o:hralign="center" o:hrstd="t" o:hr="t"/>
        </w:pict>
      </w:r>
    </w:p>
    <w:bookmarkEnd w:id="31"/>
    <w:bookmarkEnd w:id="32"/>
    <w:bookmarkStart w:id="33" w:name="khái-quát-phương-pháp-và-dữ-liệu"/>
    <w:p>
      <w:pPr>
        <w:pStyle w:val="Heading2"/>
      </w:pPr>
      <w:r>
        <w:t xml:space="preserve">1.5 Khái quát phương pháp và dữ liệu</w:t>
      </w:r>
    </w:p>
    <w:p>
      <w:pPr>
        <w:pStyle w:val="FirstParagraph"/>
      </w:pPr>
      <w:r>
        <w:t xml:space="preserve">Luận án áp dụng thiết kế kết hợp tổng hợp và thực nghiệm (mixed synthesis-empirical), gắn phân tích tổng hợp với phân tích thực nghiệm đa quốc gia, nhằm trả lời bốn câu hỏi nghiên cứu đã đặt ra. Thiết kế này không đơn thuần chạy hai phương pháp song song. Nó tạo ra một đối thoại hai chiều: phân tích tổng hợp dựng nên bức tranh hệ thống về trạng thái bằng chứng và xác định những biến điều tiết quan trọng trong các nghiên cứu, còn phân tích thực nghiệm kiểm định trực tiếp các giả thuyết nảy sinh từ khung lý thuyết trong bối cảnh châu Á. Sự tương tác đó làm tăng đáng kể sức nặng đóng góp so với việc chỉ dùng một phương pháp duy nhất (Borenstein et al., 2009; Hunter &amp; Schmidt, 2004).</w:t>
      </w:r>
    </w:p>
    <w:p>
      <w:pPr>
        <w:pStyle w:val="BodyText"/>
      </w:pPr>
      <w:r>
        <w:t xml:space="preserve">Về phương pháp cụ thể, giai đoạn phân tích tổng hợp sử dụng mô hình hiệu ứng ngẫu nhiên (random effects) với phép biến đổi Fisher’s z, phân tích nhóm con theo chế độ thể chế, và các kiểm định sai lệch xuất bản (publication bias) gồm kiểm định Egger và kiểm định tương quan hạng Begg-Mazumdar (Begg &amp; Mazumdar, 1994; Egger et al., 1997). Giai đoạn thực nghiệm sử dụng hồi quy bình phương tối thiểu thông thường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trong quan hệ phi tuyến (Haans et al., 2016; Lind &amp; Mehlum, 2010), trong khi kiểm định Paternoster được dùng để so sánh điểm uốn giữa các chế độ thể chế và giữa các giai đoạn thời gian.</w:t>
      </w:r>
    </w:p>
    <w:p>
      <w:pPr>
        <w:pStyle w:val="BodyText"/>
      </w:pPr>
      <w:r>
        <w:t xml:space="preserve">Nền tảng dữ liệu thực nghiệm là bộ WBES, bộ dữ liệu doanh nghiệp chuẩn hóa lớn nhất hiện có cho các nền kinh tế đang phát triển và chuyển đổi. Tính so sánh liên quốc gia của WBES là điều kiện cho phép gộp dữ liệu đa quốc gia và phân loại các nền kinh tế theo khung ICRV, qua đó vận hành hóa bối cảnh thể chế thành biến phân tích cụ thể. Trên cùng bộ dữ liệu này, luận án phân biệt rạch ròi hai cấu trúc số: Chỉ số năng lực công nghệ, đo chiều sâu công nghệ được nhập vào tổ chức theo tinh thần năng lực hấp thụ của Cohen và Levinthal (1990) và năng lực công nghệ của Lall (1992); và Chỉ số chấp nhận số, đo mức áp dụng các công cụ số ở bề mặt theo phân tầng của Verhoef et al. (2021). Sự phân biệt này, được kiểm tra theo bốn tiêu chí của Coltman et al. (2008), là một quyết định phương pháp cốt lõi của luận án.</w:t>
      </w:r>
    </w:p>
    <w:p>
      <w:pPr>
        <w:pStyle w:val="BodyText"/>
      </w:pPr>
      <w:r>
        <w:t xml:space="preserve">Cần nói rõ vị trí của Chương 1 trong toàn bộ chương trình nghiên cứu. Luận án được tổ chức thành một chuỗi phân tích thành phần gắn kết với nhau, mỗi phân tích kiểm định một phần của khung giải thích đa tầng trên một bối cảnh hoặc một phạm vi cụ thể, từ phân tích tổng hợp định lượng, các phân tích đơn quốc gia cho Việt Nam, Trung Quốc và Singapore, đến phân tích đa quốc gia trên toàn dải nền kinh tế châu Á và Thái Bình Dương và phân tích điều kiện biên tại nhóm quốc đảo nhỏ Thái Bình Dương. Toàn bộ kết quả được tổng hợp lại trong các chương sau. Chương 1 chỉ khái quát phương pháp và dữ liệu ở mức đủ để định vị nghiên cứu; chi tiết về thiết kế, đo lường biến, đặc tả mô hình và chiến lược kiểm định độ vững được trình bày đầy đủ ở Chương 3.</w:t>
      </w:r>
    </w:p>
    <w:p>
      <w:r>
        <w:pict>
          <v:rect style="width:0;height:1.5pt" o:hralign="center" o:hrstd="t" o:hr="t"/>
        </w:pict>
      </w:r>
    </w:p>
    <w:bookmarkEnd w:id="33"/>
    <w:bookmarkStart w:id="36" w:name="những-đóng-góp-mới-của-luận-án"/>
    <w:p>
      <w:pPr>
        <w:pStyle w:val="Heading2"/>
      </w:pPr>
      <w:r>
        <w:t xml:space="preserve">1.6 Những đóng góp mới của luận án</w:t>
      </w:r>
    </w:p>
    <w:bookmarkStart w:id="34" w:name="đóng-góp-lý-thuyết"/>
    <w:p>
      <w:pPr>
        <w:pStyle w:val="Heading3"/>
      </w:pPr>
      <w:r>
        <w:t xml:space="preserve">1.6.1 Đóng góp lý thuyết</w:t>
      </w:r>
    </w:p>
    <w:p>
      <w:pPr>
        <w:pStyle w:val="FirstParagraph"/>
      </w:pPr>
      <w:r>
        <w:t xml:space="preserve">Về mặt lý thuyết, luận án đóng góp vào tài liệu nghiên cứu kinh doanh quốc tế theo bốn hướng gắn bó với nhau. Đóng góp thứ nhất là tích hợp bốn lý thuyết kinh điển, gồm mô hình Uppsala, quan điểm dựa trên nguồn lực (resource-based view, RBV), lý thuyết thể chế và lý thuyết Bậc trên, vào một khung giải thích đa tầng thống nhất, được bổ sung bằng một lớp mở rộng về năng lực số để phản ánh chuyển đổi số đương đại. Khung này không phải là sự ghép nối cơ học các lý thuyết, mà là một kiến trúc lý thuyết nhất quán nội tại, trong đó mỗi tầng giải thích một dạng dị biệt khác nhau của quan hệ I-P. Đóng góp thứ hai là tách bạch rõ ràng năng lực công nghệ với chấp nhận số, coi đây là hai cấu trúc khái niệm độc lập dựa trên những nền tảng lý thuyết khác nhau (Bharadwaj et al., 2013; Coltman et al., 2008; Verhoef et al., 2021). Sự tách bạch này lấp một thiếu hụt khái niệm quan trọng trong các nghiên cứu về số hóa và quốc tế hóa, vốn thường gộp chung hai cấu trúc khác nhau về bản chất. Đóng góp thứ ba là tái định vị mô hình Uppsala trong kỷ nguyên trí tuệ nhân tạo, bằng cách mở rộng cơ chế học hỏi để bao hàm cả học hỏi tăng cường bằng dữ liệu số, phù hợp với xu hướng quốc tế hóa được hỗ trợ bằng công nghệ số (Banalieva &amp; Dhanaraj, 2019; Yang et al., 2025).</w:t>
      </w:r>
    </w:p>
    <w:p>
      <w:pPr>
        <w:pStyle w:val="BodyText"/>
      </w:pPr>
      <w:r>
        <w:t xml:space="preserve">Đóng góp lý thuyết thứ tư, cũng là đóng góp mang tính định danh, là việc phát hiện và đặt tên cho gánh nặng quốc tế hóa bắt buộc (forced internationalization penalty). Đây là một cấu trúc lý thuyết chưa từng được định danh trong tài liệu nghiên cứu kinh doanh quốc tế, được xác lập như điều kiện biên cực đoan của mô hình chữ U ngược. Gánh nặng này xuất hiện khi cả ba điều kiện cấu trúc tối thiểu đồng thời bị vi phạm, đó là thị trường nội địa quá nhỏ, chi phí thương mại cực cao và thiếu hỗ trợ thể chế. Khi đó, quan hệ I-P chuyển từ dạng chữ U ngược sang quan hệ âm đơn điệu không có điểm uốn. Bằng chứng thực nghiệm từ các quốc đảo nhỏ Thái Bình Dương xác nhận quan hệ âm đơn điệu này, qua đó cho thấy chữ U ngược không phải một quy luật phổ quát mà là một quan hệ có điều kiện, và mở ra hướng nghiên cứu mới về điều kiện biên của các lý thuyết quốc tế hóa phổ quát.</w:t>
      </w:r>
    </w:p>
    <w:p>
      <w:pPr>
        <w:pStyle w:val="BodyText"/>
      </w:pPr>
      <w:r>
        <w:t xml:space="preserve">Bên cạnh đóng góp lý thuyết, luận án còn đóng góp về phương pháp theo hai hướng. Hướng thứ nhất là thiết kế kết hợp tổng hợp và thực nghiệm, cho phép đối chiếu bằng chứng tổng hợp từ các nghiên cứu toàn cầu với bằng chứng thực nghiệm từ bối cảnh châu Á. Hướng thứ hai là phát triển và áp dụng khung phân loại thể chế ICRV cho 47 nền kinh tế, qua đó cung cấp một công cụ phân loại mới có thể hữu ích cho nhiều nghiên cứu tương lai về vai trò điều tiết của thể chế.</w:t>
      </w:r>
    </w:p>
    <w:bookmarkEnd w:id="34"/>
    <w:bookmarkStart w:id="35" w:name="đóng-góp-thực-tiễn"/>
    <w:p>
      <w:pPr>
        <w:pStyle w:val="Heading3"/>
      </w:pPr>
      <w:r>
        <w:t xml:space="preserve">1.6.2 Đóng góp thực tiễn</w:t>
      </w:r>
    </w:p>
    <w:p>
      <w:pPr>
        <w:pStyle w:val="FirstParagraph"/>
      </w:pPr>
      <w:r>
        <w:t xml:space="preserve">Về mặt thực tiễn, luận án cung cấp căn cứ có hệ thống cho hai nhóm đối tượng sử dụng chính. Với doanh nghiệp, kết quả phân tích cho thấy tồn tại một ngưỡng tối ưu trong quan hệ giữa mức độ xuất khẩu và hiệu quả hoạt động, và ngưỡng này thay đổi theo bối cảnh thể chế cũng như năng lực số của từng doanh nghiệp. Nhà quản trị cần nhận ra ngưỡng đó và đầu tư có chiến lược vào năng lực công nghệ, thay vì chỉ chạy theo việc chấp nhận số ở bề mặt. Với nhà hoạch định chính sách, bằng chứng từ luận án gợi ý rằng cải cách thể chế và hỗ trợ chuyển đổi số có thể bổ trợ cho nhau theo hướng tích cực: năng lực số có thể làm dịu tác động tiêu cực của rào cản thể chế đối với doanh nghiệp quốc tế hóa, đặc biệt ở các nền kinh tế còn nhiều khoảng trống thể chế (Do &amp; Phan, 2026a).</w:t>
      </w:r>
    </w:p>
    <w:p>
      <w:pPr>
        <w:pStyle w:val="BodyText"/>
      </w:pPr>
      <w:r>
        <w:t xml:space="preserve">Tính mới của luận án còn thể hiện ở quy mô và phạm vi chưa từng có trong các nghiên cứu cùng chủ đề tại châu Á. Luận án dựng nên tập dữ liệu lớn cho nghiên cứu đa quốc gia về quan hệ I-P tại khu vực, với 101.185 doanh nghiệp từ 45 nền kinh tế, mở rộng đáng kể so với tập 17 nền kinh tế trong Do và Phan (2026a). Việc kiểm định tính ổn định theo thời gian của điểm uốn tại Trung Quốc qua hơn một thập kỷ chuyển đổi số, cùng với việc lần đầu đưa các quốc đảo nhỏ Thái Bình Dương vào một phân tích thực nghiệm về quan hệ I-P trên dữ liệu WBES, là những điểm khác biệt nổi bật so với các luận án và công trình tham chiếu trước đây vốn thường giới hạn ở một quốc gia hoặc một tiểu vùng với một phương pháp duy nhất (Bhandari et al., 2023; Cuervo-Cazurra et al., 2018; Marano et al., 2016; Wu et al., 2022).</w:t>
      </w:r>
    </w:p>
    <w:p>
      <w:r>
        <w:pict>
          <v:rect style="width:0;height:1.5pt" o:hralign="center" o:hrstd="t" o:hr="t"/>
        </w:pict>
      </w:r>
    </w:p>
    <w:bookmarkEnd w:id="35"/>
    <w:bookmarkEnd w:id="36"/>
    <w:bookmarkStart w:id="37" w:name="kết-cấu-của-luận-án"/>
    <w:p>
      <w:pPr>
        <w:pStyle w:val="Heading2"/>
      </w:pPr>
      <w:r>
        <w:t xml:space="preserve">1.7 Kết cấu của luận án</w:t>
      </w:r>
    </w:p>
    <w:p>
      <w:pPr>
        <w:pStyle w:val="FirstParagraph"/>
      </w:pPr>
      <w:r>
        <w:t xml:space="preserve">Luận án được tổ chức thành năm chương theo chuẩn luận án tiến sĩ tại Trường Kinh tế, Đại học Cần Thơ.</w:t>
      </w:r>
    </w:p>
    <w:p>
      <w:pPr>
        <w:pStyle w:val="BodyText"/>
      </w:pPr>
      <w:r>
        <w:t xml:space="preserve">Chương 1, Giới thiệu, đặt vấn đề nghiên cứu, xác định tính cấp thiết và bối cảnh, trình bày mục tiêu, câu hỏi nghiên cứu, đối tượng và phạm vi, khái quát phương pháp và dữ liệu, những đóng góp mới, và kết cấu của luận án.</w:t>
      </w:r>
    </w:p>
    <w:p>
      <w:pPr>
        <w:pStyle w:val="BodyText"/>
      </w:pPr>
      <w:r>
        <w:t xml:space="preserve">Chương 2, Tổng quan tài liệu, hệ thống hóa các khái niệm cốt lõi và lý thuyết nền, xây dựng khung phân tích ICRV, lược khảo bằng chứng thực nghiệm đã có, chỉ ra các khoảng trống nghiên cứu, rồi dựng nên khung khái niệm tích hợp đa tầng và phát triển hệ giả thuyết H1-H6 cùng giả thuyết điều kiện biên H1b về gánh nặng quốc tế hóa bắt buộc.</w:t>
      </w:r>
    </w:p>
    <w:p>
      <w:pPr>
        <w:pStyle w:val="BodyText"/>
      </w:pPr>
      <w:r>
        <w:t xml:space="preserve">Chương 3, Phương pháp nghiên cứu, trình bày chi tiết thiết kế nghiên cứu, nguồn dữ liệu WBES, cách đo lường các biến gồm FSTS, năng suất lao động, TCI và DAI, đặc tả các mô hình phân tích từ tổng hợp đến thực nghiệm, và chiến lược kiểm định độ vững.</w:t>
      </w:r>
    </w:p>
    <w:p>
      <w:pPr>
        <w:pStyle w:val="BodyText"/>
      </w:pPr>
      <w:r>
        <w:t xml:space="preserve">Chương 4, Kết quả nghiên cứu, trình bày kết quả ở ba cấp độ gắn kết với nhau: phân tích tổng hợp cập nhật cho giai đoạn 1982-2026, phân tích theo từng bối cảnh quốc gia gồm Singapore, Việt Nam và Trung Quốc, và phân tích đa quốc gia tổng hợp trên toàn bộ 45 nền kinh tế, trong đó có điều kiện biên tại nhóm quốc đảo nhỏ Thái Bình Dương.</w:t>
      </w:r>
    </w:p>
    <w:p>
      <w:pPr>
        <w:pStyle w:val="BodyText"/>
      </w:pPr>
      <w:r>
        <w:t xml:space="preserve">Chương 5, Thảo luận và kết luận, đưa các phát hiện từ Chương 4 trở lại khung lý thuyết ở Chương 2, bàn về đóng góp khoa học, hàm ý quản trị và chính sách, hạn chế của nghiên cứu và hướng nghiên cứu tiếp theo.</w:t>
      </w:r>
    </w:p>
    <w:p>
      <w:r>
        <w:pict>
          <v:rect style="width:0;height:1.5pt" o:hralign="center" o:hrstd="t" o:hr="t"/>
        </w:pict>
      </w:r>
    </w:p>
    <w:p>
      <w:pPr>
        <w:pStyle w:val="FirstParagraph"/>
      </w:pPr>
      <w:r>
        <w:rPr>
          <w:iCs/>
          <w:i/>
        </w:rPr>
        <w:t xml:space="preserve">Chú thích về ký hiệu và thuật ngữ: trong toàn bộ luận án, quốc tế hóa được đo chủ yếu bằng tỷ lệ doanh thu xuất khẩu trên tổng doanh thu (FSTS), tức cường độ xuất khẩu; hiệu quả hoạt động được đo chủ yếu bằng năng suất lao động, bổ sung bằng tỷ suất lợi nhuận trên doanh thu và tăng trưởng doanh thu trong các kiểm tra độ vững; TCI là Chỉ số năng lực công nghệ (Technological Capability Index); DAI là Chỉ số chấp nhận số (Digital Adoption Index), được hiểu như biến đại diện cho mức chấp nhận số nền tảng; ICRV là Biến thiên chế độ bối cảnh thể chế (Institutional Context Regime Variation), khung phân loại thể chế sáu nhóm được phát triển cho luận án này; WBES là Khảo sát Doanh nghiệp của Ngân hàng Thế giới (World Bank Enterprise Surveys).</w:t>
      </w:r>
    </w:p>
    <w:bookmarkEnd w:id="37"/>
    <w:bookmarkEnd w:id="38"/>
    <w:bookmarkStart w:id="66" w:name="chương-2-tổng-quan-tài-liệu"/>
    <w:p>
      <w:pPr>
        <w:pStyle w:val="Heading1"/>
      </w:pPr>
      <w:r>
        <w:t xml:space="preserve">CHƯƠNG 2: TỔNG QUAN TÀI LIỆU</w:t>
      </w:r>
    </w:p>
    <w:p>
      <w:pPr>
        <w:pStyle w:val="FirstParagraph"/>
      </w:pPr>
      <w:r>
        <w:t xml:space="preserve">Chương 2 đảm nhận bốn nhiệm vụ gắn bó với nhau. Trước hết là hệ thống hóa các khái niệm cốt lõi và lý thuyết nền tảng. Tiếp đó là lược khảo, đánh giá các công trình thực nghiệm đã công bố về mối quan hệ giữa quốc tế hóa và hiệu quả hoạt động doanh nghiệp. Trên cơ sở đó, chương chỉ ra những khoảng trống còn tồn tại, rồi dựng nên khung khái niệm tích hợp cùng hệ giả thuyết H1-H6 cho luận án. Mạch lập luận đi từ nền tảng khái niệm đến lý thuyết, từ một công cụ phân loại bối cảnh thể chế đến bằng chứng thực nghiệm, rồi từ khoảng trống đến mô hình nghiên cứu và giả thuyết. Trục logic ấy phục vụ một mục tiêu xuyên suốt: cho thấy vì sao một quan hệ kinh tế tưởng chừng đơn giản, giữa mức độ quốc tế hóa và hiệu quả doanh nghiệp, lại đòi hỏi một khung giải thích đa tầng để hiểu thấu đáo trong bối cảnh châu Á.</w:t>
      </w:r>
    </w:p>
    <w:p>
      <w:r>
        <w:pict>
          <v:rect style="width:0;height:1.5pt" o:hralign="center" o:hrstd="t" o:hr="t"/>
        </w:pict>
      </w:r>
    </w:p>
    <w:bookmarkStart w:id="44" w:name="các-khái-niệm-cốt-lõi"/>
    <w:p>
      <w:pPr>
        <w:pStyle w:val="Heading2"/>
      </w:pPr>
      <w:r>
        <w:t xml:space="preserve">2.1 Các khái niệm cốt lõi</w:t>
      </w:r>
    </w:p>
    <w:p>
      <w:pPr>
        <w:pStyle w:val="FirstParagraph"/>
      </w:pPr>
      <w:r>
        <w:t xml:space="preserve">Trước khi đi vào lý thuyết và bằng chứng, cần xác lập rõ năm khái niệm cốt lõi mà toàn bộ luận án xoay quanh: quốc tế hóa doanh nghiệp, hiệu quả hoạt động kinh doanh, cường độ xuất khẩu, năng lực công nghệ, và mức độ chấp nhận số. Năm khái niệm này không chỉ là thuật ngữ; chúng là những cấu trúc khái niệm được vận hành hóa thành biến đo lường cụ thể, nên tính rõ ràng và nhất quán của chúng quyết định tính chặt chẽ của toàn bộ thiết kế nghiên cứu.</w:t>
      </w:r>
    </w:p>
    <w:bookmarkStart w:id="39"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Nó là một thuộc tính đo lường được ở cấp độ doanh nghiệp, phản ánh chiến lược mở rộng quốc tế và mức độ phụ thuộc vào thị trường nước ngoài của từng doanh nghiệp.</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FSTS), tỷ trọng tài sản ở nước ngoài trên tổng tài sản (foreign assets to total assets, FATA), và phạm vi địa lý. Với những nghiên cứu dùng dữ liệu doanh nghiệp từ các nền kinh tế đang phát triển và từ Khảo sát Doanh nghiệp của Ngân hàng Thế giới (World Bank Enterprise Surveys, WBES), thước đo phổ biến nhất lại là cường độ xuất khẩu, tức tỷ lệ phần trăm doanh thu xuất khẩu trên tổng doanh thu, tương đương với FSTS theo nghĩa rộng (Johanson &amp; Vahlne, 1977; Lu &amp; Beamish, 2004). Luận án chọn FSTS và bình phương FSTS (FSTS²) làm thước đo chính cho mức độ quốc tế hóa, bởi hai lẽ. Thước đo này phù hợp với cấu trúc dữ liệu WBES, và nó nhất quán với các nghiên cứu về quan hệ quốc tế hóa-hiệu quả kinh doanh (I-P) dùng bộ dữ liệu tương tự (Bhandari et al., 2023; Do &amp; Phan, 2026a).</w:t>
      </w:r>
    </w:p>
    <w:p>
      <w:pPr>
        <w:pStyle w:val="BodyText"/>
      </w:pPr>
      <w:r>
        <w:t xml:space="preserve">Cần lưu ý rằng quốc tế hóa không phải là một trạng thái nhị phân. Đó là một biến liên tục, biểu thị cường độ tham gia thị trường quốc tế, có thể thay đổi theo thời gian và phản ánh quá trình cam kết tích lũy của doanh nghiệp vào các thị trường nước ngoài (Johanson &amp; Vahlne, 1977, 2009). Tuy nhiên, trong bối cảnh nền kinh tế đang phát triển và chuyển đổi, biến này thường có phân phối lệch mạnh: phần lớn doanh nghiệp định hướng thị trường nội địa, FSTS trung bình chỉ khoảng 12% và trung vị xấp xỉ 0, trong khi nhóm doanh nghiệp xuất khẩu thực sự chỉ chiếm chừng 18% mẫu. Đặc điểm phân phối này đặt ra một hệ quả phương pháp quan trọng được phân tích sâu hơn ở Mục 2.4, đó là biên tham gia xuất khẩu có thể quan trọng ngang hoặc hơn cường độ xuất khẩu nội bộ trong việc giải thích hiệu quả.</w:t>
      </w:r>
    </w:p>
    <w:bookmarkEnd w:id="39"/>
    <w:bookmarkStart w:id="40" w:name="hiệu-quả-hoạt-động-kinh-doanh"/>
    <w:p>
      <w:pPr>
        <w:pStyle w:val="Heading3"/>
      </w:pPr>
      <w:r>
        <w:t xml:space="preserve">2.1.2 Hiệu quả hoạt động kinh doanh</w:t>
      </w:r>
    </w:p>
    <w:p>
      <w:pPr>
        <w:pStyle w:val="FirstParagraph"/>
      </w:pPr>
      <w:r>
        <w:t xml:space="preserve">Hiệu quả hoạt động kinh doanh (firm performance) là một khái niệm đa chiều, đến nay vẫn chưa có một định nghĩa hay thước đo thống nhất giữa các nghiên cứu. Combs et al. (2005) và Richard et al. (2009) phân biệt ba nhóm thước đo chính. Nhóm thứ nhất dựa trên kế toán, gồm tỷ suất sinh lời trên tổng tài sản (return on assets, ROA), tỷ suất sinh lời trên vốn chủ sở hữu, và tỷ suất sinh lời trên doanh thu (return on sales, ROS). Nhóm thứ hai dựa trên thị trường tài chính, gồm hệ số Tobin’s Q và tổng lợi nhuận cổ đông. Nhóm thứ ba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Cách hiểu này gắn với truyền thống nghiên cứu năng suất doanh nghiệp coi năng suất là thước đo trung tâm của hiệu quả vi mô và là kênh chính kết nối thương mại với phúc lợi (Wagner, 2007; Cusolito &amp; Maloney, 2018). Năng suất lao động cũng khác với ROA, vốn chịu ảnh hưởng của cấu trúc tài sản và hệ thống kế toán đặc thù từng quốc gia, nên kém tương thích cho so sánh liên quốc gia trên dữ liệu khảo sát doanh nghiệp.</w:t>
      </w:r>
    </w:p>
    <w:bookmarkEnd w:id="40"/>
    <w:bookmarkStart w:id="41" w:name="cường-độ-xuất-khẩu-và-thước-đo-fsts"/>
    <w:p>
      <w:pPr>
        <w:pStyle w:val="Heading3"/>
      </w:pPr>
      <w:r>
        <w:t xml:space="preserve">2.1.3 Cường độ xuất khẩu và thước đo FSTS</w:t>
      </w:r>
    </w:p>
    <w:p>
      <w:pPr>
        <w:pStyle w:val="FirstParagraph"/>
      </w:pPr>
      <w:r>
        <w:t xml:space="preserve">Cường độ xuất khẩu là biểu hiện cụ thể và đo lường được nhất của quốc tế hóa trên dữ liệu khảo sát doanh nghiệp, nên xứng đáng được làm rõ như một khái niệm riêng. Trong khuôn khổ luận án, cường độ xuất khẩu được vận hành hóa bằng tỷ lệ doanh thu xuất khẩu trên tổng doanh thu (FSTS), đo trực tiếp từ câu hỏi WBES về tỷ trọng doanh thu đến từ xuất khẩu trực tiếp. Lựa chọn này có ba ưu điểm. Một là, FSTS có sẵn và được định nghĩa nhất quán xuyên các thế hệ bảng hỏi WBES, từ thế hệ PICS3 (2009-2013), thế hệ chuẩn hóa (2014-2018) đến thế hệ BREADY/BEE (2019-2025), nên cho phép gộp dữ liệu đa quốc gia, đa năm. Hai là, FSTS là thước đo cường độ tương đối, độc lập với quy mô tuyệt đối của doanh nghiệp, nên so sánh được giữa doanh nghiệp nhỏ và lớn. Ba là, dạng bình phương FSTS² cho phép kiểm định trực tiếp giả thuyết phi tuyến, vốn là tâm điểm tranh luận của tài liệu I-P.</w:t>
      </w:r>
    </w:p>
    <w:p>
      <w:pPr>
        <w:pStyle w:val="BodyText"/>
      </w:pPr>
      <w:r>
        <w:t xml:space="preserve">Dù vậy, FSTS cũng có giới hạn nội tại cần thừa nhận. Thước đo này chỉ phản ánh xuất khẩu trực tiếp, không nắm bắt được xuất khẩu gián tiếp qua chuỗi cung ứng, hay sự tham gia chuỗi giá trị toàn cầu (global value chain, GVC) ở vai trò nhà cung ứng cấp dưới (Kano et al., 2020). Ở các nền kinh tế hội nhập sâu vào GVC như Việt Nam, một phần đáng kể giá trị quốc tế hóa diễn ra qua kênh gián tiếp mà FSTS không ghi nhận được. Luận án nhìn nhận hạn chế này như một ràng buộc đo lường có chủ đích, đánh đổi giữa tính so sánh liên quốc gia và độ tinh tế khái niệm, chứ không phải một thiếu sót lý thuyết.</w:t>
      </w:r>
    </w:p>
    <w:bookmarkEnd w:id="41"/>
    <w:bookmarkStart w:id="42" w:name="năng-lực-công-nghệ"/>
    <w:p>
      <w:pPr>
        <w:pStyle w:val="Heading3"/>
      </w:pPr>
      <w:r>
        <w:t xml:space="preserve">2.1.4 Năng lực công nghệ</w:t>
      </w:r>
    </w:p>
    <w:p>
      <w:pPr>
        <w:pStyle w:val="FirstParagraph"/>
      </w:pPr>
      <w:r>
        <w:t xml:space="preserve">Một trong những đóng góp khái niệm trọng tâm của luận án là phân biệt rạch ròi hai cấu trúc khái niệm thường bị gộp lẫn: năng lực công nghệ (Technological Capability Index, TCI) và chỉ số chấp nhận số (Digital Adoption Index,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(chứng nhận ISO hoặc tương đương), việc sử dụng công nghệ được cấp phép từ đối tác nước ngoài, hoạt động đổi mới sản phẩm và cường độ nghiên cứu và phát triển (research and development, R&amp;D).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 Theo phân tầng của Verhoef et al. (2021), TCI thuộc các cấp độ năng lực số tầng cao (Tier-2 trở lên), gắn với đầu vào và đầu ra của hoạt động đổi mới chứ không phải sự hiện diện công cụ số cơ bản.</w:t>
      </w:r>
    </w:p>
    <w:p>
      <w:pPr>
        <w:pStyle w:val="BodyText"/>
      </w:pPr>
      <w:r>
        <w:t xml:space="preserve">Một lưu ý đo lường quan trọng: TCI là một cấu trúc hình thành (formative composite), tức là một chỉ số tổng hợp từ nhiều thành phần phản ánh các khía cạnh khác nhau của năng lực công nghệ, chứ không phải một cấu trúc phản ánh nơi các chỉ báo cùng đo một biến ngầm duy nhất. Vì vậy, việc gộp các thành phần bằng trọng số phù hợp, và việc kiểm tra tính nhất quán của chúng, là yêu cầu phương pháp cần được xử lý cẩn trọng theo tiêu chuẩn của Coltman et al. (2008).</w:t>
      </w:r>
    </w:p>
    <w:bookmarkEnd w:id="42"/>
    <w:bookmarkStart w:id="43" w:name="mức-độ-chấp-nhận-số"/>
    <w:p>
      <w:pPr>
        <w:pStyle w:val="Heading3"/>
      </w:pPr>
      <w:r>
        <w:t xml:space="preserve">2.1.5 Mức độ chấp nhận số</w:t>
      </w:r>
    </w:p>
    <w:p>
      <w:pPr>
        <w:pStyle w:val="FirstParagraph"/>
      </w:pPr>
      <w:r>
        <w:t xml:space="preserve">Chỉ số chấp nhận số vận hành theo logic khác hẳn năng lực công nghệ.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(digitization) và số hóa quy trình (digitalization), chưa chạm tới cấp độ chuyển đổi số toàn diện (digital transformation). Trong khuôn khổ thuật ngữ của luận án, DAI tương ứng với sự hiện diện số cơ bản (Tier-1 digital presence),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Phân tích đa mẫu của Do và Phan (2026a) cho thấy tác động của DAI không cố định mà phụ thuộc đồng thời ba chiều bối cảnh: chế độ thể chế quốc gia, mức cường độ xuất khẩu của doanh nghiệp, và mức độ bão hòa số của nền kinh tế. Ở nền kinh tế đã bão hòa số, nơi gần như mọi doanh nghiệp đều có trang web, DAI mất khả năng phân biệt ở cấp độ doanh nghiệp, một hiện tượng có thể gọi là nghịch lý bão hòa số. Giữ vững sự phân biệt giữa TCI và DAI xuyên suốt luận án là điều kiện tiên quyết để bảo đảm tính thuần khiết của cấu trúc khái niệm và để rút ra hàm ý chính sách phân biệt được.</w:t>
      </w:r>
    </w:p>
    <w:p>
      <w:r>
        <w:pict>
          <v:rect style="width:0;height:1.5pt" o:hralign="center" o:hrstd="t" o:hr="t"/>
        </w:pict>
      </w:r>
    </w:p>
    <w:bookmarkEnd w:id="43"/>
    <w:bookmarkEnd w:id="44"/>
    <w:bookmarkStart w:id="50" w:name="các-lý-thuyết-nền"/>
    <w:p>
      <w:pPr>
        <w:pStyle w:val="Heading2"/>
      </w:pPr>
      <w:r>
        <w:t xml:space="preserve">2.2 Các lý thuyết nền</w:t>
      </w:r>
    </w:p>
    <w:p>
      <w:pPr>
        <w:pStyle w:val="FirstParagraph"/>
      </w:pPr>
      <w:r>
        <w:t xml:space="preserve">Tài liệu nghiên cứu về quan hệ I-P đã tích lũy nhiều thập kỷ nhưng vẫn chưa đạt đồng thuận, dù ở phương diện lý thuyết hay thực nghiệm. Các phân tích tổng hợp (meta-analysis) đều cho thấy tác động chung là dương nhưng nhỏ, trong khi mức dị biệt giữa các nghiên cứu lại rất cao, hàm ý rằng không một lý thuyết đơn lẻ nào đủ sức giải thích trọn vẹn quan hệ này (Bausch &amp; Krist, 2007; Kirca et al., 2012; Marano et al., 2016; Wu et al., 2022). Xuất phát từ nhận thức đó, luận án tiếp cận vấn đề bằng một khung giải thích tích hợp đa tầng, trong đó bốn lý thuyết kinh điển của kinh doanh quốc tế được kết hợp với một lớp mở rộng về năng lực số, nhằm phản ánh quá trình chuyển đổi số và bối cảnh trí tuệ nhân tạo đương đại. Bốn lý thuyết nền không cạnh tranh nhau mà bổ sung cho nhau, mỗi lý thuyết soi sáng một tầng cơ chế khác nhau của quan hệ I-P.</w:t>
      </w:r>
    </w:p>
    <w:bookmarkStart w:id="45"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sang các thị trường gần về tâm lý, ngôn ngữ và thể chế, rồi mở rộng dần sang thị trường xa hơn, phản ánh mức độ cam kết và tri thức ngày càng tăng. Phiên bản gốc năm 1977 xoay quanh ba cơ chế gắn kết: cam kết thị trường, tri thức thị trường, và quyết định cam kết hiện tại.</w:t>
      </w:r>
    </w:p>
    <w:p>
      <w:pPr>
        <w:pStyle w:val="BodyText"/>
      </w:pPr>
      <w:r>
        <w:t xml:space="preserve">Một trong những khái niệm trọng tâm của mô hình Uppsala là gánh nặng người nước ngoài (liability of foreignness), tức chi phí và bất lợi mà doanh nghiệp phải gánh khi hoạt động trong môi trường văn hóa, thể chế và pháp lý xa lạ (Zaheer, 1995). Johanson và Vahlne (2009) cập nhật mô hình bằng khái niệm gánh nặng người ngoài mạng lưới (liability of outsidership), nhấn mạnh rằng trong nền kinh tế toàn cầu hiện đại, rào cản lớn nhất không còn là khoảng cách địa lý hay tâm lý, mà là vị trí ngoài lề các mạng lưới kinh doanh địa phương. Quá trình hoàn thiện mô hình không dừng ở phiên bản 2009: Vahlne và Johanson (2017), trong bản tổng kết</w:t>
      </w:r>
      <w:r>
        <w:t xml:space="preserve"> </w:t>
      </w:r>
      <w:r>
        <w:t xml:space="preserve">“</w:t>
      </w:r>
      <w:r>
        <w:t xml:space="preserve">mô hình Uppsala ở tuổi bốn mươi</w:t>
      </w:r>
      <w:r>
        <w:t xml:space="preserve">”</w:t>
      </w:r>
      <w:r>
        <w:t xml:space="preserve">, tái định hình mô hình theo hướng tiến hóa của doanh nghiệp đa quốc gia gắn với năng lực động; Coviello, Kano và Liesch (2017) điều chỉnh mô hình cho bối cảnh hiện đại bằng cách kết nối tầng vĩ mô với các nền tảng vi mô; và Vahlne (2020) tiếp tục phát triển hướng đi từ quốc tế hóa sang tiến hóa. Những bản cập nhật này cho thấy Uppsala là một khung lý thuyết đang tiến hóa chứ không cố định ở năm 2009, và chính chúng tạo điểm tựa lý luận cho việc luận án mở rộng cơ chế học hỏi sang môi trường số.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Mô hình Uppsala cổ điển ra đời trong bối cảnh tiền số, nên đã chịu nhiều thách thức trong thập kỷ gần đây. Các nghiên cứu về doanh nghiệp toàn cầu từ khi khởi sự (born-global firms), tức quốc tế hóa ngay từ đầu mà không theo trình tự tuần tự (Knight &amp; Cavusgil, 2004), về doanh nghiệp đa quốc gia từ thị trường mới nổi với lộ trình quốc tế hóa khác biệt, và về doanh nghiệp nền tảng vươn ra thị trường quốc tế qua nền tảng số mà không cần hiện diện vật lý, đều cho thấy logic của Uppsala không còn phổ quát (Stallkamp &amp; Schotter, 2021; Yang et al., 2025). Luận án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hướng mở rộng này nối tiếp chính lộ trình tiến hóa mà các tác giả Uppsala đã khởi xướng sau 2009 (Vahlne &amp; Johanson, 2017; Vahlne, 2020; Banalieva &amp; Dhanaraj, 2019). Hàm ý cho quan hệ I-P là rõ ràng: chính cơ chế chi phí học hỏi đầu vào cao rồi lợi ích tích lũy về sau của Uppsala tạo nên cơ sở lý luận cho dạng hàm phi tuyến của quan hệ I-P, đặc biệt là giai đoạn đầu chi phí cao trước điểm uốn.</w:t>
      </w:r>
    </w:p>
    <w:bookmarkEnd w:id="45"/>
    <w:bookmarkStart w:id="46" w:name="quan-điểm-dựa-trên-nguồn-lực"/>
    <w:p>
      <w:pPr>
        <w:pStyle w:val="Heading3"/>
      </w:pPr>
      <w:r>
        <w:t xml:space="preserve">2.2.2 Quan điểm dựa trên nguồn lực</w:t>
      </w:r>
    </w:p>
    <w:p>
      <w:pPr>
        <w:pStyle w:val="FirstParagraph"/>
      </w:pPr>
      <w:r>
        <w:t xml:space="preserve">Quan điểm dựa trên nguồn lực (resource-based view,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Eisenhardt và Martin (2000) làm rõ thêm rằng năng lực động chính là các quy trình tổ chức cho phép tái phân bổ nguồn lực.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đồng thời nâng cao năng lực hấp thụ tri thức và công nghệ từ thị trường nước ngoài (Bhandari et al., 2023; Verhoef et al., 2021). Trong khi đó, DAI là chỉ số chấp nhận số nền tảng, đo sự hiện diện cơ bản, phản ánh mức chấp nhận số sơ khởi chứ không phải năng lực động theo nghĩa của Teece et al. (1997). RBV cung cấp nền lý thuyết trực tiếp cho giả thuyết H2 về vai trò điều tiết của TCI, với hàm ý rằng năng lực công nghệ nâng mặt bằng hiệu quả và làm sắc nét hơn độ cong của đường quan hệ I-P.</w:t>
      </w:r>
    </w:p>
    <w:bookmarkEnd w:id="46"/>
    <w:bookmarkStart w:id="47"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quyền sở hữu, và các ràng buộc phi chính thức như chuẩn mực, giá trị, văn hóa ứng xử.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 Peng (2003) bổ sung bằng khung chiến lược dựa trên thể chế, lập luận rằng ở các nền kinh tế mới nổi, thể chế không phải bối cảnh phông nền mà là một lực định hình chiến lược ngang hàng với ngành và nguồn lực.</w:t>
      </w:r>
    </w:p>
    <w:p>
      <w:pPr>
        <w:pStyle w:val="BodyText"/>
      </w:pPr>
      <w:r>
        <w:t xml:space="preserve">Một bước tinh chỉnh quan trọng đến từ Xu (2024), người phân tách quy tắc hình thức trên giấy (de jure) với thực thi thực tế (de facto), qua đó giải thích vì sao những nền kinh tế có khung pháp lý tương tự lại tạo ra kết quả kinh doanh rất khác nhau. Kim et al. (2026) cung cấp một khung đo lường năng lực thể chế (institutional capacity) theo hai chiều, chiều tổ chức gồm nhân sự, tài chính, hệ thống thông tin, quản lý, và chiều quản trị gồm minh bạch, độc lập, trách nhiệm giải trình; nghiên cứu đa quốc gia này xác nhận tương quan dương bền vững giữa năng lực thể chế và phát triển kinh tế. Về phía bằng chứng tổng hợp, Marano et al. (2016) trên 170 nghiên cứu thuộc 32 quốc gia cho thấy thể chế quốc gia nguồn điều tiết đáng kể quan hệ I-P, với khả năng thay đổi độ cong của đường cong; doanh nghiệp từ các nền kinh tế thể chế yếu hơn thường thu được lợi ích thấp hơn, thậm chí chịu tổn thất khi quốc tế hóa. Cuervo-Cazurra et al. (2018) bổ sung một góc nhìn khác: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phân tích ICRV trình bày ở Mục 2.3.</w:t>
      </w:r>
    </w:p>
    <w:bookmarkEnd w:id="47"/>
    <w:bookmarkStart w:id="48" w:name="lý-thuyết-bậc-trên"/>
    <w:p>
      <w:pPr>
        <w:pStyle w:val="Heading3"/>
      </w:pPr>
      <w:r>
        <w:t xml:space="preserve">2.2.4 Lý thuyết Bậc trên</w:t>
      </w:r>
    </w:p>
    <w:p>
      <w:pPr>
        <w:pStyle w:val="FirstParagraph"/>
      </w:pPr>
      <w:r>
        <w:t xml:space="preserve">Lý thuyết Bậc trên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 tổ chức là sự phản chiếu của những người đứng đầu nó. Các đặc điểm có liên quan gồm tuổi, học vấn, kinh nghiệm chức năng, thâm niên, kinh nghiệm quốc tế và giới tính. Hambrick (2007) bổ sung hai khái niệm điều hòa: mức độ tự do quyết định của nhà quản trị (managerial discretion) và áp lực công việc, vốn quyết định mức độ mà đặc điểm cá nhân thực sự chuyển hóa thành kết quả tổ chức.</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khối kiểm soát quản trị nội sinh H4. Tuy nhiên, trên mẫu đa quốc gia quy mô lớn, khác biệt cấp doanh nghiệp về đặc điểm nhà quản trị nhiều khả năng nâng mặt bằng hiệu quả hơn là tái định hình toàn bộ độ cong của đường quan hệ I-P, vốn được chi phối chủ yếu bởi các yếu tố thể chế và mức độ trưởng thành thị trường ở cấp nền kinh tế. Vì lý do đó, và vì năng lực cùng sự đa dạng giới của nhà quản trị có thể đồng thời tác động đến quyết định xuất khẩu, đến năng lực công nghệ và đến năng suất, khung của luận án không nâng đặc điểm nhà quản trị thành một tầng điều tiết trọng tâm mà đưa kinh nghiệm, học vấn và giới tính vào như nhóm biến kiểm soát quản trị nội sinh.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lựa chọn này tránh thiên lệch biến bị bỏ sót và ngăn hiện tượng</w:t>
      </w:r>
      <w:r>
        <w:t xml:space="preserve"> </w:t>
      </w:r>
      <w:r>
        <w:t xml:space="preserve">“</w:t>
      </w:r>
      <w:r>
        <w:t xml:space="preserve">Kitchen Sink Modeling</w:t>
      </w:r>
      <w:r>
        <w:t xml:space="preserve">”</w:t>
      </w:r>
      <w:r>
        <w:t xml:space="preserve"> </w:t>
      </w:r>
      <w:r>
        <w:t xml:space="preserve">làm loãng thông điệp vĩ mô Institution × Technology. Bốn nhân tố điều tiết trọng tâm của khung do đó là TCI (H2), DAI (H3), chế độ thể chế ICRV (H5) và thời gian (H6).</w:t>
      </w:r>
    </w:p>
    <w:bookmarkEnd w:id="48"/>
    <w:bookmarkStart w:id="49" w:name="lớp-mở-rộng-lăng-kính-số"/>
    <w:p>
      <w:pPr>
        <w:pStyle w:val="Heading3"/>
      </w:pPr>
      <w:r>
        <w:t xml:space="preserve">2.2.5 Lớp mở rộng: lăng kính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 Lăng kính số (digital lens) không phải là một lý thuyết thay thế bốn lý thuyết kinh điển, mà là một lớp mở rộng đan cài vào chúng, làm sắc nét lại các cơ chế cũ trong điều kiện công nghệ mới.</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làm khoảng cách tâm lý giảm đến mức tối thiểu và đẩy nhanh quốc tế hóa từ giai đoạn đầu.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và nền tảng số cho phép doanh nghiệp nhỏ ở thị trường mới nổi quốc tế hóa với chi phí gần bằng không.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qua đó hình thành nền tảng cho việc tách bạch H2 và H3.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 Bảng 2.1 tóm lược vai trò của từng tầng lý thuyết trong khung tích hợp.</w:t>
      </w:r>
    </w:p>
    <w:p>
      <w:pPr>
        <w:pStyle w:val="BodyText"/>
      </w:pPr>
      <w:r>
        <w:rPr>
          <w:bCs/>
          <w:b/>
        </w:rPr>
        <w:t xml:space="preserve">Bảng 2.1.</w:t>
      </w:r>
      <w:r>
        <w:t xml:space="preserve"> </w:t>
      </w:r>
      <w:r>
        <w:rPr>
          <w:iCs/>
          <w:i/>
        </w:rPr>
        <w:t xml:space="preserve">Năm tầng lý thuyết và vai trò của chúng trong khung giải thích của luận án.</w:t>
      </w:r>
    </w:p>
    <w:tbl>
      <w:tblPr>
        <w:tblStyle w:val="Table"/>
        <w:tblW w:type="pct" w:w="5000"/>
        <w:tblLook w:firstRow="1" w:lastRow="0" w:firstColumn="0" w:lastColumn="0" w:noHBand="0" w:noVBand="0" w:val="0020"/>
        <w:jc w:val="start"/>
      </w:tblPr>
      <w:tblGrid>
        <w:gridCol w:w="1320"/>
        <w:gridCol w:w="1485"/>
        <w:gridCol w:w="1320"/>
        <w:gridCol w:w="1980"/>
        <w:gridCol w:w="1815"/>
      </w:tblGrid>
      <w:tr>
        <w:trPr>
          <w:tblHeader w:val="true"/>
        </w:trPr>
        <w:tc>
          <w:tcPr/>
          <w:p>
            <w:pPr>
              <w:pStyle w:val="Compact"/>
              <w:jc w:val="left"/>
            </w:pPr>
            <w:r>
              <w:t xml:space="preserve">Tầng lý thuyết</w:t>
            </w:r>
          </w:p>
        </w:tc>
        <w:tc>
          <w:tcPr/>
          <w:p>
            <w:pPr>
              <w:pStyle w:val="Compact"/>
              <w:jc w:val="left"/>
            </w:pPr>
            <w:r>
              <w:t xml:space="preserve">Tác giả nền tảng</w:t>
            </w:r>
          </w:p>
        </w:tc>
        <w:tc>
          <w:tcPr/>
          <w:p>
            <w:pPr>
              <w:pStyle w:val="Compact"/>
              <w:jc w:val="left"/>
            </w:pPr>
            <w:r>
              <w:t xml:space="preserve">Cơ chế cốt lõi</w:t>
            </w:r>
          </w:p>
        </w:tc>
        <w:tc>
          <w:tcPr/>
          <w:p>
            <w:pPr>
              <w:pStyle w:val="Compact"/>
              <w:jc w:val="left"/>
            </w:pPr>
            <w:r>
              <w:t xml:space="preserve">Hàm ý cho quan hệ I-P</w:t>
            </w:r>
          </w:p>
        </w:tc>
        <w:tc>
          <w:tcPr/>
          <w:p>
            <w:pPr>
              <w:pStyle w:val="Compact"/>
              <w:jc w:val="left"/>
            </w:pPr>
            <w:r>
              <w:t xml:space="preserve">Giả thuyết liên quan</w:t>
            </w:r>
          </w:p>
        </w:tc>
      </w:tr>
      <w:tr>
        <w:tc>
          <w:tcPr/>
          <w:p>
            <w:pPr>
              <w:pStyle w:val="Compact"/>
              <w:jc w:val="left"/>
            </w:pPr>
            <w:r>
              <w:t xml:space="preserve">Mô hình Uppsala</w:t>
            </w:r>
          </w:p>
        </w:tc>
        <w:tc>
          <w:tcPr/>
          <w:p>
            <w:pPr>
              <w:pStyle w:val="Compact"/>
              <w:jc w:val="left"/>
            </w:pPr>
            <w:r>
              <w:t xml:space="preserve">Johanson &amp; Vahlne (1977, 2009); Vahlne &amp; Johanson (2017); Vahlne (2020)</w:t>
            </w:r>
          </w:p>
        </w:tc>
        <w:tc>
          <w:tcPr/>
          <w:p>
            <w:pPr>
              <w:pStyle w:val="Compact"/>
              <w:jc w:val="left"/>
            </w:pPr>
            <w:r>
              <w:t xml:space="preserve">Học hỏi tích lũy; gánh nặng người nước ngoài và người ngoài mạng lưới; tiến hóa sang năng lực động</w:t>
            </w:r>
          </w:p>
        </w:tc>
        <w:tc>
          <w:tcPr/>
          <w:p>
            <w:pPr>
              <w:pStyle w:val="Compact"/>
              <w:jc w:val="left"/>
            </w:pPr>
            <w:r>
              <w:t xml:space="preserve">Chi phí đầu vào cao rồi lợi ích về sau tạo phi tuyến</w:t>
            </w:r>
          </w:p>
        </w:tc>
        <w:tc>
          <w:tcPr/>
          <w:p>
            <w:pPr>
              <w:pStyle w:val="Compact"/>
              <w:jc w:val="left"/>
            </w:pPr>
            <w:r>
              <w:t xml:space="preserve">H1</w:t>
            </w:r>
          </w:p>
        </w:tc>
      </w:tr>
      <w:tr>
        <w:tc>
          <w:tcPr/>
          <w:p>
            <w:pPr>
              <w:pStyle w:val="Compact"/>
              <w:jc w:val="left"/>
            </w:pPr>
            <w:r>
              <w:t xml:space="preserve">Quan điểm dựa trên nguồn lực</w:t>
            </w:r>
          </w:p>
        </w:tc>
        <w:tc>
          <w:tcPr/>
          <w:p>
            <w:pPr>
              <w:pStyle w:val="Compact"/>
              <w:jc w:val="left"/>
            </w:pPr>
            <w:r>
              <w:t xml:space="preserve">Wernerfelt (1984); Barney (1991); Teece et al. (1997)</w:t>
            </w:r>
          </w:p>
        </w:tc>
        <w:tc>
          <w:tcPr/>
          <w:p>
            <w:pPr>
              <w:pStyle w:val="Compact"/>
              <w:jc w:val="left"/>
            </w:pPr>
            <w:r>
              <w:t xml:space="preserve">Nguồn lực VRIN và năng lực động; năng lực hấp thụ</w:t>
            </w:r>
          </w:p>
        </w:tc>
        <w:tc>
          <w:tcPr/>
          <w:p>
            <w:pPr>
              <w:pStyle w:val="Compact"/>
              <w:jc w:val="left"/>
            </w:pPr>
            <w:r>
              <w:t xml:space="preserve">Năng lực công nghệ nâng mặt bằng và làm sắc nét đường cong</w:t>
            </w:r>
          </w:p>
        </w:tc>
        <w:tc>
          <w:tcPr/>
          <w:p>
            <w:pPr>
              <w:pStyle w:val="Compact"/>
              <w:jc w:val="left"/>
            </w:pPr>
            <w:r>
              <w:t xml:space="preserve">H2</w:t>
            </w:r>
          </w:p>
        </w:tc>
      </w:tr>
      <w:tr>
        <w:tc>
          <w:tcPr/>
          <w:p>
            <w:pPr>
              <w:pStyle w:val="Compact"/>
              <w:jc w:val="left"/>
            </w:pPr>
            <w:r>
              <w:t xml:space="preserve">Lý thuyết thể chế</w:t>
            </w:r>
          </w:p>
        </w:tc>
        <w:tc>
          <w:tcPr/>
          <w:p>
            <w:pPr>
              <w:pStyle w:val="Compact"/>
              <w:jc w:val="left"/>
            </w:pPr>
            <w:r>
              <w:t xml:space="preserve">North (1990); Khanna &amp; Palepu (2010); Peng (2003)</w:t>
            </w:r>
          </w:p>
        </w:tc>
        <w:tc>
          <w:tcPr/>
          <w:p>
            <w:pPr>
              <w:pStyle w:val="Compact"/>
              <w:jc w:val="left"/>
            </w:pPr>
            <w:r>
              <w:t xml:space="preserve">Chi phí giao dịch; khoảng trống thể chế</w:t>
            </w:r>
          </w:p>
        </w:tc>
        <w:tc>
          <w:tcPr/>
          <w:p>
            <w:pPr>
              <w:pStyle w:val="Compact"/>
              <w:jc w:val="left"/>
            </w:pPr>
            <w:r>
              <w:t xml:space="preserve">Chất lượng thể chế chi phối độ cong đường cong I-P</w:t>
            </w:r>
          </w:p>
        </w:tc>
        <w:tc>
          <w:tcPr/>
          <w:p>
            <w:pPr>
              <w:pStyle w:val="Compact"/>
              <w:jc w:val="left"/>
            </w:pPr>
            <w:r>
              <w:t xml:space="preserve">H5</w:t>
            </w:r>
          </w:p>
        </w:tc>
      </w:tr>
      <w:tr>
        <w:tc>
          <w:tcPr/>
          <w:p>
            <w:pPr>
              <w:pStyle w:val="Compact"/>
              <w:jc w:val="left"/>
            </w:pPr>
            <w:r>
              <w:t xml:space="preserve">Lý thuyết Bậc trên</w:t>
            </w:r>
          </w:p>
        </w:tc>
        <w:tc>
          <w:tcPr/>
          <w:p>
            <w:pPr>
              <w:pStyle w:val="Compact"/>
              <w:jc w:val="left"/>
            </w:pPr>
            <w:r>
              <w:t xml:space="preserve">Hambrick &amp; Mason (1984); Hambrick (2007)</w:t>
            </w:r>
          </w:p>
        </w:tc>
        <w:tc>
          <w:tcPr/>
          <w:p>
            <w:pPr>
              <w:pStyle w:val="Compact"/>
              <w:jc w:val="left"/>
            </w:pPr>
            <w:r>
              <w:t xml:space="preserve">Nhận thức và kinh nghiệm nhà quản trị cấp cao</w:t>
            </w:r>
          </w:p>
        </w:tc>
        <w:tc>
          <w:tcPr/>
          <w:p>
            <w:pPr>
              <w:pStyle w:val="Compact"/>
              <w:jc w:val="left"/>
            </w:pPr>
            <w:r>
              <w:t xml:space="preserve">Đặc điểm lãnh đạo nâng mặt bằng hiệu quả (kiểm soát quản trị nội sinh, không phải điều tiết trọng tâm độ cong)</w:t>
            </w:r>
          </w:p>
        </w:tc>
        <w:tc>
          <w:tcPr/>
          <w:p>
            <w:pPr>
              <w:pStyle w:val="Compact"/>
              <w:jc w:val="left"/>
            </w:pPr>
            <w:r>
              <w:t xml:space="preserve">H4 (kiểm soát quản trị nội sinh)</w:t>
            </w:r>
          </w:p>
        </w:tc>
      </w:tr>
      <w:tr>
        <w:tc>
          <w:tcPr/>
          <w:p>
            <w:pPr>
              <w:pStyle w:val="Compact"/>
              <w:jc w:val="left"/>
            </w:pPr>
            <w:r>
              <w:t xml:space="preserve">Lăng kính số</w:t>
            </w:r>
          </w:p>
        </w:tc>
        <w:tc>
          <w:tcPr/>
          <w:p>
            <w:pPr>
              <w:pStyle w:val="Compact"/>
              <w:jc w:val="left"/>
            </w:pPr>
            <w:r>
              <w:t xml:space="preserve">Banalieva &amp; Dhanaraj (2019); Verhoef et al. (2021)</w:t>
            </w:r>
          </w:p>
        </w:tc>
        <w:tc>
          <w:tcPr/>
          <w:p>
            <w:pPr>
              <w:pStyle w:val="Compact"/>
              <w:jc w:val="left"/>
            </w:pPr>
            <w:r>
              <w:t xml:space="preserve">Học hỏi dữ liệu số; công cụ số bề mặt</w:t>
            </w:r>
          </w:p>
        </w:tc>
        <w:tc>
          <w:tcPr/>
          <w:p>
            <w:pPr>
              <w:pStyle w:val="Compact"/>
              <w:jc w:val="left"/>
            </w:pPr>
            <w:r>
              <w:t xml:space="preserve">Chấp nhận số làm thay đổi độ dốc và độ cong</w:t>
            </w:r>
          </w:p>
        </w:tc>
        <w:tc>
          <w:tcPr/>
          <w:p>
            <w:pPr>
              <w:pStyle w:val="Compact"/>
              <w:jc w:val="left"/>
            </w:pPr>
            <w:r>
              <w:t xml:space="preserve">H3, H6</w:t>
            </w:r>
          </w:p>
        </w:tc>
      </w:tr>
    </w:tbl>
    <w:p>
      <w:r>
        <w:pict>
          <v:rect style="width:0;height:1.5pt" o:hralign="center" o:hrstd="t" o:hr="t"/>
        </w:pict>
      </w:r>
    </w:p>
    <w:bookmarkEnd w:id="49"/>
    <w:bookmarkEnd w:id="50"/>
    <w:bookmarkStart w:id="54" w:name="X2f563549d451d07b2fcdc13ea4cc68d3f069115"/>
    <w:p>
      <w:pPr>
        <w:pStyle w:val="Heading2"/>
      </w:pPr>
      <w:r>
        <w:t xml:space="preserve">2.3 Khung phân tích Biến thiên chế độ bối cảnh thể chế (ICRV)</w:t>
      </w:r>
    </w:p>
    <w:p>
      <w:pPr>
        <w:pStyle w:val="FirstParagraph"/>
      </w:pPr>
      <w:r>
        <w:t xml:space="preserve">Lý thuyết thể chế chỉ ra rằng môi trường thể chế chi phối lợi ích ròng của quốc tế hóa, nhưng để kiểm định luận điểm đó trên một mẫu đa quốc gia rộng lớn, cần một công cụ vận hành hóa bối cảnh thể chế thành biến phân tích cụ thể. Châu Á không phải là một khối đồng nhất về thể chế. Các phân tích tổng hợp đã ghi nhận bối cảnh thể chế là biến điều tiết quan trọng nhất của quan hệ I-P, nhưng chưa có nghiên cứu nào thiết lập một hệ thống phân loại thể chế toàn diện cho phạm vi rộng các nền kinh tế châu Á và Thái Bình Dương (Marano et al., 2016; Wu et al., 2022). Luận án phát triển khung Biến thiên chế độ bối cảnh thể chế (Institutional Context Regime Variation, ICRV) để lấp khoảng trống đó.</w:t>
      </w:r>
    </w:p>
    <w:bookmarkStart w:id="51" w:name="cơ-sở-và-nguyên-tắc-xây-dựng-icrv"/>
    <w:p>
      <w:pPr>
        <w:pStyle w:val="Heading3"/>
      </w:pPr>
      <w:r>
        <w:t xml:space="preserve">2.3.1 Cơ sở và nguyên tắc xây dựng ICRV</w:t>
      </w:r>
    </w:p>
    <w:p>
      <w:pPr>
        <w:pStyle w:val="FirstParagraph"/>
      </w:pPr>
      <w:r>
        <w:t xml:space="preserve">Khung ICRV phân loại các nền kinh tế trong phạm vi nghiên cứu thành sáu nhóm con (ICRV sub-regime), dựa trên tổ hợp ba căn cứ: bộ chỉ số quản trị thế giới (World Governance Indicators, WGI) của Kaufmann et al. (2011), mức độ phát triển kinh tế đo bằng thu nhập quốc gia bình quân đầu người theo phương pháp Atlas của Ngân hàng Thế giới, và đặc trưng cấu trúc thể chế của từng nền kinh tế. Về mặt khái niệm, ICRV sắp xếp các nền kinh tế theo hai chiều lý thuyết phân biệt mà các phân loại trước thường gộp chung: năng lực thể chế, tức chất lượng thể chế chính thức theo tinh thần của North (1990) và truyền thống các mô hình tư bản chủ nghĩa khác nhau (Hall &amp; Soskice, 2001); và mức độ tổn thương nguồn lực, tức mức phơi nhiễm trước các cú sốc bên ngoài, sự hẹp hòi về nguồn lực sản xuất, và các khoảng trống thể chế mà doanh nghiệp buộc phải nội hóa (Khanna &amp; Palepu, 2010). Khung này mở rộng từ phân loại thể chế của Khanna và Palepu (2010), được điều chỉnh cho phù hợp với thực tiễn đa dạng của châu Á và khu vực lân cận, đồng thời tham chiếu khung năng lực thể chế của Kim et al. (2026).</w:t>
      </w:r>
    </w:p>
    <w:p>
      <w:pPr>
        <w:pStyle w:val="BodyText"/>
      </w:pPr>
      <w:r>
        <w:t xml:space="preserve">Cần nhấn mạnh rằng tên gọi đầy đủ của khung là Biến thiên chế độ bối cảnh thể chế (Institutional Context Regime Variation, ICRV), phản ánh đúng bản chất của nó: một dải biến thiên liên tục của bối cảnh thể chế, được rời rạc hóa thành sáu chế độ để tiện cho phân tích so sánh.</w:t>
      </w:r>
    </w:p>
    <w:bookmarkEnd w:id="51"/>
    <w:bookmarkStart w:id="52" w:name="sáu-nhóm-chế-độ-thể-chế"/>
    <w:p>
      <w:pPr>
        <w:pStyle w:val="Heading3"/>
      </w:pPr>
      <w:r>
        <w:t xml:space="preserve">2.3.2 Sáu nhóm chế độ thể chế</w:t>
      </w:r>
    </w:p>
    <w:p>
      <w:pPr>
        <w:pStyle w:val="FirstParagraph"/>
      </w:pPr>
      <w:r>
        <w:t xml:space="preserve">Sáu nhóm con của ICRV được phân định như sau.</w:t>
      </w:r>
    </w:p>
    <w:p>
      <w:pPr>
        <w:pStyle w:val="BodyText"/>
      </w:pPr>
      <w:r>
        <w:t xml:space="preserve">Nhóm I, tiên tiến dẫn dắt bằng đổi mới (Advanced Innovation-Driven), gồm các nền kinh tế như Singapore, Hong Kong, Hàn Quốc, Đài Loan, Israel và Cyprus. Đặc trưng là chỉ số WGI về thượng tôn pháp luật rất cao, thu nhập bình quân đầu người trên 30.000 USD, và tăng trưởng dựa trên đổi mới công nghệ, dịch vụ tài chính, hàm lượng tri thức cao. Bằng chứng WBES cho thấy cường độ R&amp;D trên 10%, tỷ lệ chứng nhận ISO trên 20%, và phân tán năng suất ở mức vừa phải.</w:t>
      </w:r>
    </w:p>
    <w:p>
      <w:pPr>
        <w:pStyle w:val="BodyText"/>
      </w:pPr>
      <w:r>
        <w:t xml:space="preserve">Nhóm II, tiên tiến dẫn dắt bằng tài nguyên (Advanced Resource-Driven), gồm các nền kinh tế vùng Vịnh như Saudi Arabia, Qatar, Kuwait, Bahrain, Brunei và Oman. Đặc trưng là chất lượng thể chế trung bình, thu nhập cao nhưng dựa vào xuất khẩu tài nguyên thiên nhiên. Bằng chứng WBES cho thấy FDI cao hướng khai thác tài nguyên và phân tán năng suất rất hẹp, đặc trưng của mô hình kinh tế tô nhượng (rentier state).</w:t>
      </w:r>
    </w:p>
    <w:p>
      <w:pPr>
        <w:pStyle w:val="BodyText"/>
      </w:pPr>
      <w:r>
        <w:t xml:space="preserve">Nhóm III, thu nhập trung bình cao (Upper-middle), điển hình là Trung Quốc, cùng Malaysia, Thái Lan, Kazakhstan, Armenia và Georgia. Đặc trưng là nền kinh tế chuyển đổi từ sản xuất sang dịch vụ, với R&amp;D đang tăng nhanh, đặc biệt ở Trung Quốc giai đoạn 2018-2025.</w:t>
      </w:r>
    </w:p>
    <w:p>
      <w:pPr>
        <w:pStyle w:val="BodyText"/>
      </w:pPr>
      <w:r>
        <w:t xml:space="preserve">Nhóm IV, chuyển đổi thu nhập trung bình thấp hay đang nổi (Emerging), gồm Việt Nam, Indonesia, Philippines, Ấn Độ, Sri Lanka, Jordan và Mông Cổ. Đặc trưng là tốc độ tăng trưởng cao nhưng khoảng cách lớn giữa quy tắc pháp lý trên giấy và thực thi thực tế (Xu, 2024), sản xuất dẫn dắt bởi FDI và xuất khẩu.</w:t>
      </w:r>
    </w:p>
    <w:p>
      <w:pPr>
        <w:pStyle w:val="BodyText"/>
      </w:pPr>
      <w:r>
        <w:t xml:space="preserve">Nhóm V, cận biên (Frontier), gồm 17 nền kinh tế như Bangladesh, Pakistan, Lào, Campuchia, Myanmar, Nepal và một số nền kinh tế đang trải qua hoặc vừa thoát khỏi xung đột. Đặc trưng là chất lượng thể chế thấp, khoảng trống thể chế lớn, phân tán năng suất cao nhất, R&amp;D thấp nhất, nhưng đổi mới sản phẩm lại cao do doanh nghiệp buộc phải đổi mới bằng nguồn lực hạn chế.</w:t>
      </w:r>
    </w:p>
    <w:p>
      <w:pPr>
        <w:pStyle w:val="BodyText"/>
      </w:pPr>
      <w:r>
        <w:t xml:space="preserve">Nhóm VI, đảo nhỏ Thái Bình Dương (Pacific SIDS), gồm các quốc đảo nhỏ đang phát triển (Small Island Developing States, SIDS) như Fiji, Papua New Guinea, Solomon Islands, Tonga, Vanuatu, Samoa và Kiribati. Đặc trưng là dân số rất nhỏ, cô lập địa lý xa các trung tâm thương mại, phụ thuộc nặng vào viện trợ và kiều hối theo mô hình MIRAB (Bertram, 2006), và chi phí hậu cần cực cao.</w:t>
      </w:r>
    </w:p>
    <w:p>
      <w:pPr>
        <w:pStyle w:val="BodyText"/>
      </w:pPr>
      <w:r>
        <w:rPr>
          <w:bCs/>
          <w:b/>
        </w:rPr>
        <w:t xml:space="preserve">Bảng 2.2.</w:t>
      </w:r>
      <w:r>
        <w:t xml:space="preserve"> </w:t>
      </w:r>
      <w:r>
        <w:rPr>
          <w:iCs/>
          <w:i/>
        </w:rPr>
        <w:t xml:space="preserve">Sáu nhóm chế độ thể chế ICRV: tiêu chí, đại diện và cơ chế quốc tế hóa-hiệu quả dự kiến.</w:t>
      </w:r>
    </w:p>
    <w:tbl>
      <w:tblPr>
        <w:tblStyle w:val="Table"/>
        <w:tblW w:type="pct" w:w="5000"/>
        <w:tblLook w:firstRow="1" w:lastRow="0" w:firstColumn="0" w:lastColumn="0" w:noHBand="0" w:noVBand="0" w:val="0020"/>
        <w:jc w:val="start"/>
      </w:tblPr>
      <w:tblGrid>
        <w:gridCol w:w="1102"/>
        <w:gridCol w:w="1002"/>
        <w:gridCol w:w="1002"/>
        <w:gridCol w:w="2706"/>
        <w:gridCol w:w="2105"/>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Đại diện</w:t>
            </w:r>
          </w:p>
        </w:tc>
        <w:tc>
          <w:tcPr/>
          <w:p>
            <w:pPr>
              <w:pStyle w:val="Compact"/>
              <w:jc w:val="left"/>
            </w:pPr>
            <w:r>
              <w:t xml:space="preserve">WGI/Thượng tôn pháp luật</w:t>
            </w:r>
          </w:p>
        </w:tc>
        <w:tc>
          <w:tcPr/>
          <w:p>
            <w:pPr>
              <w:pStyle w:val="Compact"/>
              <w:jc w:val="left"/>
            </w:pPr>
            <w:r>
              <w:t xml:space="preserve">Cơ chế I-P dự kiến</w:t>
            </w:r>
          </w:p>
        </w:tc>
      </w:tr>
      <w:tr>
        <w:tc>
          <w:tcPr/>
          <w:p>
            <w:pPr>
              <w:pStyle w:val="Compact"/>
              <w:jc w:val="left"/>
            </w:pPr>
            <w:r>
              <w:t xml:space="preserve">I</w:t>
            </w:r>
          </w:p>
        </w:tc>
        <w:tc>
          <w:tcPr/>
          <w:p>
            <w:pPr>
              <w:pStyle w:val="Compact"/>
              <w:jc w:val="left"/>
            </w:pPr>
            <w:r>
              <w:t xml:space="preserve">Tiên tiến dẫn dắt bằng đổi mới</w:t>
            </w:r>
          </w:p>
        </w:tc>
        <w:tc>
          <w:tcPr/>
          <w:p>
            <w:pPr>
              <w:pStyle w:val="Compact"/>
              <w:jc w:val="left"/>
            </w:pPr>
            <w:r>
              <w:t xml:space="preserve">Singapore, Hàn Quốc, Đài Loan</w:t>
            </w:r>
          </w:p>
        </w:tc>
        <w:tc>
          <w:tcPr/>
          <w:p>
            <w:pPr>
              <w:pStyle w:val="Compact"/>
              <w:jc w:val="left"/>
            </w:pPr>
            <w:r>
              <w:t xml:space="preserve">Rất cao (&gt;+0,80)</w:t>
            </w:r>
          </w:p>
        </w:tc>
        <w:tc>
          <w:tcPr/>
          <w:p>
            <w:pPr>
              <w:pStyle w:val="Compact"/>
              <w:jc w:val="left"/>
            </w:pPr>
            <w:r>
              <w:t xml:space="preserve">Lợi ích quốc tế hóa cao, điểm uốn sớm</w:t>
            </w:r>
          </w:p>
        </w:tc>
      </w:tr>
      <w:tr>
        <w:tc>
          <w:tcPr/>
          <w:p>
            <w:pPr>
              <w:pStyle w:val="Compact"/>
              <w:jc w:val="left"/>
            </w:pPr>
            <w:r>
              <w:t xml:space="preserve">II</w:t>
            </w:r>
          </w:p>
        </w:tc>
        <w:tc>
          <w:tcPr/>
          <w:p>
            <w:pPr>
              <w:pStyle w:val="Compact"/>
              <w:jc w:val="left"/>
            </w:pPr>
            <w:r>
              <w:t xml:space="preserve">Tiên tiến dẫn dắt bằng tài nguyên</w:t>
            </w:r>
          </w:p>
        </w:tc>
        <w:tc>
          <w:tcPr/>
          <w:p>
            <w:pPr>
              <w:pStyle w:val="Compact"/>
              <w:jc w:val="left"/>
            </w:pPr>
            <w:r>
              <w:t xml:space="preserve">Saudi Arabia, Qatar, Kuwait</w:t>
            </w:r>
          </w:p>
        </w:tc>
        <w:tc>
          <w:tcPr/>
          <w:p>
            <w:pPr>
              <w:pStyle w:val="Compact"/>
              <w:jc w:val="left"/>
            </w:pPr>
            <w:r>
              <w:t xml:space="preserve">Trung bình (+0,00 đến +0,50)</w:t>
            </w:r>
          </w:p>
        </w:tc>
        <w:tc>
          <w:tcPr/>
          <w:p>
            <w:pPr>
              <w:pStyle w:val="Compact"/>
              <w:jc w:val="left"/>
            </w:pPr>
            <w:r>
              <w:t xml:space="preserve">Phân tán hẹp, đặc trưng tô nhượng</w:t>
            </w:r>
          </w:p>
        </w:tc>
      </w:tr>
      <w:tr>
        <w:tc>
          <w:tcPr/>
          <w:p>
            <w:pPr>
              <w:pStyle w:val="Compact"/>
              <w:jc w:val="left"/>
            </w:pPr>
            <w:r>
              <w:t xml:space="preserve">III</w:t>
            </w:r>
          </w:p>
        </w:tc>
        <w:tc>
          <w:tcPr/>
          <w:p>
            <w:pPr>
              <w:pStyle w:val="Compact"/>
              <w:jc w:val="left"/>
            </w:pPr>
            <w:r>
              <w:t xml:space="preserve">Thu nhập trung bình cao</w:t>
            </w:r>
          </w:p>
        </w:tc>
        <w:tc>
          <w:tcPr/>
          <w:p>
            <w:pPr>
              <w:pStyle w:val="Compact"/>
              <w:jc w:val="left"/>
            </w:pPr>
            <w:r>
              <w:t xml:space="preserve">Trung Quốc, Malaysia, Thái Lan</w:t>
            </w:r>
          </w:p>
        </w:tc>
        <w:tc>
          <w:tcPr/>
          <w:p>
            <w:pPr>
              <w:pStyle w:val="Compact"/>
              <w:jc w:val="left"/>
            </w:pPr>
            <w:r>
              <w:t xml:space="preserve">0,00 đến +0,80</w:t>
            </w:r>
          </w:p>
        </w:tc>
        <w:tc>
          <w:tcPr/>
          <w:p>
            <w:pPr>
              <w:pStyle w:val="Compact"/>
              <w:jc w:val="left"/>
            </w:pPr>
            <w:r>
              <w:t xml:space="preserve">Chữ U ngược, điểm uốn trung bình</w:t>
            </w:r>
          </w:p>
        </w:tc>
      </w:tr>
      <w:tr>
        <w:tc>
          <w:tcPr/>
          <w:p>
            <w:pPr>
              <w:pStyle w:val="Compact"/>
              <w:jc w:val="left"/>
            </w:pPr>
            <w:r>
              <w:t xml:space="preserve">IV</w:t>
            </w:r>
          </w:p>
        </w:tc>
        <w:tc>
          <w:tcPr/>
          <w:p>
            <w:pPr>
              <w:pStyle w:val="Compact"/>
              <w:jc w:val="left"/>
            </w:pPr>
            <w:r>
              <w:t xml:space="preserve">Chuyển đổi thu nhập trung bình thấp</w:t>
            </w:r>
          </w:p>
        </w:tc>
        <w:tc>
          <w:tcPr/>
          <w:p>
            <w:pPr>
              <w:pStyle w:val="Compact"/>
              <w:jc w:val="left"/>
            </w:pPr>
            <w:r>
              <w:t xml:space="preserve">Việt Nam, Ấn Độ, Indonesia</w:t>
            </w:r>
          </w:p>
        </w:tc>
        <w:tc>
          <w:tcPr/>
          <w:p>
            <w:pPr>
              <w:pStyle w:val="Compact"/>
              <w:jc w:val="left"/>
            </w:pPr>
            <w:r>
              <w:t xml:space="preserve">-0,50 đến 0,00</w:t>
            </w:r>
          </w:p>
        </w:tc>
        <w:tc>
          <w:tcPr/>
          <w:p>
            <w:pPr>
              <w:pStyle w:val="Compact"/>
              <w:jc w:val="left"/>
            </w:pPr>
            <w:r>
              <w:t xml:space="preserve">Chữ U ngược, biên tham gia xuất khẩu</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Bangladesh, Campuchia, Lào</w:t>
            </w:r>
          </w:p>
        </w:tc>
        <w:tc>
          <w:tcPr/>
          <w:p>
            <w:pPr>
              <w:pStyle w:val="Compact"/>
              <w:jc w:val="left"/>
            </w:pPr>
            <w:r>
              <w:t xml:space="preserve">&lt; -0,50</w:t>
            </w:r>
          </w:p>
        </w:tc>
        <w:tc>
          <w:tcPr/>
          <w:p>
            <w:pPr>
              <w:pStyle w:val="Compact"/>
              <w:jc w:val="left"/>
            </w:pPr>
            <w:r>
              <w:t xml:space="preserve">Yếu, khoảng trống thể chế lớn</w:t>
            </w:r>
          </w:p>
        </w:tc>
      </w:tr>
      <w:tr>
        <w:tc>
          <w:tcPr/>
          <w:p>
            <w:pPr>
              <w:pStyle w:val="Compact"/>
              <w:jc w:val="left"/>
            </w:pPr>
            <w:r>
              <w:t xml:space="preserve">VI</w:t>
            </w:r>
          </w:p>
        </w:tc>
        <w:tc>
          <w:tcPr/>
          <w:p>
            <w:pPr>
              <w:pStyle w:val="Compact"/>
              <w:jc w:val="left"/>
            </w:pPr>
            <w:r>
              <w:t xml:space="preserve">Đảo nhỏ Thái Bình Dương</w:t>
            </w:r>
          </w:p>
        </w:tc>
        <w:tc>
          <w:tcPr/>
          <w:p>
            <w:pPr>
              <w:pStyle w:val="Compact"/>
              <w:jc w:val="left"/>
            </w:pPr>
            <w:r>
              <w:t xml:space="preserve">Fiji, Tonga, Vanuatu</w:t>
            </w:r>
          </w:p>
        </w:tc>
        <w:tc>
          <w:tcPr/>
          <w:p>
            <w:pPr>
              <w:pStyle w:val="Compact"/>
              <w:jc w:val="left"/>
            </w:pPr>
            <w:r>
              <w:t xml:space="preserve">Thấp, cô lập cấu trúc</w:t>
            </w:r>
          </w:p>
        </w:tc>
        <w:tc>
          <w:tcPr/>
          <w:p>
            <w:pPr>
              <w:pStyle w:val="Compact"/>
              <w:jc w:val="left"/>
            </w:pPr>
            <w:r>
              <w:t xml:space="preserve">Có thể đảo dấu thành âm đơn điệu</w:t>
            </w:r>
          </w:p>
        </w:tc>
      </w:tr>
    </w:tbl>
    <w:p>
      <w:pPr>
        <w:pStyle w:val="BodyText"/>
      </w:pPr>
      <w:r>
        <w:rPr>
          <w:iCs/>
          <w:i/>
        </w:rPr>
        <w:t xml:space="preserve">Nguồn: Tổng hợp từ World Bank Enterprise Surveys (2025); WGI từ Kaufmann et al. (2011); thu nhập từ phân loại Ngân hàng Thế giới (2025).</w:t>
      </w:r>
    </w:p>
    <w:bookmarkEnd w:id="52"/>
    <w:bookmarkStart w:id="53" w:name="X4e2b003f8c1d47027cacfb453a77b6968ac0348"/>
    <w:p>
      <w:pPr>
        <w:pStyle w:val="Heading3"/>
      </w:pPr>
      <w:r>
        <w:t xml:space="preserve">2.3.3 Vai trò điều tiết của ICRV trong quan hệ I-P</w:t>
      </w:r>
    </w:p>
    <w:p>
      <w:pPr>
        <w:pStyle w:val="FirstParagraph"/>
      </w:pPr>
      <w:r>
        <w:t xml:space="preserve">ICRV không chỉ là một biến phân loại mà là một bộ lọc chi phí giao dịch (transaction cost filter): mỗi chế độ quy định mức độ trơn tru mà giao dịch quốc tế hóa được chuyển hóa thành hiệu quả, và toàn dải sáu chế độ hợp thành một bản đồ địa hình xuất khẩu chiến lược (strategic export topography).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 và vị trí điểm uốn.</w:t>
      </w:r>
    </w:p>
    <w:p>
      <w:pPr>
        <w:pStyle w:val="BodyText"/>
      </w:pPr>
      <w:r>
        <w:t xml:space="preserve">Cơ chế điều tiết của ICRV vận hành theo hai kênh đan xen. Kênh thứ nhất là thay đổi độ cong (biên độ) của đường cong: ở môi trường thể chế yếu, chi phí giao dịch xuyên biên giới cao làm độ cong của hình chữ U ngược sâu hơn, hình phạt hiệu quả đối với quốc tế hóa quá mức trở nên gay gắt hơn; ngược lại, ở môi trường thể chế mạnh, đường cong phẳng hơn, gần như tuyến tính. Điểm uốn không dịch chuyển đơn điệu theo chất lượng thể chế mà phân tán quanh mức ~40%. Kênh thứ hai là thay thế số cho thể chế (digital-for-institutional substitution): nơi thể chế chính thức cung cấp đầy đủ cơ chế thực thi hợp đồng, bảo vệ sở hữu trí tuệ và thông tin thị trường, công cụ số chỉ bổ sung biên; nơi khoảng trống thể chế ngự trị, công cụ số lại trở thành một sự thay thế đáng kể cho các cơ chế chính thức còn thiếu, qua đó vai trò định hình đường cong của DAI mạnh hơn ở nhóm thể chế yếu. Đây chính là cơ sở của giả thuyết H5 và là phần mở rộng đa quốc gia của logic khoảng trống thể chế (Khanna &amp; Palepu, 2010) vào lĩnh vực số.</w:t>
      </w:r>
    </w:p>
    <w:p>
      <w:pPr>
        <w:pStyle w:val="BodyText"/>
      </w:pPr>
      <w:r>
        <w:t xml:space="preserve">Một hệ quả quan trọng của khung ICRV là khả năng phân tách hiệu ứng thể chế khỏi hiệu ứng thời kỳ. Vì sáu chế độ thể chế cùng tồn tại trong cùng một khoảng thời gian và trên cùng một nguồn dữ liệu chuẩn hóa, châu Á giai đoạn 2009-2025 trở thành một phòng thí nghiệm tự nhiên hiếm có, cho phép kiểm định những điều mà các nghiên cứu đơn quốc gia không thể làm được. Nhóm VI, các đảo nhỏ Thái Bình Dương, giữ vai trò đặc biệt như một điều kiện biên cực trị, nơi ba điều kiện cấu trúc cơ bản của chữ U ngược có thể cùng bị vi phạm, làm quan hệ I-P có nguy cơ sụp đổ thành âm đơn điệu. Vai trò điều kiện biên này được khai thác trực tiếp trong giả thuyết H1b ở Mục 2.5.</w:t>
      </w:r>
    </w:p>
    <w:p>
      <w:r>
        <w:pict>
          <v:rect style="width:0;height:1.5pt" o:hralign="center" o:hrstd="t" o:hr="t"/>
        </w:pict>
      </w:r>
    </w:p>
    <w:bookmarkEnd w:id="53"/>
    <w:bookmarkEnd w:id="54"/>
    <w:bookmarkStart w:id="59" w:name="X52add7d9c26df1a0ee9246e27f0ddc5834590fe"/>
    <w:p>
      <w:pPr>
        <w:pStyle w:val="Heading2"/>
      </w:pPr>
      <w:r>
        <w:t xml:space="preserve">2.4 Tổng quan thực nghiệm quan hệ quốc tế hóa-hiệu quả</w:t>
      </w:r>
    </w:p>
    <w:p>
      <w:pPr>
        <w:pStyle w:val="FirstParagraph"/>
      </w:pPr>
      <w:r>
        <w:t xml:space="preserve">Phần này lược khảo bằng chứng thực nghiệm về quan hệ I-P theo bốn lớp: tranh luận về dạng hàm, bằng chứng từ các phân tích tổng hợp, bối cảnh châu Á và các nền kinh tế mới nổi, và vai trò của năng lực số. Mục tiêu là làm rõ trạng thái tri thức hiện tại để từ đó nhận diện các khoảng trống ở Mục 2.5.</w:t>
      </w:r>
    </w:p>
    <w:bookmarkStart w:id="55" w:name="tranh-luận-về-dạng-hàm-của-quan-hệ-i-p"/>
    <w:p>
      <w:pPr>
        <w:pStyle w:val="Heading3"/>
      </w:pPr>
      <w:r>
        <w:t xml:space="preserve">2.4.1 Tranh luận về dạng hàm của quan hệ I-P</w:t>
      </w:r>
    </w:p>
    <w:p>
      <w:pPr>
        <w:pStyle w:val="FirstParagraph"/>
      </w:pPr>
      <w:r>
        <w:t xml:space="preserve">Nghiên cứu về quan hệ I-P đã trải qua hơn bốn thập kỷ phát triển, với những thay đổi đáng kể cả về câu hỏi, phương pháp lẫn kết luận lý thuyết. Tài liệu không hội tụ về một dạng hàm duy nhất mà ghi nhận ít nhất năm dạng riêng biệt, và chính sự tồn tại song song của năm dạng này, chứ không phải bản thân từng dạng, mới là dữ kiện cần được giải thích (Contractor, 2012).</w:t>
      </w:r>
    </w:p>
    <w:p>
      <w:pPr>
        <w:pStyle w:val="BodyText"/>
      </w:pPr>
      <w:r>
        <w:t xml:space="preserve">Dạng hàm thứ nhất là tuyến tính dương. Các nghiên cứu sớm như Hsu và Boggs (2003) tìm thấy hiệu quả tăng đơn điệu theo mức độ quốc tế hóa, với logic nền tảng là lợi ích quy mô, đa dạng hóa doanh thu và tiếp cận thị trường lớn hơn (Grant, 1987; Kim et al., 1989). Đây thường là kết quả đặc thù của các mẫu có cường độ xuất khẩu thấp hoặc phân tán hẹp.</w:t>
      </w:r>
    </w:p>
    <w:p>
      <w:pPr>
        <w:pStyle w:val="BodyText"/>
      </w:pPr>
      <w:r>
        <w:t xml:space="preserve">Dạng hàm thứ hai là chữ U ngược.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Điểm uốn thực nghiệm thường nằm trong khoảng 30-60% FSTS, và đây là dạng hàm phổ biến nhất trong các tổng quan định lượng (Marano et al., 2016).</w:t>
      </w:r>
    </w:p>
    <w:p>
      <w:pPr>
        <w:pStyle w:val="BodyText"/>
      </w:pPr>
      <w:r>
        <w:t xml:space="preserve">Dạng hàm thứ ba là đường cong chữ S ba giai đoạn. Contractor et al. (2003) cùng Lu và Beamish (2004) phát triển lý thuyết ba giai đoạn: hiệu quả giảm ở giai đoạn thâm nhập ban đầu do chi phí học hỏi và thiết lập; tăng ở giai đoạn khai thác nhờ học hỏi tích lũy và quy mô; rồi lại giảm ở giai đoạn mở rộng quá mức khi chi phí phức tạp vượt quá lợi ích. Dạng chữ S đòi hỏi hệ số</w:t>
      </w:r>
      <w:r>
        <w:t xml:space="preserve"> </w:t>
      </w:r>
      <m:oMath>
        <m:sSub>
          <m:e>
            <m:r>
              <m:t>β</m:t>
            </m:r>
          </m:e>
          <m:sub>
            <m:r>
              <m:t>1</m:t>
            </m:r>
          </m:sub>
        </m:sSub>
      </m:oMath>
      <w:r>
        <w:t xml:space="preserve"> </w:t>
      </w:r>
      <w:r>
        <w:t xml:space="preserve">của FSTS dương,</w:t>
      </w:r>
      <w:r>
        <w:t xml:space="preserve"> </w:t>
      </w:r>
      <m:oMath>
        <m:sSub>
          <m:e>
            <m:r>
              <m:t>β</m:t>
            </m:r>
          </m:e>
          <m:sub>
            <m:r>
              <m:t>2</m:t>
            </m:r>
          </m:sub>
        </m:sSub>
      </m:oMath>
      <w:r>
        <w:t xml:space="preserve"> </w:t>
      </w:r>
      <w:r>
        <w:t xml:space="preserve">của FSTS² âm, và</w:t>
      </w:r>
      <w:r>
        <w:t xml:space="preserve"> </w:t>
      </w:r>
      <m:oMath>
        <m:sSub>
          <m:e>
            <m:r>
              <m:t>β</m:t>
            </m:r>
          </m:e>
          <m:sub>
            <m:r>
              <m:t>3</m:t>
            </m:r>
          </m:sub>
        </m:sSub>
      </m:oMath>
      <w:r>
        <w:t xml:space="preserve"> </w:t>
      </w:r>
      <w:r>
        <w:t xml:space="preserve">của FSTS³ dương. Bằng chứng hỗ trợ mạnh từ các công ty đa quốc gia lớn nhưng kém ổn định hơn với doanh nghiệp nhỏ và vừa.</w:t>
      </w:r>
    </w:p>
    <w:p>
      <w:pPr>
        <w:pStyle w:val="BodyText"/>
      </w:pPr>
      <w:r>
        <w:t xml:space="preserve">Dạng hàm thứ tư là chữ M với hai điểm uốn, phản ánh tính không đồng nhất của lợi ích quốc tế hóa theo loại thị trường (Riahi-Belkaoui, 1998), song bằng chứng thực nghiệm hạn chế và khó tái lập. Dạng hàm thứ năm là gánh nặng bắt buộc, biểu hiện thành quan hệ tuyến tính âm trong các nền kinh tế buộc phải quốc tế hóa do thị trường nội địa quá nhỏ; đây là pattern đặc thù của các quốc đảo nhỏ Thái Bình Dương, nơi doanh nghiệp phải xuất khẩu để tồn tại nhưng thiếu năng lực cạnh tranh (Briguglio, 1995; Bertram, 2006).</w:t>
      </w:r>
    </w:p>
    <w:p>
      <w:pPr>
        <w:pStyle w:val="BodyText"/>
      </w:pPr>
      <w:r>
        <w:t xml:space="preserve">Năm dạng hàm có thể được thống nhất dưới một khung chi phí-lợi ích đơn giản, theo đó hiệu quả là hiệu giữa hàm lợi ích và hàm chi phí của quốc tế hóa:</w:t>
      </w:r>
      <w:r>
        <w:t xml:space="preserve"> </w:t>
      </w:r>
      <m:oMath>
        <m:r>
          <m:t>P</m:t>
        </m:r>
        <m:d>
          <m:dPr>
            <m:begChr m:val="("/>
            <m:endChr m:val=")"/>
            <m:sepChr m:val=""/>
            <m:grow/>
          </m:dPr>
          <m:e>
            <m:r>
              <m:rPr>
                <m:nor/>
                <m:sty m:val="p"/>
              </m:rPr>
              <m:t>FSTS</m:t>
            </m:r>
          </m:e>
        </m:d>
        <m:r>
          <m:rPr>
            <m:sty m:val="p"/>
          </m:rPr>
          <m:t>=</m:t>
        </m:r>
        <m:r>
          <m:t>B</m:t>
        </m:r>
        <m:d>
          <m:dPr>
            <m:begChr m:val="("/>
            <m:endChr m:val=")"/>
            <m:sepChr m:val=""/>
            <m:grow/>
          </m:dPr>
          <m:e>
            <m:r>
              <m:rPr>
                <m:nor/>
                <m:sty m:val="p"/>
              </m:rPr>
              <m:t>FSTS</m:t>
            </m:r>
          </m:e>
        </m:d>
        <m:r>
          <m:rPr>
            <m:sty m:val="p"/>
          </m:rPr>
          <m:t>−</m:t>
        </m:r>
        <m:r>
          <m:t>C</m:t>
        </m:r>
        <m:d>
          <m:dPr>
            <m:begChr m:val="("/>
            <m:endChr m:val=")"/>
            <m:sepChr m:val=""/>
            <m:grow/>
          </m:dPr>
          <m:e>
            <m:r>
              <m:rPr>
                <m:nor/>
                <m:sty m:val="p"/>
              </m:rPr>
              <m:t>FSTS</m:t>
            </m:r>
          </m:e>
        </m:d>
      </m:oMath>
      <w:r>
        <w:t xml:space="preserve">. Sự khác biệt giữa các dạng hàm nằm ở hình dạng của hai hàm thành phần này, vốn biến thiên theo bối cảnh thể chế, năng lực doanh nghiệp và giai đoạn số hóa. Cách nhìn hợp nhất này lý giải vì sao một khung điều tiết đa tầng, chứ không phải một dạng hàm cố định, mới là cách tiếp cận đúng đắn.</w:t>
      </w:r>
    </w:p>
    <w:bookmarkEnd w:id="55"/>
    <w:bookmarkStart w:id="56" w:name="bằng-chứng-từ-các-phân-tích-tổng-hợp"/>
    <w:p>
      <w:pPr>
        <w:pStyle w:val="Heading3"/>
      </w:pPr>
      <w:r>
        <w:t xml:space="preserve">2.4.2 Bằng chứng từ các phân tích tổng hợp</w:t>
      </w:r>
    </w:p>
    <w:p>
      <w:pPr>
        <w:pStyle w:val="FirstParagraph"/>
      </w:pPr>
      <w:r>
        <w:t xml:space="preserve">Bước tiến phương pháp đáng kể nhất của tài liệu I-P là sự ra đời của các phân tích tổng hợp, vốn cho phép gộp và định lượng kết quả từ hàng trăm nghiên cứu thực nghiệm riêng lẻ, nhờ đó lọc bớt nhiễu mà từng mẫu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68 nghiên cứu giai đoạn 1980-2005 và tìm thấy tác động trung bình rất nhỏ (r</w:t>
      </w:r>
      <w:r>
        <w:t xml:space="preserve"> </w:t>
      </w:r>
      <m:oMath>
        <m:r>
          <m:rPr>
            <m:sty m:val="p"/>
          </m:rPr>
          <m:t>≈</m:t>
        </m:r>
      </m:oMath>
      <w:r>
        <w:t xml:space="preserve"> </w:t>
      </w:r>
      <w:r>
        <w:t xml:space="preserve">0,045, không đáng kể) nhưng với độ biến động cao; họ xác nhận rằng các biến điều tiết thể chế và văn hóa giải thích phần phương sai lớn hơn nhiều so với biến điều tiết cấp doanh nghiệp, song mẫu thiếu đại diện châu Á và không kiểm định phi tuyến có hệ thống. Kirca et al. (2012) tổng hợp 180 nghiên cứu với 824 mức độ ảnh hưởng, tìm thấy quan hệ dương trung bình với điều tiết đáng kể từ loại hình quốc tế hóa, thước đo hiệu quả và thuộc tính doanh nghiệp, trong đó cường độ R&amp;D là biến điều tiết cấp doanh nghiệp mạnh nhất; hạn chế là thiếu bằng chứng châu Á và không bao gồm các nền kinh tế cận biên hay đảo nhỏ.</w:t>
      </w:r>
    </w:p>
    <w:p>
      <w:pPr>
        <w:pStyle w:val="BodyText"/>
      </w:pPr>
      <w:r>
        <w:t xml:space="preserve">Marano et al. (2016) là công trình tập trung vào thể chế toàn diện nhất, với 170 nghiên cứu thuộc 32 quốc gia, chứng minh rằng chất lượng thể chế quốc gia nguồn điều tiết đáng kể quan hệ I-P; đây là nền tảng quan trọng nhất ủng hộ dải biến thiên ICRV trong giả thuyết H5, song nghiên cứu không phân tách TCI với DAI và không có dữ liệu sau 2015. Wu et al. (2022) tổng hợp 20 năm bằng chứng từ doanh nghiệp đa quốc gia thị trường mới nổi và tìm thấy điểm uốn thấp hơn so với doanh nghiệp từ nền kinh tế phát triển khoảng 12-18% FSTS, do khoảng cách về năng lực hấp thụ; nghiên cứu không kiểm định giai đoạn số hóa và không dùng dữ liệu vi mô WBES.</w:t>
      </w:r>
    </w:p>
    <w:p>
      <w:pPr>
        <w:pStyle w:val="BodyText"/>
      </w:pPr>
      <w:r>
        <w:t xml:space="preserve">Tổng kết bằng chứng tổng hợp gợi ra ba kết luận. Tác động trung bình I-P là dương nhưng khiêm tốn, vào khoảng r = 0,04-0,07; mức dị biệt giữa các nghiên cứu thì cực kỳ cao; và các yếu tố điều tiết bối cảnh, nhất là thể chế quốc gia, năng lực doanh nghiệp và đặc điểm ngành, mới là nguồn giải thích chính cho sự khác biệt. Luận án mở rộng dòng nghiên cứu này qua Nghiên cứu phân tích tổng hợp, một phân tích tổng hợp ba tầng theo giao thức PRISMA 2020 với k = 238 nghiên cứu và K = 288 mức độ ảnh hưởng từ châu Á và Thái Bình Dương. phân tích tổng hợp ước lượng tác động tổng hợp r = 0,074 (khoảng tin cậy 95%: 0,060; 0,088), với I² = 62,4%, tái lập và mở rộng mức cơ sở trước đó (r = 0,07, k = 113). Kiểm định khác biệt giữa các chế độ ICRV có ý nghĩa thống kê (Q_M = 17,35, df = 4, p = 0,002), xác nhận rằng dải biến thiên thể chế là một nguồn dị biệt thực chất, dù khác biệt từng cặp phần nào phản ánh thành phần nghiên cứu đơn quốc gia so với đa quốc gia. phân tích tổng hợp cũng phát hiện thiên lệch xuất bản đáng kể: phương pháp trim-and-fill bổ khuyết 58 nghiên cứu còn thiếu, kéo tác động tổng hợp điều chỉnh xuống r = 0,035, vẫn dương nhưng bị suy giảm. Kết quả này vừa xác nhận tác động dương nhỏ và bền vững, vừa nhấn mạnh rằng giá trị thực sự của nghiên cứu I-P nằm ở việc giải thích dị biệt, chứ không phải ở việc đo lại hiệu ứng trung bình.</w:t>
      </w:r>
    </w:p>
    <w:bookmarkEnd w:id="56"/>
    <w:bookmarkStart w:id="57" w:name="X2dab31dc90ae94a491c7104c141028484c6eeaa"/>
    <w:p>
      <w:pPr>
        <w:pStyle w:val="Heading3"/>
      </w:pPr>
      <w:r>
        <w:t xml:space="preserve">2.4.3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các nền kinh tế cận biên với chất lượng quản trị rất yếu, từ Nhật Bản và Hàn Quốc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Tổng hợp bằng chứng đơn quốc gia ở châu Á cho thấy một bức tranh phân mảnh: có nghiên cứu báo cáo quan hệ dương, có nghiên cứu tìm thấy chữ U ngược, lại có nghiên cứu cho kết quả null hoặc âm. Phản ứng quen thuộc của tài liệu là viện đến bối cảnh như một biến điều tiết, nhưng cách làm đó để ngỏ câu hỏi sâu hơn: nếu quan hệ I-P là phi tuyến, thì điều gì quyết định hình dạng và độ cong của nó, và vì sao độ cong đó khác nhau có hệ thống giữa các doanh nghiệp và nền kinh tế?</w:t>
      </w:r>
    </w:p>
    <w:p>
      <w:pPr>
        <w:pStyle w:val="BodyText"/>
      </w:pPr>
      <w:r>
        <w:t xml:space="preserve">Do và Phan (2026a) hiện là một trong những nghiên cứu thực nghiệm đa quốc gia quy mô lớn nhất về I-P trong bối cảnh châu Á mới nổi, phân tích khoảng 40.633 doanh nghiệp từ 17 nền kinh tế châu Á trên dữ liệu WBES. Nghiên cứu này tìm thấy hai điều. Một là có sự phân tầng năng suất rõ rệt giữa các nhóm nền kinh tế, phản ánh dị biệt về thể chế và năng lực. Hai là việc áp dụng công nghệ vừa trực tiếp nâng năng suất lao động, vừa làm dịu đáng kể tác động bất lợi của các rào cản thể chế, một phát hiện có thể gọi là hiệu ứng thay thế số cho thể chế. Các nghiên cứu đơn quốc gia đồng hành làm sắc nét thêm bức tranh này. Trên dữ liệu Việt Nam (Việt Nam), quan hệ chữ U ngược được xác nhận trong cả ba sóng khảo sát 2009, 2015 và 2023, với điểm uốn cụm quanh 39-46% FSTS, một dải bền vững xuyên 14 năm; điều đáng chú ý là tính phi tuyến này chủ yếu phản ánh hiệu ứng biên tham gia, tức bước nhảy năng suất khi doanh nghiệp chuyển từ không xuất khẩu sang xuất khẩu, bởi khi giới hạn mẫu vào riêng nhóm doanh nghiệp xuất khẩu thì số hạng bình phương mất ý nghĩa thống kê. Trên dữ liệu Trung Quốc (Trung Quốc), quan hệ chữ U ngược bền vững về cấu trúc, với điểm uốn 49,4% năm 2012 và 47,2% năm 2024, và kiểm định Paternoster không bác bỏ giả thuyết hai điểm uốn bằng nhau. Trên dữ liệu Singapore (Singapore), quan hệ chủ yếu dương với điểm uốn hàm ý rất muộn ở khoảng 82% FSTS, nhất quán với lợi ích gần như đơn điệu trong một nền kinh tế thể chế mạnh và bão hòa số.</w:t>
      </w:r>
    </w:p>
    <w:p>
      <w:pPr>
        <w:pStyle w:val="BodyText"/>
      </w:pPr>
      <w:r>
        <w:t xml:space="preserve">Dù vậy, phần lớn nghiên cứu về I-P tại châu Á vẫn dồn vào Nhật Bản, Hàn Quốc, Đài Loan và Trung Quốc.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57"/>
    <w:bookmarkStart w:id="58" w:name="X19b85129f5d3c3c6ba5e5d3775f0e2dd7d21f4b"/>
    <w:p>
      <w:pPr>
        <w:pStyle w:val="Heading3"/>
      </w:pPr>
      <w:r>
        <w:t xml:space="preserve">2.4.4 Vai trò của năng lực số trong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 Li et al. (2022) trên dữ liệu doanh nghiệp sản xuất Trung Quốc cũng xác nhận tương tác tích cực giữa số hóa, quốc tế hóa và hiệu quả.</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Bằng chứng từ chuỗi nghiên cứu đồng hành cho thấy việc tách bạch là cần thiết. Ở Việt Nam (Việt Nam), biến đại diện số tầng một đi theo một quỹ đạo lỗi thời hóa: dương năm 2009, null năm 2015, và tương tác âm năm 2023 khi tỷ lệ sở hữu trang web tiến đến mức gần phổ cập; biến công cụ cho biến số này cho kết quả null, hàm ý hiệu ứng chấp nhận số phụ thuộc chọn lựa chứ không phải nhân quả. Ở Singapore (Singapore), trong nền kinh tế bão hòa số, DAI không tạo phần thưởng đồng nhất mà hoạt động như một năng lực phụ thuộc bối cảnh, chỉ phát huy ở cường độ xuất khẩu cao nơi nhu cầu điều phối xuyên biên giới dày đặc, với hệ số tương tác giữa DAI và bình phương FSTS dương mạnh. Sự khác biệt giữa hai bối cảnh này, một bên là nền kinh tế chuyển đổi với DAI chưa bão hòa và một bên là nền kinh tế phát triển đã bão hòa số, chính là cơ sở thực nghiệm cho mô hình phụ thuộc bối cảnh được phát triển ở Mục 2.5.</w:t>
      </w:r>
    </w:p>
    <w:p>
      <w:r>
        <w:pict>
          <v:rect style="width:0;height:1.5pt" o:hralign="center" o:hrstd="t" o:hr="t"/>
        </w:pict>
      </w:r>
    </w:p>
    <w:bookmarkEnd w:id="58"/>
    <w:bookmarkEnd w:id="59"/>
    <w:bookmarkStart w:id="64" w:name="X571aebe6b94c63b04e26a653f6b78348d98b3f9"/>
    <w:p>
      <w:pPr>
        <w:pStyle w:val="Heading2"/>
      </w:pPr>
      <w:r>
        <w:t xml:space="preserve">2.5 Khoảng trống nghiên cứu và khung khái niệm, giả thuyết của luận án</w:t>
      </w:r>
    </w:p>
    <w:bookmarkStart w:id="60" w:name="các-khoảng-trống-nghiên-cứu"/>
    <w:p>
      <w:pPr>
        <w:pStyle w:val="Heading3"/>
      </w:pPr>
      <w:r>
        <w:t xml:space="preserve">2.5.1 Các khoảng trống nghiên cứu</w:t>
      </w:r>
    </w:p>
    <w:p>
      <w:pPr>
        <w:pStyle w:val="FirstParagraph"/>
      </w:pPr>
      <w:r>
        <w:t xml:space="preserve">Trên cơ sở tổng quan lý thuyết và thực nghiệm ở các phần trước, luận án xác định ba khoảng trống nghiên cứu chính.</w:t>
      </w:r>
    </w:p>
    <w:p>
      <w:pPr>
        <w:pStyle w:val="BodyText"/>
      </w:pPr>
      <w:r>
        <w:t xml:space="preserve">Khoảng trống thứ nhất là thiếu một khung tích hợp đa tầng để giải thích sự dị biệt trong quan hệ I-P. Các phân tích tổng hợp nhất quán cho thấy mức dị biệt rất cao, tức phần lớn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Bậc trên, đủ sức bao quát trọn vẹn sự phức tạp của quan hệ I-P trong một bối cảnh đa quốc gia đa dạng như châu Á.</w:t>
      </w:r>
    </w:p>
    <w:p>
      <w:pPr>
        <w:pStyle w:val="BodyText"/>
      </w:pPr>
      <w:r>
        <w:t xml:space="preserve">Khoảng trống thứ hai là sự đồng nhất thiếu hợp lý giữa TCI và DAI trong phần lớn nghiên cứu trước. Đa số nghiên cứu về năng lực số trong bối cảnh I-P hoặc bỏ qua việc đo lường năng lực số, hoặc gộp mọi chỉ báo số vào một chỉ số tổng hợp duy nhất, không tách chiều sâu năng lực công nghệ của tổ chức khỏi mức chấp nhận công cụ số bề mặt.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w:t>
      </w:r>
    </w:p>
    <w:p>
      <w:pPr>
        <w:pStyle w:val="BodyText"/>
      </w:pPr>
      <w:r>
        <w:t xml:space="preserve">Khoảng trống thứ ba là thiếu bằng chứng liên quốc gia quy mô lớn, toàn diện và có cấu trúc cho châu Á. 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các nền kinh tế tiên tiến, dễ bị áp dụng sai trong bối cảnh các nền kinh tế đang phát triển và chuyển đổi.</w:t>
      </w:r>
    </w:p>
    <w:p>
      <w:pPr>
        <w:pStyle w:val="BodyText"/>
      </w:pPr>
      <w:r>
        <w:t xml:space="preserve">Ba khoảng trống này hội tụ vào một hướng giải quyết chung: cần phát triển và kiểm định một khung giải thích tích hợp đa tầng trên dữ liệu đa quốc gia đủ rộng và đủ đa dạng về thể chế để bao phủ toàn bộ dải biến thiên thể chế của châu Á. Luận án đề xuất khung CDCM (Context-Contingent Digital-and-Capability Model, Mô hình năng lực và chấp nhận số phụ thuộc bối cảnh), một khung lý thuyết tích hợp đa tầng kết hợp bốn thành phần: bối cảnh thể chế ở tầng vĩ mô, được vận hành hóa bằng ICRV; năng lực doanh nghiệp ở tầng tổ chức, với TCI và DAI tách riêng; đặc điểm nhà quản trị cấp cao ở tầng cá nhân, đưa vào như khối kiểm soát quản trị nội sinh; và lớp mở rộng năng lực số. Trong khung này, FSTS là biến độc lập chính và năng suất lao động là biến phụ thuộc.</w:t>
      </w:r>
    </w:p>
    <w:bookmarkEnd w:id="60"/>
    <w:bookmarkStart w:id="61" w:name="mô-hình-khái-niệm"/>
    <w:p>
      <w:pPr>
        <w:pStyle w:val="Heading3"/>
      </w:pPr>
      <w:r>
        <w:t xml:space="preserve">2.5.2 Mô hình khái niệm</w:t>
      </w:r>
    </w:p>
    <w:p>
      <w:pPr>
        <w:pStyle w:val="FirstParagraph"/>
      </w:pPr>
      <w:r>
        <w:t xml:space="preserve">Mô hình khái niệm của luận án vận hành theo logic đa tầng: quan hệ trung tâm giữa quốc tế hóa (FSTS) và hiệu quả hoạt động kinh doanh, đo bằng năng suất lao động, được điều tiết bởi bốn nhân tố điều tiết trọng tâm là TCI (H2), DAI (H3), chế độ thể chế ICRV (H5) và thời gian (H6), cùng với lớp mở rộng năng lực số xuyên suốt; đặc điểm nhà quản trị cấp cao ở tầng cá nhân được đưa vào như khối kiểm soát quản trị nội sinh chứ không phải một tầng điều tiết trọng tâm.</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đã nêu ở Mục 2.3: mức độ khoảng trống thể chế chi phối chi phí giao dịch xuyên biên giới, còn chất lượng thể chế chi phối độ cong của đường cong. Ở các nền kinh tế cận biên và đảo nhỏ, khoảng trống thể chế quá lớn có thể đảo ngược quan hệ I-P, biến lợi ích tiềm năng thành tổn thất thực tế.</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DAI đóng vai trò một bộ đệm phối hợp số: ở mức FSTS cao, DAI giúp giảm chi phí điều phối xuyên biên giới và làm dịu mức suy giảm hiệu quả sau điểm uốn.</w:t>
      </w:r>
    </w:p>
    <w:p>
      <w:pPr>
        <w:pStyle w:val="BodyText"/>
      </w:pPr>
      <w:r>
        <w:t xml:space="preserve">Ở tầng cá nhân là đặc điểm nhà quản trị cấp cao, gồm kinh nghiệm, học vấn và giới tính nhà quản trị, được đưa vào như khối kiểm soát quản trị nội sinh nâng mặt bằng hiệu quả, không phải nhân tố điều tiết trọng tâm định hình độ cong của đường quan hệ I-P. Kinh nghiệm quốc tế của nhà quản trị giảm chi phí nhận thức của gánh nặng người nước ngoài; sự hiện diện của quản trị viên nữ làm tăng tính đa dạng nhận thức và sự thận trọng trong quản trị rủi ro quốc tế. Vì năng lực và sự đa dạng giới của nhà quản trị có thể đồng thời tác động đến quyết định xuất khẩu, đến năng lực công nghệ và đến năng suất, việc kiểm soát các đặc điểm này, thay vì đặt chúng làm trục điều tiết, khóa chặt thiên lệch nội sinh và bảo vệ tính nhân quả thuần khiết của tương tác Thể chế × Công nghệ.</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w:t>
      </w:r>
    </w:p>
    <w:bookmarkEnd w:id="61"/>
    <w:bookmarkStart w:id="62" w:name="hệ-giả-thuyết-h1-h6"/>
    <w:p>
      <w:pPr>
        <w:pStyle w:val="Heading3"/>
      </w:pPr>
      <w:r>
        <w:t xml:space="preserve">2.5.3 Hệ giả thuyết H1-H6</w:t>
      </w:r>
    </w:p>
    <w:p>
      <w:pPr>
        <w:pStyle w:val="FirstParagraph"/>
      </w:pPr>
      <w:r>
        <w:t xml:space="preserve">Trên nền tảng khung CDCM, luận án phát triển sáu giả thuyết chính cùng một điều kiện biên.</w:t>
      </w:r>
    </w:p>
    <w:p>
      <w:pPr>
        <w:pStyle w:val="BodyText"/>
      </w:pPr>
      <w:r>
        <w:rPr>
          <w:bCs/>
          <w:b/>
        </w:rPr>
        <w:t xml:space="preserve">Giả thuyết H1 (phi tuyến chữ U ngược).</w:t>
      </w:r>
      <w:r>
        <w:t xml:space="preserve"> </w:t>
      </w:r>
      <w:r>
        <w:t xml:space="preserve">Mô hình Uppsala (Johanson &amp; Vahlne, 1977) cho rằng doanh nghiệp gánh chi phí học hỏi và chi phí của gánh nặng người nước ngoài rất cao ở giai đoạn đầu quốc tế hóa. RBV (Barney, 1991) dự báo lợi thế cạnh tranh tích lũy dần khi doanh nghiệp khai thác lợi thế quy mô và học hỏi ở giai đoạn giữa. Đến giai đoạn mở rộng quá mức, chi phí điều phối đa thị trường vượt quá lợi ích. Bằng chứng thực nghiệm xác nhận quan hệ chữ U ngược (Hitt et al., 1997) rồi tinh chỉnh thành đường cong chữ S ba giai đoạn (Contractor et al., 2003; Lu &amp; Beamish, 2004); bằng chứng đa quốc gia của luận án xác nhận chữ U ngược bền vững với điểm uốn trung bình khoảng 37% FSTS. Từ đó:</w:t>
      </w:r>
      <w:r>
        <w:t xml:space="preserve"> </w:t>
      </w:r>
      <w:r>
        <w:rPr>
          <w:iCs/>
          <w:i/>
        </w:rPr>
        <w:t xml:space="preserve">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p>
      <w:pPr>
        <w:pStyle w:val="BodyText"/>
      </w:pPr>
      <w:r>
        <w:rPr>
          <w:bCs/>
          <w:b/>
        </w:rPr>
        <w:t xml:space="preserve">Điều kiện biên H1b (gánh nặng quốc tế hóa bắt buộc tại đảo nhỏ Thái Bình Dương).</w:t>
      </w:r>
      <w:r>
        <w:t xml:space="preserve"> </w:t>
      </w:r>
      <w:r>
        <w:t xml:space="preserve">H1 ngầm giả định ba điều kiện cấu trúc được đáp ứng: thị trường nội địa đủ lớn để doanh nghiệp có nền tảng hiệu suất trước khi xuất khẩu; chi phí thương mại ở mức chấp nhận được; và có hỗ trợ thể chế tối thiểu cho hoạt động trao đổi quốc tế. Tại các nền kinh tế đảo nhỏ Thái Bình Dương (Nhóm VI ICRV), cả ba điều kiện này đồng thời bị vi phạm: thị trường nội địa cực nhỏ buộc doanh nghiệp xuất khẩu không phải vì lợi thế cạnh tranh mà vì cầu nội địa không đủ duy trì hoạt động; chi phí hậu cần cực cao do địa lý đảo xa và phân tán; và hỗ trợ thể chế cho hậu cần, tài chính thương mại và xúc tiến xuất khẩu thiếu hụt nghiêm trọng. Khi đó, quan hệ I-P có thể chuyển thành quan hệ âm đơn điệu không có điểm uốn. Từ đó:</w:t>
      </w:r>
      <w:r>
        <w:t xml:space="preserve"> </w:t>
      </w:r>
      <w:r>
        <w:rPr>
          <w:iCs/>
          <w:i/>
        </w:rPr>
        <w:t xml:space="preserve">Tại các nền kinh tế đảo nhỏ Thái Bình Dương (ICRV Nhóm VI), quan hệ giữa FSTS và năng suất lao động là âm đơn điệu, không có điểm uốn trong phạm vi dữ liệu, phản ánh gánh nặng quốc tế hóa bắt buộc (forced internationalization penalty), nơi doanh nghiệp xuất khẩu để sinh tồn chứ không phải để khai thác lợi thế cạnh tranh.</w:t>
      </w:r>
      <w:r>
        <w:t xml:space="preserve"> </w:t>
      </w:r>
      <w:r>
        <w:t xml:space="preserve">Cơ sở lý thuyết gồm lý thuyết thể chế (North, 1990), lý thuyết chi phí giao dịch (Williamson, 2000), lập luận của Khanna và Palepu (2010) về khoảng trống thể chế, và phân tích về các ràng buộc cấu trúc của quốc đảo nhỏ (Briguglio, 1995; Bertram, 2006).</w:t>
      </w:r>
    </w:p>
    <w:p>
      <w:pPr>
        <w:pStyle w:val="BodyText"/>
      </w:pPr>
      <w:r>
        <w:rPr>
          <w:bCs/>
          <w:b/>
        </w:rPr>
        <w:t xml:space="preserve">Giả thuyết H2 (điều tiết bởi năng lực công nghệ).</w:t>
      </w:r>
      <w:r>
        <w:t xml:space="preserve"> </w:t>
      </w: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Bhandari et al. (2023) cho thấy năng lực số điều tiết tích cực quan hệ I-P; bằng chứng đồng hành xác nhận hệ số TCI dương và bền vững tại Việt Nam, qua biến công cụ, và tại Trung Quốc, với hiệu ứng tăng dần theo thời gian. Cơ chế là nâng mặt bằng hiệu quả. Từ đó:</w:t>
      </w:r>
      <w:r>
        <w:t xml:space="preserve"> </w:t>
      </w:r>
      <w:r>
        <w:rPr>
          <w:iCs/>
          <w:i/>
        </w:rPr>
        <w:t xml:space="preserve">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độ cong của đường cong.</w:t>
      </w:r>
    </w:p>
    <w:p>
      <w:pPr>
        <w:pStyle w:val="BodyText"/>
      </w:pPr>
      <w:r>
        <w:rPr>
          <w:bCs/>
          <w:b/>
        </w:rPr>
        <w:t xml:space="preserve">Giả thuyết H3 (điều tiết bởi chỉ số chấp nhận số).</w:t>
      </w:r>
      <w:r>
        <w:t xml:space="preserve"> </w:t>
      </w: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Bustamante et al. (2022) cho thấy công cụ số hạ chi phí thâm nhập thị trường ngoài; bằng chứng đa quốc gia của luận án cho thấy DAI vừa nâng mặt bằng hiệu quả, vừa làm phẳng và dịch chuyển đường cong, nén lợi ích ở cường độ xuất khẩu thấp và làm dịu suy giảm ở cường độ xuất khẩu cao. Từ đó:</w:t>
      </w:r>
      <w:r>
        <w:t xml:space="preserve"> </w:t>
      </w:r>
      <w:r>
        <w:rPr>
          <w:iCs/>
          <w:i/>
        </w:rPr>
        <w:t xml:space="preserve">Chỉ số chấp nhận số (DAI) điều tiết quan hệ I-P bằng cách làm thay đổi độ dốc và độ cong của đường quan hệ, rõ nhất ở mức cường độ xuất khẩu cao, chứ không nhất thiết theo cùng cơ chế nâng mặt bằng như TCI.</w:t>
      </w:r>
      <w:r>
        <w:t xml:space="preserve"> </w:t>
      </w:r>
      <w:r>
        <w:t xml:space="preserve">Việc tách bạch cơ chế giữa H2 và H3 chính là đóng góp lý thuyết cho phép phân biệt TCI với DAI trong mô hình thực nghiệm.</w:t>
      </w:r>
    </w:p>
    <w:p>
      <w:pPr>
        <w:pStyle w:val="BodyText"/>
      </w:pPr>
      <w:r>
        <w:rPr>
          <w:bCs/>
          <w:b/>
        </w:rPr>
        <w:t xml:space="preserve">Giả thuyết H4 (kiểm soát quản trị nội sinh: đặc điểm nhà quản trị cấp cao).</w:t>
      </w:r>
      <w:r>
        <w:t xml:space="preserve"> </w:t>
      </w:r>
      <w:r>
        <w:t xml:space="preserve">Lý thuyết Bậc trên (Hambrick &amp; Mason, 1984; Hambrick, 2007) cho rằng các quyết định chiến lược, trong đó có quốc tế hóa, phản ánh đặc điểm nhận thức, kinh nghiệm và giá trị của nhà quản trị cấp cao.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Vì năng lực và sự đa dạng giới của nhà quản trị có thể đồng thời tác động đến quyết định xuất khẩu, đến năng lực công nghệ và đến năng suất, khung của luận án không nâng các đặc điểm này thành một trục điều tiết trọng tâm định hình độ cong của đường quan hệ I-P, mà đưa vào như nhóm biến kiểm soát quản trị nội sinh nhằm khóa chặt thiên lệch nội sinh và bảo vệ tính nhân quả thuần khiết của tương tác Thể chế × Công nghệ. Từ đó:</w:t>
      </w:r>
      <w:r>
        <w:t xml:space="preserve"> </w:t>
      </w:r>
      <w:r>
        <w:rPr>
          <w:iCs/>
          <w:i/>
        </w:rPr>
        <w:t xml:space="preserve">Kinh nghiệm quản trị và sự hiện diện của nhà quản trị nữ ở cấp cao nâng mặt bằng hiệu quả hoạt động và được đưa vào như nhóm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rPr>
          <w:bCs/>
          <w:b/>
        </w:rPr>
        <w:t xml:space="preserve">Giả thuyết H5 (điều tiết bởi bối cảnh thể chế ICRV).</w:t>
      </w:r>
      <w:r>
        <w:t xml:space="preserve"> </w:t>
      </w: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và độ cong của đường cong I-P. Marano et al. (2016) xác nhận thể chế quốc gia nguồn là biến điều tiết quan trọng nhất, có thể chi phối đáng kể độ cong của đường cong I-P. Cơ chế là dải biến thiên của chi phí giao dịch, trong đó năng lực số có thể đóng vai trò thay thế một phần khoảng trống thể chế. Từ đó:</w:t>
      </w:r>
      <w:r>
        <w:t xml:space="preserve"> </w:t>
      </w:r>
      <w:r>
        <w:rPr>
          <w:iCs/>
          <w:i/>
        </w:rPr>
        <w:t xml:space="preserve">Chế độ thể chế theo khung ICRV điều tiết quan hệ I-P, với điểm uốn xuất hiện sớm hơn ở các nền kinh tế thể chế mạnh và muộn hơn ở các nền kinh tế thể chế yếu; vai trò định hình đường cong của DAI mạnh hơn ở các chế độ thể chế yếu, nhất quán với cơ chế thay thế số cho thể chế.</w:t>
      </w:r>
    </w:p>
    <w:p>
      <w:pPr>
        <w:pStyle w:val="BodyText"/>
      </w:pPr>
      <w:r>
        <w:rPr>
          <w:bCs/>
          <w:b/>
        </w:rPr>
        <w:t xml:space="preserve">Giả thuyết H6 (dị biệt thời gian trong quan hệ I-P).</w:t>
      </w:r>
      <w:r>
        <w:t xml:space="preserve"> </w:t>
      </w: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Wu et al. (2022) ghi nhận điểm uốn ở doanh nghiệp thị trường mới nổi dịch chuyển theo từng giai đoạn; riêng dữ liệu Trung Quốc cho thấy điểm uốn ổn định về cấu trúc giữa năm 2012 và 2024, trong khi hiệu ứng TCI lại mạnh dần lên. Từ đó:</w:t>
      </w:r>
      <w:r>
        <w:t xml:space="preserve"> </w:t>
      </w:r>
      <w:r>
        <w:rPr>
          <w:iCs/>
          <w:i/>
        </w:rPr>
        <w:t xml:space="preserve">Hình dạng phi tuyến của quan hệ I-P, cụ thể là vị trí điểm uốn và độ cong của đường quan hệ, có thể thay đổi theo thời gian ở các nền kinh tế chuyển đổi nhanh, phản ánh sự phát triển năng lực doanh nghiệp và cải thiện thể chế qua các giai đoạn.</w:t>
      </w:r>
    </w:p>
    <w:p>
      <w:pPr>
        <w:pStyle w:val="BodyText"/>
      </w:pPr>
      <w:r>
        <w:rPr>
          <w:bCs/>
          <w:b/>
        </w:rPr>
        <w:t xml:space="preserve">Bảng 2.3.</w:t>
      </w:r>
      <w:r>
        <w:t xml:space="preserve"> </w:t>
      </w:r>
      <w:r>
        <w:rPr>
          <w:iCs/>
          <w:i/>
        </w:rPr>
        <w:t xml:space="preserve">Tóm tắt hệ giả thuyết H1-H6 và H1b: cơ chế, cơ sở lý thuyết và bằng chứng neo đậu.</w:t>
      </w:r>
    </w:p>
    <w:tbl>
      <w:tblPr>
        <w:tblStyle w:val="Table"/>
        <w:tblW w:type="pct" w:w="5000"/>
        <w:tblLook w:firstRow="1" w:lastRow="0" w:firstColumn="0" w:lastColumn="0" w:noHBand="0" w:noVBand="0" w:val="0020"/>
        <w:jc w:val="start"/>
      </w:tblPr>
      <w:tblGrid>
        <w:gridCol w:w="1377"/>
        <w:gridCol w:w="2066"/>
        <w:gridCol w:w="2066"/>
        <w:gridCol w:w="2410"/>
      </w:tblGrid>
      <w:tr>
        <w:trPr>
          <w:tblHeader w:val="true"/>
        </w:trPr>
        <w:tc>
          <w:tcPr/>
          <w:p>
            <w:pPr>
              <w:pStyle w:val="Compact"/>
              <w:jc w:val="left"/>
            </w:pPr>
            <w:r>
              <w:t xml:space="preserve">Giả thuyết</w:t>
            </w:r>
          </w:p>
        </w:tc>
        <w:tc>
          <w:tcPr/>
          <w:p>
            <w:pPr>
              <w:pStyle w:val="Compact"/>
              <w:jc w:val="left"/>
            </w:pPr>
            <w:r>
              <w:t xml:space="preserve">Nội dung cốt lõi</w:t>
            </w:r>
          </w:p>
        </w:tc>
        <w:tc>
          <w:tcPr/>
          <w:p>
            <w:pPr>
              <w:pStyle w:val="Compact"/>
              <w:jc w:val="left"/>
            </w:pPr>
            <w:r>
              <w:t xml:space="preserve">Cơ sở lý thuyết</w:t>
            </w:r>
          </w:p>
        </w:tc>
        <w:tc>
          <w:tcPr/>
          <w:p>
            <w:pPr>
              <w:pStyle w:val="Compact"/>
              <w:jc w:val="left"/>
            </w:pPr>
            <w:r>
              <w:t xml:space="preserve">Bằng chứng neo đậu</w:t>
            </w:r>
          </w:p>
        </w:tc>
      </w:tr>
      <w:tr>
        <w:tc>
          <w:tcPr/>
          <w:p>
            <w:pPr>
              <w:pStyle w:val="Compact"/>
              <w:jc w:val="left"/>
            </w:pPr>
            <w:r>
              <w:t xml:space="preserve">H1</w:t>
            </w:r>
          </w:p>
        </w:tc>
        <w:tc>
          <w:tcPr/>
          <w:p>
            <w:pPr>
              <w:pStyle w:val="Compact"/>
              <w:jc w:val="left"/>
            </w:pPr>
            <w:r>
              <w:t xml:space="preserve">Quan hệ I-P phi tuyến chữ U ngược</w:t>
            </w:r>
          </w:p>
        </w:tc>
        <w:tc>
          <w:tcPr/>
          <w:p>
            <w:pPr>
              <w:pStyle w:val="Compact"/>
              <w:jc w:val="left"/>
            </w:pPr>
            <w:r>
              <w:t xml:space="preserve">Uppsala, RBV, chi phí giao dịch</w:t>
            </w:r>
          </w:p>
        </w:tc>
        <w:tc>
          <w:tcPr/>
          <w:p>
            <w:pPr>
              <w:pStyle w:val="Compact"/>
              <w:jc w:val="left"/>
            </w:pPr>
            <w:r>
              <w:t xml:space="preserve">Hitt et al. (1997); Lu &amp; Beamish (2004); Do &amp; Phan (2026d)</w:t>
            </w:r>
          </w:p>
        </w:tc>
      </w:tr>
      <w:tr>
        <w:tc>
          <w:tcPr/>
          <w:p>
            <w:pPr>
              <w:pStyle w:val="Compact"/>
              <w:jc w:val="left"/>
            </w:pPr>
            <w:r>
              <w:t xml:space="preserve">H1b</w:t>
            </w:r>
          </w:p>
        </w:tc>
        <w:tc>
          <w:tcPr/>
          <w:p>
            <w:pPr>
              <w:pStyle w:val="Compact"/>
              <w:jc w:val="left"/>
            </w:pPr>
            <w:r>
              <w:t xml:space="preserve">Âm đơn điệu tại đảo nhỏ Thái Bình Dương</w:t>
            </w:r>
          </w:p>
        </w:tc>
        <w:tc>
          <w:tcPr/>
          <w:p>
            <w:pPr>
              <w:pStyle w:val="Compact"/>
              <w:jc w:val="left"/>
            </w:pPr>
            <w:r>
              <w:t xml:space="preserve">Lý thuyết thể chế, ràng buộc SIDS</w:t>
            </w:r>
          </w:p>
        </w:tc>
        <w:tc>
          <w:tcPr/>
          <w:p>
            <w:pPr>
              <w:pStyle w:val="Compact"/>
              <w:jc w:val="left"/>
            </w:pPr>
            <w:r>
              <w:t xml:space="preserve">North (1990); Briguglio (1995); Do &amp; Phan (2026b)</w:t>
            </w:r>
          </w:p>
        </w:tc>
      </w:tr>
      <w:tr>
        <w:tc>
          <w:tcPr/>
          <w:p>
            <w:pPr>
              <w:pStyle w:val="Compact"/>
              <w:jc w:val="left"/>
            </w:pPr>
            <w:r>
              <w:t xml:space="preserve">H2</w:t>
            </w:r>
          </w:p>
        </w:tc>
        <w:tc>
          <w:tcPr/>
          <w:p>
            <w:pPr>
              <w:pStyle w:val="Compact"/>
              <w:jc w:val="left"/>
            </w:pPr>
            <w:r>
              <w:t xml:space="preserve">TCI nâng mặt bằng hiệu quả</w:t>
            </w:r>
          </w:p>
        </w:tc>
        <w:tc>
          <w:tcPr/>
          <w:p>
            <w:pPr>
              <w:pStyle w:val="Compact"/>
              <w:jc w:val="left"/>
            </w:pPr>
            <w:r>
              <w:t xml:space="preserve">RBV, năng lực động, hấp thụ</w:t>
            </w:r>
          </w:p>
        </w:tc>
        <w:tc>
          <w:tcPr/>
          <w:p>
            <w:pPr>
              <w:pStyle w:val="Compact"/>
              <w:jc w:val="left"/>
            </w:pPr>
            <w:r>
              <w:t xml:space="preserve">Barney (1991); Bhandari et al. (2023); Do &amp; Phan (2026e)</w:t>
            </w:r>
          </w:p>
        </w:tc>
      </w:tr>
      <w:tr>
        <w:tc>
          <w:tcPr/>
          <w:p>
            <w:pPr>
              <w:pStyle w:val="Compact"/>
              <w:jc w:val="left"/>
            </w:pPr>
            <w:r>
              <w:t xml:space="preserve">H3</w:t>
            </w:r>
          </w:p>
        </w:tc>
        <w:tc>
          <w:tcPr/>
          <w:p>
            <w:pPr>
              <w:pStyle w:val="Compact"/>
              <w:jc w:val="left"/>
            </w:pPr>
            <w:r>
              <w:t xml:space="preserve">DAI thay đổi độ dốc, độ cong</w:t>
            </w:r>
          </w:p>
        </w:tc>
        <w:tc>
          <w:tcPr/>
          <w:p>
            <w:pPr>
              <w:pStyle w:val="Compact"/>
              <w:jc w:val="left"/>
            </w:pPr>
            <w:r>
              <w:t xml:space="preserve">Khung chấp nhận số, nền tảng số</w:t>
            </w:r>
          </w:p>
        </w:tc>
        <w:tc>
          <w:tcPr/>
          <w:p>
            <w:pPr>
              <w:pStyle w:val="Compact"/>
              <w:jc w:val="left"/>
            </w:pPr>
            <w:r>
              <w:t xml:space="preserve">Verhoef et al. (2021); phân tích Singapore của luận án</w:t>
            </w:r>
          </w:p>
        </w:tc>
      </w:tr>
      <w:tr>
        <w:tc>
          <w:tcPr/>
          <w:p>
            <w:pPr>
              <w:pStyle w:val="Compact"/>
              <w:jc w:val="left"/>
            </w:pPr>
            <w:r>
              <w:t xml:space="preserve">H4 (kiểm soát quản trị nội sinh)</w:t>
            </w:r>
          </w:p>
        </w:tc>
        <w:tc>
          <w:tcPr/>
          <w:p>
            <w:pPr>
              <w:pStyle w:val="Compact"/>
              <w:jc w:val="left"/>
            </w:pPr>
            <w:r>
              <w:t xml:space="preserve">Đặc điểm nhà quản trị nâng mặt bằng (kiểm soát quản trị nội sinh, không điều tiết độ cong)</w:t>
            </w:r>
          </w:p>
        </w:tc>
        <w:tc>
          <w:tcPr/>
          <w:p>
            <w:pPr>
              <w:pStyle w:val="Compact"/>
              <w:jc w:val="left"/>
            </w:pPr>
            <w:r>
              <w:t xml:space="preserve">Lý thuyết Bậc trên</w:t>
            </w:r>
          </w:p>
        </w:tc>
        <w:tc>
          <w:tcPr/>
          <w:p>
            <w:pPr>
              <w:pStyle w:val="Compact"/>
              <w:jc w:val="left"/>
            </w:pPr>
            <w:r>
              <w:t xml:space="preserve">Hambrick &amp; Mason (1984); Hsu et al. (2013); Post &amp; Byron (2015)</w:t>
            </w:r>
          </w:p>
        </w:tc>
      </w:tr>
      <w:tr>
        <w:tc>
          <w:tcPr/>
          <w:p>
            <w:pPr>
              <w:pStyle w:val="Compact"/>
              <w:jc w:val="left"/>
            </w:pPr>
            <w:r>
              <w:t xml:space="preserve">H5</w:t>
            </w:r>
          </w:p>
        </w:tc>
        <w:tc>
          <w:tcPr/>
          <w:p>
            <w:pPr>
              <w:pStyle w:val="Compact"/>
              <w:jc w:val="left"/>
            </w:pPr>
            <w:r>
              <w:t xml:space="preserve">ICRV chi phối độ cong đường cong I-P</w:t>
            </w:r>
          </w:p>
        </w:tc>
        <w:tc>
          <w:tcPr/>
          <w:p>
            <w:pPr>
              <w:pStyle w:val="Compact"/>
              <w:jc w:val="left"/>
            </w:pPr>
            <w:r>
              <w:t xml:space="preserve">Lý thuyết thể chế, khoảng trống thể chế</w:t>
            </w:r>
          </w:p>
        </w:tc>
        <w:tc>
          <w:tcPr/>
          <w:p>
            <w:pPr>
              <w:pStyle w:val="Compact"/>
              <w:jc w:val="left"/>
            </w:pPr>
            <w:r>
              <w:t xml:space="preserve">North (1990); Marano et al. (2016); Do &amp; Phan (2026d)</w:t>
            </w:r>
          </w:p>
        </w:tc>
      </w:tr>
      <w:tr>
        <w:tc>
          <w:tcPr/>
          <w:p>
            <w:pPr>
              <w:pStyle w:val="Compact"/>
              <w:jc w:val="left"/>
            </w:pPr>
            <w:r>
              <w:t xml:space="preserve">H6</w:t>
            </w:r>
          </w:p>
        </w:tc>
        <w:tc>
          <w:tcPr/>
          <w:p>
            <w:pPr>
              <w:pStyle w:val="Compact"/>
              <w:jc w:val="left"/>
            </w:pPr>
            <w:r>
              <w:t xml:space="preserve">Dị biệt thời gian của đường cong</w:t>
            </w:r>
          </w:p>
        </w:tc>
        <w:tc>
          <w:tcPr/>
          <w:p>
            <w:pPr>
              <w:pStyle w:val="Compact"/>
              <w:jc w:val="left"/>
            </w:pPr>
            <w:r>
              <w:t xml:space="preserve">Năng lực động, Uppsala số</w:t>
            </w:r>
          </w:p>
        </w:tc>
        <w:tc>
          <w:tcPr/>
          <w:p>
            <w:pPr>
              <w:pStyle w:val="Compact"/>
              <w:jc w:val="left"/>
            </w:pPr>
            <w:r>
              <w:t xml:space="preserve">Teece et al. (1997); Wu et al. (2022)</w:t>
            </w:r>
          </w:p>
        </w:tc>
      </w:tr>
    </w:tbl>
    <w:bookmarkEnd w:id="62"/>
    <w:bookmarkStart w:id="63" w:name="X0a81e8b3240aff50264466ceb20bd9b6162dbaf"/>
    <w:p>
      <w:pPr>
        <w:pStyle w:val="Heading3"/>
      </w:pPr>
      <w:r>
        <w:t xml:space="preserve">2.5.4 Kết nối khoảng trống với chương trình kiểm định</w:t>
      </w:r>
    </w:p>
    <w:p>
      <w:pPr>
        <w:pStyle w:val="FirstParagraph"/>
      </w:pPr>
      <w:r>
        <w:t xml:space="preserve">Ba khoảng trống dẫn về một chương trình kiểm định gồm ba mảnh ghép bổ sung cho nhau. Khoảng trống thứ nhất và thứ ba cùng dẫn về câu hỏi liệu CDCM có giải thích đồng thời sự dị biệt của quan hệ I-P khi kiểm soát đầy đủ cả ba tầng trong một mô hình tích hợp, ở quy mô đủ rộng để bao phủ toàn bộ dải biến thiên ICRV hay không. Nghiên cứu phân tích đa quốc gia lấp khoảng trống này bằng dữ liệu WBES từ 45 nền kinh tế (N = 82.302-98.658 doanh nghiệp, 98 đợt quốc gia-năm), bao phủ toàn bộ dải biến thiên ICRV, kiểm định đồng thời H1-H6 với hiệu ứng cố định quốc gia-năm; điểm uốn trung bình khoảng 37% FSTS tại phân tích đa quốc gia thấp hơn so với Việt Nam (39-46%) và Trung Quốc (47-49%) cho thấy điểm uốn cấp quốc gia biến thiên theo bối cảnh thể chế, nhất quán với việc ICRV chi phối hình dạng (độ cong) của quan hệ I-P như lý thuyết dự đoán. Khoảng trống thứ ba còn đòi hỏi kiểm định một điều kiện biên cực trị, đó là liệu có tồn tại bối cảnh nơi chữ U ngược sụp đổ hoàn toàn thành quan hệ âm đơn điệu hay không; Nghiên cứu phân tích SIDS Thái Bình Dương kiểm định H1b bằng dữ liệu WBES từ các nền kinh tế đảo nhỏ Thái Bình Dương, nơi ba điều kiện cấu trúc cơ bản của chữ U ngược cùng bị vi phạm. Cùng với phân tích tổng hợp phân tích tổng hợp, ba mảnh ghép này tạo thành một chiến lược kiểm định toàn diện, từ tổng hợp bằng chứng quá khứ đến kiểm định tích hợp đa quốc gia và xác định điều kiện biên.</w:t>
      </w:r>
    </w:p>
    <w:p>
      <w:r>
        <w:pict>
          <v:rect style="width:0;height:1.5pt" o:hralign="center" o:hrstd="t" o:hr="t"/>
        </w:pict>
      </w:r>
    </w:p>
    <w:bookmarkEnd w:id="63"/>
    <w:bookmarkEnd w:id="64"/>
    <w:bookmarkStart w:id="65"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công cụ phân loại bối cảnh thể chế đến bằng chứng thực nghiệm, rồi từ khoảng trống đến khung nghiên cứu và giả thuyết.</w:t>
      </w:r>
    </w:p>
    <w:p>
      <w:pPr>
        <w:pStyle w:val="BodyText"/>
      </w:pPr>
      <w:r>
        <w:t xml:space="preserve">Phần đầu chương xác lập năm khái niệm cốt lõi: quốc tế hóa doanh nghiệp, hiệu quả hoạt động kinh doanh đo chủ yếu bằng năng suất lao động, cường độ xuất khẩu đo bằng FSTS, năng lực công nghệ (TCI) và mức độ chấp nhận số (DAI) như hai cấu trúc khái niệm độc lập. Phần lý thuyết nền phân tích bốn lý thuyết kinh điển là Uppsala, RBV, lý thuyết thể chế và lý thuyết Bậc trên, cùng lớp mở rộng là lăng kính số, đồng thời xác định vai trò của từng lý thuyết trong khung giải thích tổng thể. Khung phân tích ICRV được trình bày như một công cụ vận hành hóa bối cảnh thể chế thành sáu nhóm chế độ, đóng vai trò điều tiết quan hệ I-P qua cơ chế thay đổi độ cong (biên độ) và thay thế số cho thể chế.</w:t>
      </w:r>
    </w:p>
    <w:p>
      <w:pPr>
        <w:pStyle w:val="BodyText"/>
      </w:pPr>
      <w:r>
        <w:t xml:space="preserve">Tổng quan thực nghiệm cho thấy tài liệu I-P ghi nhận năm dạng hàm cùng tồn tại, từ tuyến tính đến gánh nặng bắt buộc, và các phân tích tổng hợp nhất quán cho thấy tác động tổng hợp là dương nhưng nhỏ với mức dị biệt rất cao, đòi hỏi cách tiếp cận lấy yếu tố điều tiết làm trọng tâm. Riêng bối cảnh châu Á, nhất là các nền kinh tế cận biên và đảo nhỏ, vẫn thiếu đại diện nghiêm trọng.</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khung CDCM và phát triển sáu giả thuyết H1-H6 cùng điều kiện biên H1b,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65"/>
    <w:bookmarkEnd w:id="66"/>
    <w:bookmarkStart w:id="67" w:name="chương-3-phương-pháp-nghiên-cứu"/>
    <w:p>
      <w:pPr>
        <w:pStyle w:val="Heading1"/>
      </w:pPr>
      <w:r>
        <w:t xml:space="preserve">CHƯƠNG 3: PHƯƠNG PHÁP NGHIÊN CỨU</w:t>
      </w:r>
    </w:p>
    <w:bookmarkEnd w:id="67"/>
    <w:p>
      <w:r>
        <w:pict>
          <v:rect style="width:0;height:1.5pt" o:hralign="center" o:hrstd="t" o:hr="t"/>
        </w:pict>
      </w:r>
    </w:p>
    <w:bookmarkStart w:id="70" w:name="thiết-kế-nghiên-cứu-tổng-thể"/>
    <w:p>
      <w:pPr>
        <w:pStyle w:val="Heading2"/>
      </w:pPr>
      <w:r>
        <w:t xml:space="preserve">3.1 Thiết kế nghiên cứu tổng thể</w:t>
      </w:r>
    </w:p>
    <w:bookmarkStart w:id="68" w:name="loại-thiết-kế"/>
    <w:p>
      <w:pPr>
        <w:pStyle w:val="Heading3"/>
      </w:pPr>
      <w:r>
        <w:t xml:space="preserve">3.1.1 Loại thiết kế</w:t>
      </w:r>
    </w:p>
    <w:p>
      <w:pPr>
        <w:pStyle w:val="FirstParagraph"/>
      </w:pPr>
      <w:r>
        <w:t xml:space="preserve">Luận án sử dụng</w:t>
      </w:r>
      <w:r>
        <w:t xml:space="preserve"> </w:t>
      </w:r>
      <w:r>
        <w:rPr>
          <w:bCs/>
          <w:b/>
        </w:rPr>
        <w:t xml:space="preserve">thiết kế kết hợp tổng hợp và thực nghiệm (mixed synthesis-empirical design)</w:t>
      </w:r>
      <w:r>
        <w:t xml:space="preserve"> </w:t>
      </w:r>
      <w:r>
        <w:t xml:space="preserve">gồm hai giai đoạn bổ sung cho nhau. Giai đoạn thứ nhất là phân tích tổng hợp các nghiên cứu để trả lời RQ1; giai đoạn thứ hai là phân tích thực nghiệm doanh nghiệp đa quốc gia để trả lời RQ2-RQ4. Hai giai đoạn đối thoại hai chiều: phân tích tổng hợp cung cấp nền tảng và gợi ý các yếu tố điều tiết cần kiểm định, còn phân tích thực nghiệm cung cấp bằng chứng bổ sung về bối cảnh châu Á và Thái Bình Dương.</w:t>
      </w:r>
    </w:p>
    <w:p>
      <w:pPr>
        <w:pStyle w:val="BodyText"/>
      </w:pPr>
      <w:r>
        <w:rPr>
          <w:bCs/>
          <w:b/>
        </w:rPr>
        <w:t xml:space="preserve">Cơ sở kế thừa</w:t>
      </w:r>
      <w:r>
        <w:t xml:space="preserve">: Thiết kế kết hợp giữa phân tích tổng hợp và dữ liệu sơ cấp đã được áp dụng trong quản trị chiến lược và kinh doanh quốc tế (Borenstein et al., 2009; Hunter &amp; Schmidt, 2004; Combs et al., 2011).</w:t>
      </w:r>
    </w:p>
    <w:p>
      <w:pPr>
        <w:pStyle w:val="BodyText"/>
      </w:pPr>
      <w:r>
        <w:rPr>
          <w:bCs/>
          <w:b/>
        </w:rPr>
        <w:t xml:space="preserve">Đóng góp mới</w:t>
      </w:r>
      <w:r>
        <w:t xml:space="preserve">: Áp dụng thiết kế kết hợp cho một luận án duy nhất về quan hệ quốc tế hóa–hiệu quả hoạt động trong bối cảnh châu Á và Thái Bình Dương với</w:t>
      </w:r>
      <w:r>
        <w:t xml:space="preserve"> </w:t>
      </w:r>
      <w:r>
        <w:rPr>
          <w:bCs/>
          <w:b/>
        </w:rPr>
        <w:t xml:space="preserve">47 nền kinh tế</w:t>
      </w:r>
      <w:r>
        <w:t xml:space="preserve"> </w:t>
      </w:r>
      <w:r>
        <w:t xml:space="preserve">là thiết kế hiếm gặp; đa số các luận án kinh doanh quốc tế chỉ thực hiện một trong hai giai đoạn. Quy mô 47 nước/101.185 doanh nghiệp là phạm vi địa lý lớn nhất từng có cho khu vực, mở rộng từ mẫu gộp 17 nước trong Do và Phan (2026a).</w:t>
      </w:r>
    </w:p>
    <w:bookmarkEnd w:id="68"/>
    <w:bookmarkStart w:id="69"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các phân tích tổng hợp trước đây; (ii) xây dựng khung lý thuyết tích hợp đa tầng và hệ giả thuyết H1-H6; (iii) tiến hành phân tích tổng hợp cập nhật 1982-2026; (iv) thu thập và chuẩn hóa dữ liệu WBES cho</w:t>
      </w:r>
      <w:r>
        <w:t xml:space="preserve"> </w:t>
      </w:r>
      <w:r>
        <w:rPr>
          <w:bCs/>
          <w:b/>
        </w:rPr>
        <w:t xml:space="preserve">47 nền kinh tế châu Á và Thái Bình Dương</w:t>
      </w:r>
      <w:r>
        <w:t xml:space="preserve"> </w:t>
      </w:r>
      <w:r>
        <w:t xml:space="preserve">sau khi hòa hợp ba thế hệ lược đồ dữ liệu (PICS3, Standardized, BREADY/BEE); (v) ước lượng mô hình thực nghiệm theo bối cảnh quốc gia và đa quốc gia; (vi) kiểm định độ vững và tích hợp kết quả để đóng góp lý thuyết.</w:t>
      </w:r>
    </w:p>
    <w:bookmarkEnd w:id="69"/>
    <w:bookmarkEnd w:id="70"/>
    <w:bookmarkStart w:id="74" w:name="giai-đoạn-1-phân-tích-tổng-hợp-1982-2026"/>
    <w:p>
      <w:pPr>
        <w:pStyle w:val="Heading2"/>
      </w:pPr>
      <w:r>
        <w:t xml:space="preserve">3.2 Giai đoạn 1: Phân tích tổng hợp 1982-2026</w:t>
      </w:r>
    </w:p>
    <w:bookmarkStart w:id="71" w:name="cơ-sở-kế-thừa"/>
    <w:p>
      <w:pPr>
        <w:pStyle w:val="Heading3"/>
      </w:pPr>
      <w:r>
        <w:t xml:space="preserve">3.2.1 Cơ sở kế thừa</w:t>
      </w:r>
    </w:p>
    <w:p>
      <w:pPr>
        <w:pStyle w:val="FirstParagraph"/>
      </w:pPr>
      <w:r>
        <w:t xml:space="preserve">Phân tích tổng hợp trong kinh doanh quốc tế đã được thiết lập vững chắc qua nhiều thập kỷ (Hunter &amp; Schmidt, 2004; Borenstein et al., 2009). Phương pháp chuẩn bao gồm: xây dựng tiêu chí đưa vào theo PRISMA (Page et al., 2021), biến đổi hiệu ứng bằng Fisher’s</w:t>
      </w:r>
      <w:r>
        <w:t xml:space="preserve"> </w:t>
      </w:r>
      <m:oMath>
        <m:r>
          <m:t>z</m:t>
        </m:r>
      </m:oMath>
      <w:r>
        <w:t xml:space="preserve">, tính độ lớn hiệu ứng gộp theo hiệu ứng ngẫu nhiên, kiểm định tính không đồng nhất bằng</w:t>
      </w:r>
      <w:r>
        <w:t xml:space="preserve"> </w:t>
      </w:r>
      <m:oMath>
        <m:r>
          <m:t>Q</m:t>
        </m:r>
      </m:oMath>
      <w:r>
        <w:t xml:space="preserve">-test và</w:t>
      </w:r>
      <w:r>
        <w:t xml:space="preserve"> </w:t>
      </w:r>
      <m:oMath>
        <m:sSup>
          <m:e>
            <m:r>
              <m:t>I</m:t>
            </m:r>
          </m:e>
          <m:sup>
            <m:r>
              <m:t>2</m:t>
            </m:r>
          </m:sup>
        </m:sSup>
      </m:oMath>
      <w:r>
        <w:t xml:space="preserve">, và đánh giá thiên lệch công bố bằng Egger và Begg-Mazumdar (Egger et al., 1997; Begg &amp; Mazumdar, 1994). Các phân tích tổng hợp trước đây về quan hệ I-P (Bausch &amp; Krist, 2007; Kirca et al., 2012; Marano et al., 2016; Wu et al., 2022; Arte &amp; Larimo, 2022) cung cấp quy trình mẫu mà luận án kế thừa và cập nhật.</w:t>
      </w:r>
    </w:p>
    <w:bookmarkEnd w:id="71"/>
    <w:bookmarkStart w:id="72" w:name="đóng-góp-mớiđiều-chỉnh"/>
    <w:p>
      <w:pPr>
        <w:pStyle w:val="Heading3"/>
      </w:pPr>
      <w:r>
        <w:t xml:space="preserve">3.2.2 Đóng góp mới/điều chỉnh</w:t>
      </w:r>
    </w:p>
    <w:p>
      <w:pPr>
        <w:numPr>
          <w:ilvl w:val="0"/>
          <w:numId w:val="1001"/>
        </w:numPr>
        <w:pStyle w:val="Compact"/>
      </w:pPr>
      <w:r>
        <w:rPr>
          <w:bCs/>
          <w:b/>
        </w:rPr>
        <w:t xml:space="preserve">Mở rộng phạm vi thời gian</w:t>
      </w:r>
      <w:r>
        <w:t xml:space="preserve">: từ 1977-2022 (bài ICBEF 2025) sang</w:t>
      </w:r>
      <w:r>
        <w:t xml:space="preserve"> </w:t>
      </w:r>
      <w:r>
        <w:rPr>
          <w:bCs/>
          <w:b/>
        </w:rPr>
        <w:t xml:space="preserve">1982-2026</w:t>
      </w:r>
      <w:r>
        <w:t xml:space="preserve">, bổ sung các nghiên cứu 2023-2026 liên quan đến chuyển đổi số và doanh nghiệp đa quốc gia từ nền kinh tế mới nổi (EMNE).</w:t>
      </w:r>
    </w:p>
    <w:p>
      <w:pPr>
        <w:numPr>
          <w:ilvl w:val="0"/>
          <w:numId w:val="1001"/>
        </w:numPr>
        <w:pStyle w:val="Compact"/>
      </w:pPr>
      <w:r>
        <w:rPr>
          <w:bCs/>
          <w:b/>
        </w:rPr>
        <w:t xml:space="preserve">Mở rộng phạm vi biến điều tiết</w:t>
      </w:r>
      <w:r>
        <w:t xml:space="preserve">: thêm cụm biến điều tiết về áp dụng số và 6 chế độ con ICRV, vốn chưa được xem xét đầy đủ trong các phân tích tổng hợp trước.</w:t>
      </w:r>
    </w:p>
    <w:p>
      <w:pPr>
        <w:numPr>
          <w:ilvl w:val="0"/>
          <w:numId w:val="1001"/>
        </w:numPr>
        <w:pStyle w:val="Compact"/>
      </w:pPr>
      <w:r>
        <w:rPr>
          <w:bCs/>
          <w:b/>
        </w:rPr>
        <w:t xml:space="preserve">Mẫu gộp hiện tại</w:t>
      </w:r>
      <w:r>
        <w:t xml:space="preserve">: K=288 độ lớn hiệu ứng / k=238 nghiên cứu (mốc nền trước khi tìm kiếm chính thức trên WoS và Scopus); mục tiêu sau tìm kiếm chính thức: k$</w:t>
      </w:r>
      <w:r>
        <w:t xml:space="preserve">$250, tăng so với bản nền ICBEF 2025 (K=200 / k=113).</w:t>
      </w:r>
    </w:p>
    <w:p>
      <w:pPr>
        <w:numPr>
          <w:ilvl w:val="0"/>
          <w:numId w:val="1001"/>
        </w:numPr>
        <w:pStyle w:val="Compact"/>
      </w:pPr>
      <w:r>
        <w:rPr>
          <w:bCs/>
          <w:b/>
        </w:rPr>
        <w:t xml:space="preserve">Phân nhóm theo châu Á và Thái Bình Dương</w:t>
      </w:r>
      <w:r>
        <w:t xml:space="preserve">: tách riêng nhóm nghiên cứu về doanh nghiệp châu Á và Thái Bình Dương để cung cấp mốc nền trực tiếp cho giai đoạn thực nghiệm, đối chiếu với mẫu gộp 17 nước trong Do và Phan (2026a).</w:t>
      </w:r>
    </w:p>
    <w:bookmarkEnd w:id="72"/>
    <w:bookmarkStart w:id="73" w:name="quy-trình-prisma"/>
    <w:p>
      <w:pPr>
        <w:pStyle w:val="Heading3"/>
      </w:pPr>
      <w:r>
        <w:t xml:space="preserve">3.2.3 Quy trình PRISMA</w:t>
      </w:r>
    </w:p>
    <w:p>
      <w:pPr>
        <w:pStyle w:val="FirstParagraph"/>
      </w:pPr>
      <w:r>
        <w:t xml:space="preserve">Bốn bước Nhận diện, Sàng lọc, Đủ điều kiện và Đưa vào theo hướng dẫn PRISMA 2020 (Page et al., 2021). Tiêu chí đưa vào: nghiên cứu thực nghiệm ở cấp doanh nghiệp, có đo lường quốc tế hóa và hiệu quả hoạt động, có đủ thống kê để tính độ lớn hiệu ứng (Pearson</w:t>
      </w:r>
      <w:r>
        <w:t xml:space="preserve"> </w:t>
      </w:r>
      <m:oMath>
        <m:r>
          <m:t>r</m:t>
        </m:r>
      </m:oMath>
      <w:r>
        <w:t xml:space="preserve">,</w:t>
      </w:r>
      <w:r>
        <w:t xml:space="preserve"> </w:t>
      </w:r>
      <m:oMath>
        <m:r>
          <m:t>β</m:t>
        </m:r>
      </m:oMath>
      <w:r>
        <w:t xml:space="preserve">, thống kê</w:t>
      </w:r>
      <w:r>
        <w:t xml:space="preserve"> </w:t>
      </w:r>
      <m:oMath>
        <m:r>
          <m:t>t</m:t>
        </m:r>
      </m:oMath>
      <w:r>
        <w:t xml:space="preserve">).</w:t>
      </w:r>
    </w:p>
    <w:bookmarkEnd w:id="73"/>
    <w:bookmarkEnd w:id="74"/>
    <w:bookmarkStart w:id="83" w:name="X2f2dc61cf51b22160123af8668c978f8ce43175"/>
    <w:p>
      <w:pPr>
        <w:pStyle w:val="Heading2"/>
      </w:pPr>
      <w:r>
        <w:t xml:space="preserve">3.3 Giai đoạn 2: Phân tích thực nghiệm đa quốc gia</w:t>
      </w:r>
    </w:p>
    <w:bookmarkStart w:id="75" w:name="nguồn-dữ-liệu"/>
    <w:p>
      <w:pPr>
        <w:pStyle w:val="Heading3"/>
      </w:pPr>
      <w:r>
        <w:t xml:space="preserve">3.3.1 Nguồn dữ liệu</w:t>
      </w:r>
    </w:p>
    <w:p>
      <w:pPr>
        <w:pStyle w:val="FirstParagraph"/>
      </w:pPr>
      <w:r>
        <w:t xml:space="preserve">Luận án sử dụng bộ Khảo sát Doanh nghiệp của Ngân hàng Thế giới (World Bank Enterprise Surveys) cho</w:t>
      </w:r>
      <w:r>
        <w:t xml:space="preserve"> </w:t>
      </w:r>
      <w:r>
        <w:rPr>
          <w:bCs/>
          <w:b/>
        </w:rPr>
        <w:t xml:space="preserve">47 nền kinh tế châu Á và Thái Bình Dương</w:t>
      </w:r>
      <w:r>
        <w:t xml:space="preserve"> </w:t>
      </w:r>
      <w:r>
        <w:t xml:space="preserve">trong giai đoạn</w:t>
      </w:r>
      <w:r>
        <w:t xml:space="preserve"> </w:t>
      </w:r>
      <w:r>
        <w:rPr>
          <w:bCs/>
          <w:b/>
        </w:rPr>
        <w:t xml:space="preserve">2009-2025</w:t>
      </w:r>
      <w:r>
        <w:t xml:space="preserve"> </w:t>
      </w:r>
      <w:r>
        <w:t xml:space="preserve">(101.185 doanh nghiệp, 108 cặp quốc gia × năm, 14 mốc khảo sát) (World Bank, n.d., 2019, 2023, 2026). WBES là bộ dữ liệu doanh nghiệp chuẩn hóa, phù hợp cho nghiên cứu so sánh đa quốc gia về các kết quả ở cấp doanh nghiệp (Aterido et al., 2011).</w:t>
      </w:r>
    </w:p>
    <w:p>
      <w:pPr>
        <w:pStyle w:val="BodyText"/>
      </w:pPr>
      <w:r>
        <w:rPr>
          <w:bCs/>
          <w:b/>
        </w:rPr>
        <w:t xml:space="preserve">Cơ sở kế thừa</w:t>
      </w:r>
      <w:r>
        <w:t xml:space="preserve">: WBES đã được sử dụng rộng rãi trong nghiên cứu kinh doanh quốc tế về thị trường mới nổi (Ayyagari et al., 2011; Cuervo-Cazurra et al., 2018; Chen &amp; Meng, 2022), đồng thời đã được sử dụng trong bài nghiên cứu thực trạng châu Á mới nổi với 17 nền kinh tế và ~40.633 quan sát doanh nghiệp (Do &amp; Phan, 2026a).</w:t>
      </w:r>
    </w:p>
    <w:p>
      <w:pPr>
        <w:pStyle w:val="BodyText"/>
      </w:pPr>
      <w:r>
        <w:rPr>
          <w:bCs/>
          <w:b/>
        </w:rPr>
        <w:t xml:space="preserve">Đóng góp mới</w:t>
      </w:r>
      <w:r>
        <w:t xml:space="preserve">: mở rộng quy mô từ 17 sang</w:t>
      </w:r>
      <w:r>
        <w:t xml:space="preserve"> </w:t>
      </w:r>
      <w:r>
        <w:rPr>
          <w:bCs/>
          <w:b/>
        </w:rPr>
        <w:t xml:space="preserve">47 nền kinh tế châu Á và Thái Bình Dương</w:t>
      </w:r>
      <w:r>
        <w:t xml:space="preserve">, với 6 chế độ con ICRV (Tiên tiến đổi mới, Tiên tiến dựa vào tài nguyên, Thu nhập trung bình cao, Mới nổi, Cận biên, Quốc đảo nhỏ Thái Bình Dương). Quy mô này là lớn nhất cho khu vực trong các nghiên cứu về quan hệ I-P, gồm cả trường hợp biên là các quốc đảo nhỏ Thái Bình Dương (9 nước, n=1.469, mẫu phân tích sau khi lọc dữ liệu khuyết) cho phép kiểm định gánh nặng quốc tế hóa bắt buộc (Forced Internationalization Penalty; Do &amp; Phan, 2026b).</w:t>
      </w:r>
    </w:p>
    <w:p>
      <w:pPr>
        <w:pStyle w:val="BlockText"/>
      </w:pPr>
      <w:r>
        <w:rPr>
          <w:bCs/>
          <w:b/>
        </w:rPr>
        <w:t xml:space="preserve">Ghi chú về trọng số khảo sát:</w:t>
      </w:r>
      <w:r>
        <w:t xml:space="preserve"> </w:t>
      </w:r>
      <w:r>
        <w:t xml:space="preserve">WBES cung cấp trọng số khảo sát để đại diện cho tổng thể doanh nghiệp trong từng quốc gia. Tuy nhiên, luận án</w:t>
      </w:r>
      <w:r>
        <w:t xml:space="preserve"> </w:t>
      </w:r>
      <w:r>
        <w:rPr>
          <w:iCs/>
          <w:i/>
        </w:rPr>
        <w:t xml:space="preserve">không áp dụng trọng số khảo sát</w:t>
      </w:r>
      <w:r>
        <w:t xml:space="preserve"> </w:t>
      </w:r>
      <w:r>
        <w:t xml:space="preserve">trong ước lượng mô hình hồi quy vì ba lý do: (1) Mục tiêu của luận án là kiểm định cơ chế lý thuyết chứ không phải ước lượng mô tả đại diện tổng thể, trong bối cảnh này, không áp dụng trọng số là thực hành chuẩn trong các nghiên cứu kinh doanh quốc tế sử dụng WBES (Aterido et al., 2011; Cuervo-Cazurra et al., 2018); (2) Hiệu ứng cố định ở cấp quốc gia–năm đã kiểm soát đặc điểm cấu trúc của từng sóng khảo sát; (3) Việc áp dụng trọng số có thể làm sai lệch ước lượng khi mẫu được gộp chung từ nhiều quốc gia có quy mô tổng thể doanh nghiệp khác nhau nhiều bậc (ví dụ: Trung Quốc ~100 triệu so với Tonga ~500 doanh nghiệp). Phân tích độ nhạy có áp dụng trọng số khảo sát cho từng quốc gia riêng lẻ (phân tích Việt Nam, Singapore và Trung Quốc) không thay đổi hướng hoặc mức độ ý nghĩa của các hệ số chính (xem Mục 3.5).</w:t>
      </w:r>
    </w:p>
    <w:bookmarkEnd w:id="75"/>
    <w:bookmarkStart w:id="76" w:name="Xbff20786659f3471473d6f5f9041e850d60d8e2"/>
    <w:p>
      <w:pPr>
        <w:pStyle w:val="Heading3"/>
      </w:pPr>
      <w:r>
        <w:t xml:space="preserve">3.3.2 Đo lường biến phụ thuộc, Hiệu quả hoạt động</w:t>
      </w:r>
    </w:p>
    <w:p>
      <w:pPr>
        <w:pStyle w:val="FirstParagraph"/>
      </w:pPr>
      <w:r>
        <w:rPr>
          <w:bCs/>
          <w:b/>
        </w:rPr>
        <w:t xml:space="preserve">Biến chính</w:t>
      </w:r>
      <w:r>
        <w:t xml:space="preserve">: Năng suất lao động, đo bằng</w:t>
      </w:r>
      <w:r>
        <w:t xml:space="preserve"> </w:t>
      </w:r>
      <m:oMath>
        <m:r>
          <m:rPr>
            <m:sty m:val="p"/>
          </m:rPr>
          <m:t>ln</m:t>
        </m:r>
        <m:d>
          <m:dPr>
            <m:begChr m:val="("/>
            <m:endChr m:val=")"/>
            <m:sepChr m:val=""/>
            <m:grow/>
          </m:dPr>
          <m:e>
            <m:r>
              <m:rPr>
                <m:nor/>
                <m:sty m:val="p"/>
              </m:rPr>
              <m:t>doanh thu năm</m:t>
            </m:r>
            <m:r>
              <m:rPr>
                <m:sty m:val="p"/>
              </m:rPr>
              <m:t>/</m:t>
            </m:r>
            <m:r>
              <m:rPr>
                <m:nor/>
                <m:sty m:val="p"/>
              </m:rPr>
              <m:t>lao động toàn thời gian thường xuyên</m:t>
            </m:r>
          </m:e>
        </m:d>
      </m:oMath>
      <w:r>
        <w:t xml:space="preserve">.</w:t>
      </w:r>
    </w:p>
    <w:p>
      <w:pPr>
        <w:pStyle w:val="BodyText"/>
      </w:pPr>
      <w:r>
        <w:rPr>
          <w:bCs/>
          <w:b/>
        </w:rPr>
        <w:t xml:space="preserve">Cơ sở kế thừa</w:t>
      </w:r>
      <w:r>
        <w:t xml:space="preserve">: Năng suất lao động được sử dụng rộng rãi trong nghiên cứu WBES và trong các nghiên cứu về năng suất doanh nghiệp (Bloom et al., 2012; Hsieh &amp; Klenow, 2009). Chỉ tiêu này đã được vận hành hóa thành công trong bài thực trạng châu Á mới nổi (Do &amp; Phan, 2026a).</w:t>
      </w:r>
    </w:p>
    <w:p>
      <w:pPr>
        <w:pStyle w:val="BodyText"/>
      </w:pPr>
      <w:r>
        <w:rPr>
          <w:bCs/>
          <w:b/>
        </w:rPr>
        <w:t xml:space="preserve">Lập luận chọn</w:t>
      </w:r>
      <w:r>
        <w:t xml:space="preserve">: WBES không phải bộ báo cáo tài chính đầy đủ, nên năng suất lao động phù hợp hơn ROA/ROE/ROS trong bối cảnh đa quốc gia. Ngoài ra, năng suất lao động có tính so sánh xuyên quốc gia cao hơn do không bị ảnh hưởng bởi chuẩn mực kế toán khác biệt (Combs et al., 2005; Richard et al., 2009).</w:t>
      </w:r>
    </w:p>
    <w:p>
      <w:pPr>
        <w:pStyle w:val="BodyText"/>
      </w:pPr>
      <w:r>
        <w:rPr>
          <w:bCs/>
          <w:b/>
        </w:rPr>
        <w:t xml:space="preserve">Biến kiểm định độ vững</w:t>
      </w:r>
      <w:r>
        <w:t xml:space="preserve">: ROS, tăng trưởng doanh thu, tăng trưởng lao động,</w:t>
      </w:r>
      <w:r>
        <w:t xml:space="preserve"> </w:t>
      </w:r>
      <m:oMath>
        <m:r>
          <m:rPr>
            <m:sty m:val="p"/>
          </m:rPr>
          <m:t>ln</m:t>
        </m:r>
      </m:oMath>
      <w:r>
        <w:t xml:space="preserve">(doanh thu năm).</w:t>
      </w:r>
    </w:p>
    <w:p>
      <w:pPr>
        <w:pStyle w:val="BodyText"/>
      </w:pPr>
      <w:r>
        <w:rPr>
          <w:bCs/>
          <w:b/>
        </w:rPr>
        <w:t xml:space="preserve">Đóng góp mới</w:t>
      </w:r>
      <w:r>
        <w:t xml:space="preserve">: lập luận rõ ràng rằng hiệu quả hoạt động là khái niệm đa chiều và việc lựa chọn thước đo phải phù hợp với bối cảnh dữ liệu (xem</w:t>
      </w:r>
      <w:r>
        <w:t xml:space="preserve"> </w:t>
      </w:r>
      <w:r>
        <w:rPr>
          <w:rStyle w:val="VerbatimChar"/>
        </w:rPr>
        <w:t xml:space="preserve">02_theoretical_framework_vi.md</w:t>
      </w:r>
      <w:r>
        <w:t xml:space="preserve">).</w:t>
      </w:r>
    </w:p>
    <w:bookmarkEnd w:id="76"/>
    <w:bookmarkStart w:id="77" w:name="đo-lường-biến-độc-lập-quốc-tế-hóa"/>
    <w:p>
      <w:pPr>
        <w:pStyle w:val="Heading3"/>
      </w:pPr>
      <w:r>
        <w:t xml:space="preserve">3.3.3 Đo lường biến độc lập, Quốc tế hóa</w:t>
      </w:r>
    </w:p>
    <w:p>
      <w:pPr>
        <w:pStyle w:val="FirstParagraph"/>
      </w:pPr>
      <w:r>
        <w:rPr>
          <w:bCs/>
          <w:b/>
        </w:rPr>
        <w:t xml:space="preserve">Biến chính</w:t>
      </w:r>
      <w:r>
        <w:t xml:space="preserve">: tỷ lệ doanh thu xuất khẩu trên tổng doanh thu (Foreign Sales to Total Sales, FSTS). Mô hình có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w:t>
      </w:r>
      <w:r>
        <w:t xml:space="preserve">và</w:t>
      </w:r>
      <w:r>
        <w:t xml:space="preserve"> </w:t>
      </w:r>
      <m:oMath>
        <m:r>
          <m:t>F</m:t>
        </m:r>
        <m:r>
          <m:t>S</m:t>
        </m:r>
        <m:r>
          <m:t>T</m:t>
        </m:r>
        <m:sSup>
          <m:e>
            <m:r>
              <m:t>S</m:t>
            </m:r>
          </m:e>
          <m:sup>
            <m:r>
              <m:t>3</m:t>
            </m:r>
          </m:sup>
        </m:sSup>
      </m:oMath>
      <w:r>
        <w:t xml:space="preserve"> </w:t>
      </w:r>
      <w:r>
        <w:t xml:space="preserve">để kiểm định phi tuyến dạng S và dạng bậc ba.</w:t>
      </w:r>
    </w:p>
    <w:p>
      <w:pPr>
        <w:pStyle w:val="BodyText"/>
      </w:pPr>
      <w:r>
        <w:rPr>
          <w:bCs/>
          <w:b/>
        </w:rPr>
        <w:t xml:space="preserve">Cơ sở kế thừa</w:t>
      </w:r>
      <w:r>
        <w:t xml:space="preserve">: FSTS là thước đo quốc tế hóa phổ biến nhất trong các nghiên cứu I-P (Sullivan, 1994; Hitt et al., 2006). Việc bổ sung</w:t>
      </w:r>
      <w:r>
        <w:t xml:space="preserve"> </w:t>
      </w:r>
      <m:oMath>
        <m:r>
          <m:t>F</m:t>
        </m:r>
        <m:r>
          <m:t>S</m:t>
        </m:r>
        <m:r>
          <m:t>T</m:t>
        </m:r>
        <m:sSup>
          <m:e>
            <m:r>
              <m:t>S</m:t>
            </m:r>
          </m:e>
          <m:sup>
            <m:r>
              <m:t>2</m:t>
            </m:r>
          </m:sup>
        </m:sSup>
      </m:oMath>
      <w:r>
        <w:t xml:space="preserve"> </w:t>
      </w:r>
      <w:r>
        <w:t xml:space="preserve">để kiểm định phi tuyến đã được áp dụng trong Lu và Beamish (2004), Contractor et al. (2003), và Hitt et al. (1997). Đặc tả bậc ba được Do và Phan (2026b) xác nhận có ý nghĩa thống kê ở Trung Quốc với điểm uốn ~47,8% FSTS, làm mốc nền cho việc kiểm định mở rộng trong luận án.</w:t>
      </w:r>
    </w:p>
    <w:bookmarkEnd w:id="77"/>
    <w:bookmarkStart w:id="81" w:name="đo-lường-biến-điều-tiết"/>
    <w:p>
      <w:pPr>
        <w:pStyle w:val="Heading3"/>
      </w:pPr>
      <w:r>
        <w:t xml:space="preserve">3.3.4 Đo lường biến điều tiết</w:t>
      </w:r>
    </w:p>
    <w:bookmarkStart w:id="78" w:name="các-khái-niệm-số-hóa-tci-và-dai"/>
    <w:p>
      <w:pPr>
        <w:pStyle w:val="Heading4"/>
      </w:pPr>
      <w:r>
        <w:t xml:space="preserve">Các khái niệm số hóa (TCI và DAI)</w:t>
      </w:r>
    </w:p>
    <w:p>
      <w:pPr>
        <w:pStyle w:val="FirstParagraph"/>
      </w:pPr>
      <w:r>
        <w:t xml:space="preserve">Luận án phân biệt rõ hai khái niệm:</w:t>
      </w:r>
    </w:p>
    <w:p>
      <w:pPr>
        <w:numPr>
          <w:ilvl w:val="0"/>
          <w:numId w:val="1002"/>
        </w:numPr>
        <w:pStyle w:val="Compact"/>
      </w:pPr>
      <w:r>
        <w:rPr>
          <w:bCs/>
          <w:b/>
        </w:rPr>
        <w:t xml:space="preserve">Chỉ số năng lực công nghệ (Technological Capability Index, TCI)</w:t>
      </w:r>
      <w:r>
        <w:t xml:space="preserve">: chiều sâu năng lực công nghệ, tổng hợp từ cấp phép công nghệ nước ngoài, chi tiêu R&amp;D, đổi mới sản phẩm và chứng nhận chất lượng.</w:t>
      </w:r>
    </w:p>
    <w:p>
      <w:pPr>
        <w:numPr>
          <w:ilvl w:val="0"/>
          <w:numId w:val="1002"/>
        </w:numPr>
        <w:pStyle w:val="Compact"/>
      </w:pPr>
      <w:r>
        <w:rPr>
          <w:bCs/>
          <w:b/>
        </w:rPr>
        <w:t xml:space="preserve">Chỉ số áp dụng số (Digital Adoption Index, DAI)</w:t>
      </w:r>
      <w:r>
        <w:t xml:space="preserve">: mức độ áp dụng số ở bề mặt, tổng hợp từ website, email, bán hàng trực tuyến (DAI_thin) hoặc bổ sung thanh toán điện tử và nhà cung ứng điện tử (DAI_rich).</w:t>
      </w:r>
    </w:p>
    <w:p>
      <w:pPr>
        <w:pStyle w:val="FirstParagraph"/>
      </w:pPr>
      <w:r>
        <w:rPr>
          <w:bCs/>
          <w:b/>
        </w:rPr>
        <w:t xml:space="preserve">Nguyên tắc không chồng lấn</w:t>
      </w:r>
      <w:r>
        <w:t xml:space="preserve">: TCI và DAI không chia sẻ thành phần nào để bảo đảm tính thuần nhất khái niệm. Đặc biệt, cấp phép công nghệ nước ngoài thuộc TCI chứ không đồng thời tính vào DAI.</w:t>
      </w:r>
    </w:p>
    <w:p>
      <w:pPr>
        <w:pStyle w:val="BodyText"/>
      </w:pPr>
      <w:r>
        <w:rPr>
          <w:bCs/>
          <w:b/>
        </w:rPr>
        <w:t xml:space="preserve">Cơ sở kế thừa</w:t>
      </w:r>
      <w:r>
        <w:t xml:space="preserve">: Bhandari et al. (2023) phân biệt số hóa, quốc tế hóa và năng lực theo logic điều phối nguồn lực; Verhoef et al. (2021) phân biệt ba cấp độ (số hóa dữ liệu, số hóa quy trình, chuyển đổi số). Khuôn mẫu</w:t>
      </w:r>
      <w:r>
        <w:t xml:space="preserve"> </w:t>
      </w:r>
      <w:r>
        <w:t xml:space="preserve">“</w:t>
      </w:r>
      <w:r>
        <w:t xml:space="preserve">hiệu ứng thay thế số cho thể chế</w:t>
      </w:r>
      <w:r>
        <w:t xml:space="preserve">”</w:t>
      </w:r>
      <w:r>
        <w:t xml:space="preserve"> </w:t>
      </w:r>
      <w:r>
        <w:t xml:space="preserve">được Do và Phan (2026a) phát hiện trên 17 nước châu Á mới nổi.</w:t>
      </w:r>
    </w:p>
    <w:p>
      <w:pPr>
        <w:pStyle w:val="BodyText"/>
      </w:pPr>
      <w:r>
        <w:rPr>
          <w:bCs/>
          <w:b/>
        </w:rPr>
        <w:t xml:space="preserve">Đóng góp mới</w:t>
      </w:r>
      <w:r>
        <w:t xml:space="preserve">: Đưa ra</w:t>
      </w:r>
      <w:r>
        <w:t xml:space="preserve"> </w:t>
      </w:r>
      <w:r>
        <w:rPr>
          <w:bCs/>
          <w:b/>
        </w:rPr>
        <w:t xml:space="preserve">quy trình hòa hợp đo lường</w:t>
      </w:r>
      <w:r>
        <w:t xml:space="preserve"> </w:t>
      </w:r>
      <w:r>
        <w:t xml:space="preserve">trong bối cảnh WBES, đảm bảo tính thuần nhất khái niệm ở 47 nền kinh tế châu Á và Thái Bình Dương, với quy trình hòa hợp ba thế hệ lược đồ dữ liệu. Phân tách TCI và DAI dựa theo: (i) Bharadwaj et al. (2013), năng lực CNTT và chiến lược kinh doanh số có mạng lưới quan hệ khái niệm khác nhau; (ii) phân tầng ba cấp của Verhoef et al. (2021): số hóa dữ liệu, số hóa quy trình, chuyển đổi số; (iii) truyền thống Lall (1992) và Cohen &amp; Levinthal (1990) coi năng lực công nghệ là chiều sâu năng lực nội tại (năng lực hấp thụ), khác về bản chất với áp dụng số ở giao diện ngoại tại; (iv) logic điều phối nguồn lực của Bhandari et al. (2023) cho quan hệ I-P; và (v) bốn tiêu chí của chỉ số tổng hợp dạng cấu thành theo Coltman et al. (2008), đảm bảo TCI và DAI là hai chỉ số tổng hợp độc lập.</w:t>
      </w:r>
    </w:p>
    <w:bookmarkEnd w:id="78"/>
    <w:bookmarkStart w:id="79" w:name="biến-thể-chế"/>
    <w:p>
      <w:pPr>
        <w:pStyle w:val="Heading4"/>
      </w:pPr>
      <w:r>
        <w:t xml:space="preserve">Biến thể chế</w:t>
      </w:r>
    </w:p>
    <w:p>
      <w:pPr>
        <w:pStyle w:val="FirstParagraph"/>
      </w:pPr>
      <w:r>
        <w:rPr>
          <w:bCs/>
          <w:b/>
        </w:rPr>
        <w:t xml:space="preserve">Biến chính</w:t>
      </w:r>
      <w:r>
        <w:t xml:space="preserve">: chỉ số rào cản kinh doanh (tổng hợp từ các câu hỏi WBES về rào cản), biến đại diện quản trị cấp quốc gia, chỉ số pháp quyền WGI (Kaufmann et al., 2011), 6 chế độ con ICRV (phân loại mở rộng từ Khanna &amp; Palepu, 2010).</w:t>
      </w:r>
    </w:p>
    <w:p>
      <w:pPr>
        <w:pStyle w:val="BodyText"/>
      </w:pPr>
      <w:r>
        <w:rPr>
          <w:bCs/>
          <w:b/>
        </w:rPr>
        <w:t xml:space="preserve">Cơ sở kế thừa</w:t>
      </w:r>
      <w:r>
        <w:t xml:space="preserve">: Khanna và Palepu (2010) với khoảng trống thể chế; North (1990) với phân tích thể chế; Marano et al. (2016) với bằng chứng từ phân tích tổng hợp về các biến điều tiết thể chế.</w:t>
      </w:r>
    </w:p>
    <w:bookmarkEnd w:id="79"/>
    <w:bookmarkStart w:id="80" w:name="Xfb44f2024dccf47e8995eec793f94f6e82c83b5"/>
    <w:p>
      <w:pPr>
        <w:pStyle w:val="Heading4"/>
      </w:pPr>
      <w:r>
        <w:t xml:space="preserve">Đặc điểm nhà quản trị cấp cao (kiểm soát quản trị nội sinh H4)</w:t>
      </w:r>
    </w:p>
    <w:p>
      <w:pPr>
        <w:pStyle w:val="FirstParagraph"/>
      </w:pPr>
      <w:r>
        <w:rPr>
          <w:bCs/>
          <w:b/>
        </w:rPr>
        <w:t xml:space="preserve">Biến kiểm soát</w:t>
      </w:r>
      <w:r>
        <w:t xml:space="preserve">: kinh nghiệm nhà quản trị cấp cao (số năm), học vấn nhà quản trị cấp cao, giới tính nhà quản trị cấp cao (nữ/nam). Ba biến này được đưa vào như nhóm biến kiểm soát quản trị nội sinh, ở dạng số hạng chính nâng mặt bằng hiệu quả, không phải nhân tố điều tiết trọng tâm định hình độ cong của đường quan hệ I-P.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 Số hạng tương tác với FSTS chỉ được báo cáo như chẩn đoán phụ trợ, không phải bằng chứng điều tiết trọng tâm.</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tập con có đủ dữ liệu; nếu thiếu, đưa vào phần kiểm định độ vững chứ không bắt buộc trong mô hình chính.</w:t>
      </w:r>
    </w:p>
    <w:bookmarkEnd w:id="80"/>
    <w:bookmarkEnd w:id="81"/>
    <w:bookmarkStart w:id="82" w:name="biến-kiểm-soát"/>
    <w:p>
      <w:pPr>
        <w:pStyle w:val="Heading3"/>
      </w:pPr>
      <w:r>
        <w:t xml:space="preserve">3.3.5 Biến kiểm soát</w:t>
      </w:r>
    </w:p>
    <w:p>
      <w:pPr>
        <w:pStyle w:val="FirstParagraph"/>
      </w:pPr>
      <m:oMath>
        <m:r>
          <m:rPr>
            <m:sty m:val="p"/>
          </m:rPr>
          <m:t>ln</m:t>
        </m:r>
      </m:oMath>
      <w:r>
        <w:t xml:space="preserve"> </w:t>
      </w:r>
      <w:r>
        <w:t xml:space="preserve">số lao động, tuổi doanh nghiệp, biến giả sở hữu nước ngoài, biến giả ngành, hiệu ứng cố định quốc gia, hiệu ứng cố định năm.</w:t>
      </w:r>
    </w:p>
    <w:p>
      <w:pPr>
        <w:pStyle w:val="BodyText"/>
      </w:pPr>
      <w:r>
        <w:rPr>
          <w:bCs/>
          <w:b/>
        </w:rPr>
        <w:t xml:space="preserve">Cơ sở kế thừa</w:t>
      </w:r>
      <w:r>
        <w:t xml:space="preserve">: chuẩn trong nghiên cứu WBES và kinh doanh quốc tế (Aterido et al., 2011; Ayyagari et al., 2011).</w:t>
      </w:r>
    </w:p>
    <w:bookmarkEnd w:id="82"/>
    <w:bookmarkEnd w:id="83"/>
    <w:bookmarkStart w:id="97" w:name="mô-hình-phân-tích"/>
    <w:p>
      <w:pPr>
        <w:pStyle w:val="Heading2"/>
      </w:pPr>
      <w:r>
        <w:t xml:space="preserve">3.4 Mô hình phân tích</w:t>
      </w:r>
    </w:p>
    <w:bookmarkStart w:id="84" w:name="mô-hình-phân-tích-tổng-hợp"/>
    <w:p>
      <w:pPr>
        <w:pStyle w:val="Heading3"/>
      </w:pPr>
      <w:r>
        <w:t xml:space="preserve">3.4.1 Mô hình phân tích tổng hợp</w:t>
      </w:r>
    </w:p>
    <w:p>
      <w:pPr>
        <w:pStyle w:val="FirstParagraph"/>
      </w:pPr>
      <w:r>
        <w:t xml:space="preserve">Mô hình hiệu ứng ngẫu nhiên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độ lớn hiệu ứng của nghiên cứu</w:t>
      </w:r>
      <w:r>
        <w:t xml:space="preserve"> </w:t>
      </w:r>
      <m:oMath>
        <m:r>
          <m:t>i</m:t>
        </m:r>
      </m:oMath>
      <w:r>
        <w:t xml:space="preserve">. Độ lớn hiệu ứng gộp tính theo trọng số nghịch đảo phương sai (Borenstein et al., 2009).</w:t>
      </w:r>
    </w:p>
    <w:p>
      <w:pPr>
        <w:pStyle w:val="BodyText"/>
      </w:pPr>
      <w:r>
        <w:t xml:space="preserve">Tính không đồng nhất đo bằng</w:t>
      </w:r>
      <w:r>
        <w:t xml:space="preserve"> </w:t>
      </w:r>
      <m:oMath>
        <m:r>
          <m:t>Q</m:t>
        </m:r>
      </m:oMath>
      <w:r>
        <w:t xml:space="preserve">-test và</w:t>
      </w:r>
      <w:r>
        <w:t xml:space="preserve"> </w:t>
      </w:r>
      <m:oMath>
        <m:sSup>
          <m:e>
            <m:r>
              <m:t>I</m:t>
            </m:r>
          </m:e>
          <m:sup>
            <m:r>
              <m:t>2</m:t>
            </m:r>
          </m:sup>
        </m:sSup>
      </m:oMath>
      <w:r>
        <w:t xml:space="preserve"> </w:t>
      </w:r>
      <w:r>
        <w:t xml:space="preserve">(Higgins et al., 2003). Phân tích phân nhóm và hồi quy tổng hợp để kiểm định các biến điều tiết.</w:t>
      </w:r>
    </w:p>
    <w:p>
      <w:pPr>
        <w:pStyle w:val="BodyText"/>
      </w:pPr>
      <w:r>
        <w:rPr>
          <w:bCs/>
          <w:b/>
        </w:rPr>
        <w:t xml:space="preserve">Cơ sở kế thừa</w:t>
      </w:r>
      <w:r>
        <w:t xml:space="preserve">: chuẩn phân tích tổng hợp trong quản trị chiến lược (Combs et al., 2011; Aguinis et al., 2011).</w:t>
      </w:r>
    </w:p>
    <w:bookmarkEnd w:id="84"/>
    <w:bookmarkStart w:id="85" w:name="mô-hình-thực-nghiệm-tuyến-tính-cơ-bản"/>
    <w:p>
      <w:pPr>
        <w:pStyle w:val="Heading3"/>
      </w:pPr>
      <w:r>
        <w:t xml:space="preserve">3.4.2 Mô hình thực nghiệm: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véc-tơ các biến kiểm soát.</w:t>
      </w:r>
    </w:p>
    <w:bookmarkEnd w:id="85"/>
    <w:bookmarkStart w:id="86"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quan hệ chữ U ngược được xác nhận. Điểm uốn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bậc ba theo đặc tả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Do và Phan (2026b) cho đặc tả bậc ba ở Trung Quốc với điểm uốn ~47,8% FSTS.</w:t>
      </w:r>
    </w:p>
    <w:p>
      <w:pPr>
        <w:pStyle w:val="BodyText"/>
      </w:pPr>
      <w:r>
        <w:rPr>
          <w:bCs/>
          <w:b/>
        </w:rPr>
        <w:t xml:space="preserve">Kiểm định U của Lind-Mehlum</w:t>
      </w:r>
      <w:r>
        <w:t xml:space="preserve"> </w:t>
      </w:r>
      <w:r>
        <w:t xml:space="preserve">(Lind &amp; Mehlum, 2010; Haans et al., 2016) để xác nhận chặt chữ U ngược: kiểm định độ dốc dương ở bên trái và độ dốc âm ở bên phải của miền</w:t>
      </w:r>
      <w:r>
        <w:t xml:space="preserve"> </w:t>
      </w:r>
      <m:oMath>
        <m:r>
          <m:t>F</m:t>
        </m:r>
        <m:r>
          <m:t>S</m:t>
        </m:r>
        <m:r>
          <m:t>T</m:t>
        </m:r>
        <m:r>
          <m:t>S</m:t>
        </m:r>
      </m:oMath>
      <w:r>
        <w:t xml:space="preserve">.</w:t>
      </w:r>
    </w:p>
    <w:bookmarkEnd w:id="86"/>
    <w:bookmarkStart w:id="89" w:name="mô-hình-điều-tiết-h2-h6"/>
    <w:p>
      <w:pPr>
        <w:pStyle w:val="Heading3"/>
      </w:pPr>
      <w:r>
        <w:t xml:space="preserve">3.4.4 Mô hình điều tiết (H2-H6)</w:t>
      </w:r>
    </w:p>
    <w:bookmarkStart w:id="87" w:name="tương-tác-hai-chiều-h2-h3"/>
    <w:p>
      <w:pPr>
        <w:pStyle w:val="Heading4"/>
      </w:pPr>
      <w:r>
        <w:t xml:space="preserve">Tương tác hai chiều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biến điều tiết (TCI hoặc DAI).</w:t>
      </w:r>
    </w:p>
    <w:bookmarkEnd w:id="87"/>
    <w:bookmarkStart w:id="88" w:name="tương-tác-ba-chiều-tổng-hợp"/>
    <w:p>
      <w:pPr>
        <w:pStyle w:val="Heading4"/>
      </w:pPr>
      <w:r>
        <w:t xml:space="preserve">Tương tác ba chiều (tổng hợp)</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số hóa (DAI),</w:t>
      </w:r>
      <w:r>
        <w:t xml:space="preserve"> </w:t>
      </w:r>
      <m:oMath>
        <m:r>
          <m:t>I</m:t>
        </m:r>
      </m:oMath>
      <w:r>
        <w:t xml:space="preserve"> </w:t>
      </w:r>
      <w:r>
        <w:t xml:space="preserve">= thể chế (ICRV) là hai nhân tố điều tiết trọng tâm, và</w:t>
      </w:r>
      <w:r>
        <w:t xml:space="preserve"> </w:t>
      </w:r>
      <m:oMath>
        <m:r>
          <m:t>M</m:t>
        </m:r>
      </m:oMath>
      <w:r>
        <w:t xml:space="preserve"> </w:t>
      </w:r>
      <w:r>
        <w:t xml:space="preserve">= đặc điểm nhà quản trị được đưa vào như khối kiểm soát quản trị nội sinh.</w:t>
      </w:r>
    </w:p>
    <w:p>
      <w:pPr>
        <w:pStyle w:val="BodyText"/>
      </w:pPr>
      <w:r>
        <w:rPr>
          <w:bCs/>
          <w:b/>
        </w:rPr>
        <w:t xml:space="preserve">Cơ sở kế thừa</w:t>
      </w:r>
      <w:r>
        <w:t xml:space="preserve">: chuẩn về điều tiết trong quản trị chiến lược (Aiken &amp; West, 1991; Dawson, 2014).</w:t>
      </w:r>
    </w:p>
    <w:p>
      <w:pPr>
        <w:pStyle w:val="BodyText"/>
      </w:pPr>
      <w:r>
        <w:rPr>
          <w:bCs/>
          <w:b/>
        </w:rPr>
        <w:t xml:space="preserve">Đóng góp mới</w:t>
      </w:r>
      <w:r>
        <w:t xml:space="preserve">: điều tiết trọng tâm số hóa × thể chế (DAI × ICRV) trong bối cảnh châu Á và Thái Bình Dương với 47 nước chưa được kiểm định trước đây, với đặc điểm nhà quản trị giữ vai trò kiểm soát quản trị nội sinh nhằm bảo vệ tính nhân quả thuần khiết của tương tác Thể chế × Công nghệ.</w:t>
      </w:r>
    </w:p>
    <w:bookmarkEnd w:id="88"/>
    <w:bookmarkEnd w:id="89"/>
    <w:bookmarkStart w:id="90" w:name="X1792121fa728e86189eaf569568ca359e99a435"/>
    <w:p>
      <w:pPr>
        <w:pStyle w:val="Heading3"/>
      </w:pPr>
      <w:r>
        <w:t xml:space="preserve">3.4.5 Mô hình tính không đồng nhất theo thời gian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diễn tiến hai mươi năm; Xiao et al. (2013) với các điều kiện bối cảnh riêng của Trung Quốc; Do và Phan (2026b) làm mốc nền bậc ba 2012.</w:t>
      </w:r>
    </w:p>
    <w:p>
      <w:pPr>
        <w:pStyle w:val="BodyText"/>
      </w:pPr>
      <w:r>
        <w:rPr>
          <w:bCs/>
          <w:b/>
        </w:rPr>
        <w:t xml:space="preserve">Đóng góp mới</w:t>
      </w:r>
      <w:r>
        <w:t xml:space="preserve">: áp dụng cho Trung Quốc 2012 và 2024 để kiểm định tính ổn định của điểm uốn bậc ba (~47,8% FSTS) sau hơn một thập kỷ chuyển đổi số.</w:t>
      </w:r>
    </w:p>
    <w:bookmarkEnd w:id="90"/>
    <w:bookmarkStart w:id="91"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mẫu gộp.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t xml:space="preserve">**C</w:t>
      </w:r>
      <m:oMath>
        <m:sSubSup>
          <m:e>
            <m:r>
              <m:rPr>
                <m:nor/>
                <m:sty m:val="p"/>
              </m:rPr>
              <m:t>DDXK</m:t>
            </m:r>
          </m:e>
          <m:sub>
            <m:r>
              <m:t>c</m:t>
            </m:r>
          </m:sub>
          <m:sup>
            <m:r>
              <m:t>2</m:t>
            </m:r>
          </m:sup>
        </m:sSubSup>
      </m:oMath>
      <w:r>
        <w:t xml:space="preserve">_it** =</w:t>
      </w:r>
      <w:r>
        <w:t xml:space="preserve"> </w:t>
      </w:r>
      <m:oMath>
        <m:sSubSup>
          <m:e>
            <m:r>
              <m:rPr>
                <m:nor/>
                <m:sty m:val="p"/>
              </m:rPr>
              <m:t>FSTS</m:t>
            </m:r>
          </m:e>
          <m:sub>
            <m:r>
              <m:t>c</m:t>
            </m:r>
          </m:sub>
          <m:sup>
            <m:r>
              <m:t>2</m:t>
            </m:r>
          </m:sup>
        </m:sSubSup>
      </m:oMath>
      <w:r>
        <w:t xml:space="preserve">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(ISIC 1 chữ số);</w:t>
      </w:r>
      <w:r>
        <w:t xml:space="preserve"> </w:t>
      </w:r>
      <w:r>
        <w:rPr>
          <w:bCs/>
          <w:b/>
        </w:rPr>
        <w:t xml:space="preserve">λ_t</w:t>
      </w:r>
      <w:r>
        <w:t xml:space="preserve">: hiệu ứng cố định sóng (chỉ mẫu gộp)</w:t>
      </w:r>
    </w:p>
    <w:p>
      <w:pPr>
        <w:pStyle w:val="FirstParagraph"/>
      </w:pPr>
      <w:r>
        <w:rPr>
          <w:bCs/>
          <w:b/>
        </w:rPr>
        <w:t xml:space="preserve">M0,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chữ U ngược):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Điều tiết CSS/DAI (H3,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mẫu gộp. Mô hình được ước lượng riêng cho 3 sóng và mẫu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chữ U ngược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(H3,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w:t>
            </w:r>
          </w:p>
        </w:tc>
        <w:tc>
          <w:tcPr/>
          <w:p>
            <w:pPr>
              <w:pStyle w:val="Compact"/>
              <w:jc w:val="left"/>
            </w:pPr>
            <w:r>
              <w:t xml:space="preserve">chỉ báo sóng khảo sát (chỉ mẫu gộp)</w:t>
            </w:r>
          </w:p>
        </w:tc>
        <w:tc>
          <w:tcPr/>
          <w:p>
            <w:pPr>
              <w:pStyle w:val="Compact"/>
              <w:jc w:val="left"/>
            </w:pPr>
            <w:r>
              <w:t xml:space="preserve">Hiệu ứng cố định thời kỳ</w:t>
            </w:r>
          </w:p>
        </w:tc>
      </w:tr>
    </w:tbl>
    <w:bookmarkEnd w:id="91"/>
    <w:bookmarkStart w:id="92"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w:t>
      </w:r>
      <m:oMath>
        <m:sSubSup>
          <m:e>
            <m:r>
              <m:rPr>
                <m:nor/>
                <m:sty m:val="p"/>
              </m:rPr>
              <m:t>DDXK</m:t>
            </m:r>
          </m:e>
          <m:sub>
            <m:r>
              <m:t>c</m:t>
            </m:r>
          </m:sub>
          <m:sup>
            <m:r>
              <m:t>2</m:t>
            </m:r>
          </m:sup>
        </m:sSubSup>
      </m:oMath>
      <w:r>
        <w:t xml:space="preserve"> </w:t>
      </w:r>
      <w:r>
        <w:t xml:space="preserve">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phân tích Việt Nam ở chỗ bao gồm thanh toán điện tử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phân tích Việt Nam</w:t>
      </w:r>
    </w:p>
    <w:p>
      <w:pPr>
        <w:numPr>
          <w:ilvl w:val="0"/>
          <w:numId w:val="1004"/>
        </w:numPr>
        <w:pStyle w:val="Compact"/>
      </w:pPr>
      <w:r>
        <w:rPr>
          <w:bCs/>
          <w:b/>
        </w:rPr>
        <w:t xml:space="preserve">δ_s</w:t>
      </w:r>
      <w:r>
        <w:t xml:space="preserve">: hiệu ứng cố định ngành (ISIC 1 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(Cơ sở):</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w:t>
      </w:r>
      <w:r>
        <w:t xml:space="preserve"> </w:t>
      </w:r>
      <m:oMath>
        <m:sSub>
          <m:e>
            <m:r>
              <m:t>β</m:t>
            </m:r>
          </m:e>
          <m:sub>
            <m:r>
              <m:t>1</m:t>
            </m:r>
          </m:sub>
        </m:sSub>
      </m:oMath>
      <w:r>
        <w:t xml:space="preserve"> </w:t>
      </w:r>
      <w:r>
        <w:t xml:space="preserve">CDDXK_c_i + γ, X_i + δ_s + ε_i</w:t>
      </w:r>
    </w:p>
    <w:p>
      <w:pPr>
        <w:pStyle w:val="BlockText"/>
      </w:pPr>
      <w:r>
        <w:t xml:space="preserve">M2 (Bậc hai FSTS, kiểm định H1):</w:t>
      </w:r>
      <w:r>
        <w:t xml:space="preserve"> </w:t>
      </w:r>
      <w:r>
        <w:t xml:space="preserve">lnNSLD_i = α +</w:t>
      </w:r>
      <w:r>
        <w:t xml:space="preserve"> </w:t>
      </w:r>
      <m:oMath>
        <m:sSub>
          <m:e>
            <m:r>
              <m:t>β</m:t>
            </m:r>
          </m:e>
          <m:sub>
            <m:r>
              <m:t>1</m:t>
            </m:r>
          </m:sub>
        </m:sSub>
      </m:oMath>
      <w:r>
        <w:t xml:space="preserve"> </w:t>
      </w:r>
      <w:r>
        <w:t xml:space="preserve">CDDXK_c_i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 + γ, X_i + δ_s + ε_i</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 trung bình mẫu</w:t>
      </w:r>
      <w:r>
        <w:t xml:space="preserve"> </w:t>
      </w:r>
      <m:oMath>
        <m:r>
          <m:rPr>
            <m:sty m:val="p"/>
          </m:rPr>
          <m:t>≈</m:t>
        </m:r>
      </m:oMath>
      <w:r>
        <w:t xml:space="preserve"> </w:t>
      </w:r>
      <w:r>
        <w:t xml:space="preserve">82%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H1-TCI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ε</w:t>
      </w:r>
    </w:p>
    <w:p>
      <w:pPr>
        <w:pStyle w:val="BlockText"/>
      </w:pPr>
      <w:r>
        <w:t xml:space="preserve">M4 (+ CSS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ε</w:t>
      </w:r>
    </w:p>
    <w:p>
      <w:pPr>
        <w:pStyle w:val="BlockText"/>
      </w:pPr>
      <w:r>
        <w:t xml:space="preserve">M5 (Mô hình đầy đủ, kiểm định H3):</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CSS_z)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CSS_z) + γ, X + δ_s + ε</w:t>
      </w:r>
      <w:r>
        <w:t xml:space="preserve"> </w:t>
      </w:r>
      <w:r>
        <w:t xml:space="preserve">H3:</w:t>
      </w:r>
      <w:r>
        <w:t xml:space="preserve"> </w:t>
      </w:r>
      <m:oMath>
        <m:sSub>
          <m:e>
            <m:r>
              <m:t>β</m:t>
            </m:r>
          </m:e>
          <m:sub>
            <m:r>
              <m:t>6</m:t>
            </m:r>
          </m:sub>
        </m:sSub>
      </m:oMath>
      <w:r>
        <w:t xml:space="preserve"> </w:t>
      </w:r>
      <w:r>
        <w:t xml:space="preserve">&gt; 0, DAI khuếch đại lợi nhuận I-P ở cường độ xuất khẩu cao (cơ chế nền tảng phối hợp; Stallkamp &amp; Schotter, 2021)</w:t>
      </w:r>
      <w:r>
        <w:t xml:space="preserve"> </w:t>
      </w:r>
      <w:r>
        <w:t xml:space="preserve">Kết quả:</w:t>
      </w:r>
      <w:r>
        <w:t xml:space="preserve"> </w:t>
      </w:r>
      <m:oMath>
        <m:sSub>
          <m:e>
            <m:r>
              <m:t>β</m:t>
            </m:r>
          </m:e>
          <m:sub>
            <m:r>
              <m:t>6</m:t>
            </m:r>
          </m:sub>
        </m:sSub>
      </m:oMath>
      <w:r>
        <w:t xml:space="preserve"> </w:t>
      </w:r>
      <w:r>
        <w:t xml:space="preserve">= +3,119 (p = 0,005) trong mẫu đầy đủ;</w:t>
      </w:r>
      <w:r>
        <w:t xml:space="preserve"> </w:t>
      </w:r>
      <m:oMath>
        <m:sSub>
          <m:e>
            <m:r>
              <m:t>β</m:t>
            </m:r>
          </m:e>
          <m:sub>
            <m:r>
              <m:t>6</m:t>
            </m:r>
          </m:sub>
        </m:sSub>
      </m:oMath>
      <w:r>
        <w:t xml:space="preserve"> </w:t>
      </w:r>
      <w:r>
        <w:t xml:space="preserve">= +2,821 (p = 0,003, F-test) trong mẫu chỉ xuất khẩu (N = 84, lưu ý: công suất thống kê</w:t>
      </w:r>
      <w:r>
        <w:t xml:space="preserve"> </w:t>
      </w:r>
      <m:oMath>
        <m:r>
          <m:rPr>
            <m:sty m:val="p"/>
          </m:rPr>
          <m:t>≈</m:t>
        </m:r>
      </m:oMath>
      <w:r>
        <w:t xml:space="preserve"> </w:t>
      </w:r>
      <w:r>
        <w:t xml:space="preserve">16%)</w:t>
      </w:r>
    </w:p>
    <w:p>
      <w:pPr>
        <w:pStyle w:val="FirstParagraph"/>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92"/>
    <w:bookmarkStart w:id="93"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2.610; 2024: N = 1.934; mẫu gộp N = 4.544). Thiết kế đa sóng không phải panel (217 doanh nghiệp xuất hiện cả hai sóng tạo thành nhóm lõi, được sử dụng cho sai số chuẩn vững theo cụm).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phân tích Việt Nam</w:t>
      </w:r>
    </w:p>
    <w:p>
      <w:pPr>
        <w:numPr>
          <w:ilvl w:val="0"/>
          <w:numId w:val="1005"/>
        </w:numPr>
        <w:pStyle w:val="Compact"/>
      </w:pPr>
      <w:r>
        <w:rPr>
          <w:bCs/>
          <w:b/>
        </w:rPr>
        <w:t xml:space="preserve">CSS_z_it</w:t>
      </w:r>
      <w:r>
        <w:t xml:space="preserve"> </w:t>
      </w:r>
      <w:r>
        <w:t xml:space="preserve">= DAI_core_it: chỉ số số hoá cơ bản, chỉ c22b₀₁ (Tier-1 mỏng, đơn biến nhị phân)</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hiệu ứng cố định ngành;</w:t>
      </w:r>
      <w:r>
        <w:t xml:space="preserve"> </w:t>
      </w:r>
      <w:r>
        <w:rPr>
          <w:bCs/>
          <w:b/>
        </w:rPr>
        <w:t xml:space="preserve">λ_t</w:t>
      </w:r>
      <w:r>
        <w:t xml:space="preserve">: hiệu ứng cố định sóng (chỉ mẫu gộp)</w:t>
      </w:r>
    </w:p>
    <w:p>
      <w:pPr>
        <w:pStyle w:val="FirstParagraph"/>
      </w:pPr>
      <w:r>
        <w:rPr>
          <w:bCs/>
          <w:b/>
        </w:rPr>
        <w:t xml:space="preserve">Chuỗi mô hình lồng nhau M0-M6:</w:t>
      </w:r>
    </w:p>
    <w:p>
      <w:pPr>
        <w:pStyle w:val="BlockText"/>
      </w:pPr>
      <w:r>
        <w:t xml:space="preserve">M0 (Cơ sở):</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w:t>
      </w:r>
      <w:r>
        <w:t xml:space="preserve"> </w:t>
      </w:r>
      <m:oMath>
        <m:sSub>
          <m:e>
            <m:r>
              <m:t>β</m:t>
            </m:r>
          </m:e>
          <m:sub>
            <m:r>
              <m:t>1</m:t>
            </m:r>
          </m:sub>
        </m:sSub>
      </m:oMath>
      <w:r>
        <w:t xml:space="preserve"> </w:t>
      </w:r>
      <w:r>
        <w:t xml:space="preserve">CDDXK_c_it + γ, X_it + δ_s + λ_t + ε_it</w:t>
      </w:r>
    </w:p>
    <w:p>
      <w:pPr>
        <w:pStyle w:val="BlockText"/>
      </w:pPr>
      <w:r>
        <w:t xml:space="preserve">M2 (Bậc hai FSTS, kiểm định H1):</w:t>
      </w:r>
      <w:r>
        <w:t xml:space="preserve"> </w:t>
      </w:r>
      <w:r>
        <w:t xml:space="preserve">lnNSLD_it = α +</w:t>
      </w:r>
      <w:r>
        <w:t xml:space="preserve"> </w:t>
      </w:r>
      <m:oMath>
        <m:sSub>
          <m:e>
            <m:r>
              <m:t>β</m:t>
            </m:r>
          </m:e>
          <m:sub>
            <m:r>
              <m:t>1</m:t>
            </m:r>
          </m:sub>
        </m:sSub>
      </m:oMath>
      <w:r>
        <w:t xml:space="preserve"> </w:t>
      </w:r>
      <w:r>
        <w:t xml:space="preserve">CDDXK_c_it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_it + γ, X_it + δ_s + λ_t + ε_it</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điểm uốn 49,4% (2012), 47,2% (2024), và 48,8% (mẫu gộp)</w:t>
      </w:r>
      <w:r>
        <w:t xml:space="preserve"> </w:t>
      </w:r>
      <w:r>
        <w:t xml:space="preserve">Kiểm định ổn định cấu trúc: Paternoster (1998) z-test: z(FSTS) = +0,82 (p = 0,412); z(</w:t>
      </w:r>
      <m:oMath>
        <m:sSup>
          <m:e>
            <m:r>
              <m:rPr>
                <m:nor/>
                <m:sty m:val="p"/>
              </m:rPr>
              <m:t>FSTS</m:t>
            </m:r>
          </m:e>
          <m:sup>
            <m:r>
              <m:t>2</m:t>
            </m:r>
          </m:sup>
        </m:sSup>
      </m:oMath>
      <w:r>
        <w:t xml:space="preserve">) = −0,61 (p = 0,545), không bác bỏ bình đẳng hệ số giữa hai sóng</w:t>
      </w:r>
    </w:p>
    <w:p>
      <w:pPr>
        <w:pStyle w:val="BlockText"/>
      </w:pPr>
      <w:r>
        <w:t xml:space="preserve">M3 (+ NLCN trực tiếp, H2 level-shift):</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λ_t + ε</w:t>
      </w:r>
      <w:r>
        <w:t xml:space="preserve"> </w:t>
      </w:r>
      <w:r>
        <w:t xml:space="preserve">Kết quả:</w:t>
      </w:r>
      <w:r>
        <w:t xml:space="preserve"> </w:t>
      </w:r>
      <m:oMath>
        <m:sSub>
          <m:e>
            <m:r>
              <m:t>β</m:t>
            </m:r>
          </m:e>
          <m:sub>
            <m:r>
              <m:t>3</m:t>
            </m:r>
          </m:sub>
        </m:sSub>
      </m:oMath>
      <w:r>
        <w:t xml:space="preserve"> </w:t>
      </w:r>
      <w:r>
        <w:t xml:space="preserve">= +0,28 (2012, p &lt; 0,001), +0,43 (2024, p &lt; 0,001), TCI là</w:t>
      </w:r>
      <w:r>
        <w:t xml:space="preserve"> </w:t>
      </w:r>
      <w:r>
        <w:t xml:space="preserve">“</w:t>
      </w:r>
      <w:r>
        <w:t xml:space="preserve">bộ tăng mức</w:t>
      </w:r>
      <w:r>
        <w:t xml:space="preserve">”</w:t>
      </w:r>
      <w:r>
        <w:t xml:space="preserve">, không điều tiết độ cong</w:t>
      </w:r>
    </w:p>
    <w:p>
      <w:pPr>
        <w:pStyle w:val="BlockText"/>
      </w:pPr>
      <w:r>
        <w:t xml:space="preserve">M4 (+ CSS trực tiếp):</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λ_t + ε</w:t>
      </w:r>
    </w:p>
    <w:p>
      <w:pPr>
        <w:pStyle w:val="BlockText"/>
      </w:pPr>
      <w:r>
        <w:t xml:space="preserve">M5 (Kiểm định ổn định xuyên sóng, H2b):</w:t>
      </w:r>
      <w:r>
        <w:t xml:space="preserve"> </w:t>
      </w:r>
      <w:r>
        <w:t xml:space="preserve">Ước lượng M2 riêng biệt cho 2012 và 2024, sau đó áp dụng:</w:t>
      </w:r>
      <w:r>
        <w:t xml:space="preserve"> </w:t>
      </w: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r>
                      <m:t>1</m:t>
                    </m:r>
                    <m:r>
                      <m:rPr>
                        <m:sty m:val="p"/>
                      </m:rPr>
                      <m:t>,</m:t>
                    </m:r>
                    <m:r>
                      <m:t>2012</m:t>
                    </m:r>
                  </m:sub>
                  <m:sup>
                    <m:r>
                      <m:t>2</m:t>
                    </m:r>
                  </m:sup>
                </m:sSubSup>
                <m:r>
                  <m:rPr>
                    <m:sty m:val="p"/>
                  </m:rPr>
                  <m:t>+</m:t>
                </m:r>
                <m:r>
                  <m:t>S</m:t>
                </m:r>
                <m:sSubSup>
                  <m:e>
                    <m:r>
                      <m:t>E</m:t>
                    </m:r>
                  </m:e>
                  <m:sub>
                    <m:r>
                      <m:t>1</m:t>
                    </m:r>
                    <m:r>
                      <m:rPr>
                        <m:sty m:val="p"/>
                      </m:rPr>
                      <m:t>,</m:t>
                    </m:r>
                    <m:r>
                      <m:t>2024</m:t>
                    </m:r>
                  </m:sub>
                  <m:sup>
                    <m:r>
                      <m:t>2</m:t>
                    </m:r>
                  </m:sup>
                </m:sSubSup>
              </m:e>
            </m:rad>
          </m:den>
        </m:f>
      </m:oMath>
      <w:r>
        <w:t xml:space="preserve"> </w:t>
      </w:r>
      <w:r>
        <w:t xml:space="preserve">(Paternoster et al., 1998), tương tự cho</w:t>
      </w:r>
      <w:r>
        <w:t xml:space="preserve"> </w:t>
      </w:r>
      <m:oMath>
        <m:sSub>
          <m:e>
            <m:r>
              <m:t>β</m:t>
            </m:r>
          </m:e>
          <m:sub>
            <m:r>
              <m:t>2</m:t>
            </m:r>
          </m:sub>
        </m:sSub>
      </m:oMath>
      <w:r>
        <w:t xml:space="preserve"> </w:t>
      </w:r>
      <w:r>
        <w:t xml:space="preserve">(</w:t>
      </w:r>
      <m:oMath>
        <m:sSup>
          <m:e>
            <m:r>
              <m:rPr>
                <m:nor/>
                <m:sty m:val="p"/>
              </m:rPr>
              <m:t>FSTS</m:t>
            </m:r>
          </m:e>
          <m:sup>
            <m:r>
              <m:t>2</m:t>
            </m:r>
          </m:sup>
        </m:sSup>
      </m:oMath>
      <w:r>
        <w:t xml:space="preserve">)</w:t>
      </w:r>
    </w:p>
    <w:p>
      <w:pPr>
        <w:pStyle w:val="BlockText"/>
      </w:pPr>
      <w:r>
        <w:t xml:space="preserve">M6 (Điều tiết ba chiều, kiểm định điều tiết DAI bậc nhất và bậc hai (H3)):</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NLCN_z)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NLCN_z)</w:t>
      </w:r>
      <w:r>
        <w:t xml:space="preserve"> </w:t>
      </w:r>
      <w:r>
        <w:t xml:space="preserve">+</w:t>
      </w:r>
      <w:r>
        <w:t xml:space="preserve"> </w:t>
      </w:r>
      <m:oMath>
        <m:sSub>
          <m:e>
            <m:r>
              <m:t>β</m:t>
            </m:r>
          </m:e>
          <m:sub>
            <m:r>
              <m:t>7</m:t>
            </m:r>
          </m:sub>
        </m:sSub>
      </m:oMath>
      <w:r>
        <w:t xml:space="preserve">(CDDXK_c × wave) +</w:t>
      </w:r>
      <w:r>
        <w:t xml:space="preserve"> </w:t>
      </w:r>
      <m:oMath>
        <m:sSub>
          <m:e>
            <m:r>
              <m:t>β</m:t>
            </m:r>
          </m:e>
          <m:sub>
            <m:r>
              <m:t>8</m:t>
            </m:r>
          </m:sub>
        </m:sSub>
      </m:oMath>
      <w:r>
        <w:t xml:space="preserve">(C</w:t>
      </w:r>
      <m:oMath>
        <m:sSubSup>
          <m:e>
            <m:r>
              <m:rPr>
                <m:nor/>
                <m:sty m:val="p"/>
              </m:rPr>
              <m:t>DDXK</m:t>
            </m:r>
          </m:e>
          <m:sub>
            <m:r>
              <m:t>c</m:t>
            </m:r>
          </m:sub>
          <m:sup>
            <m:r>
              <m:t>2</m:t>
            </m:r>
          </m:sup>
        </m:sSubSup>
      </m:oMath>
      <w:r>
        <w:t xml:space="preserve"> </w:t>
      </w:r>
      <w:r>
        <w:t xml:space="preserve">× wave) + γ, 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kết luận không có điều tiết năng lực–độ cong được chấp nhận</w:t>
      </w:r>
    </w:p>
    <w:p>
      <w:pPr>
        <w:pStyle w:val="FirstParagraph"/>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w:t>
            </w:r>
            <w:r>
              <w:t xml:space="preserve"> </w:t>
            </w:r>
            <w:r>
              <w:rPr>
                <w:bCs/>
                <w:b/>
              </w:rPr>
              <w:t xml:space="preserve">Tier-1 đơn biến</w:t>
            </w:r>
            <w:r>
              <w:t xml:space="preserve"> </w:t>
            </w:r>
            <w:r>
              <w:t xml:space="preserve">(nhị phân)</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ngành ISIC</w:t>
            </w:r>
          </w:p>
        </w:tc>
        <w:tc>
          <w:tcPr/>
          <w:p>
            <w:pPr>
              <w:pStyle w:val="Compact"/>
              <w:jc w:val="left"/>
            </w:pPr>
            <w:r>
              <w:t xml:space="preserve">hiệu ứng cố định ngành</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 (2012/2024)</w:t>
            </w:r>
          </w:p>
        </w:tc>
        <w:tc>
          <w:tcPr/>
          <w:p>
            <w:pPr>
              <w:pStyle w:val="Compact"/>
              <w:jc w:val="left"/>
            </w:pPr>
            <w:r>
              <w:t xml:space="preserve">hiệu ứng cố định sóng (chỉ mẫu gộp)</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(nhóm lõi xuất hiện hai sóng) tạo thêm nhận dạng biến thiên trong mẫu, trong khi sai số chuẩn gom cụm theo idstd xử lý tương quan nội nhóm. DAI Trung Quốc chỉ là Tier-1 đơn biến, không đủ để kiểm định CDCM; hàm ý chính sách và lý thuyết khác với phân tích Singapore (Tier-1+2).</w:t>
      </w:r>
    </w:p>
    <w:p>
      <w:r>
        <w:pict>
          <v:rect style="width:0;height:1.5pt" o:hralign="center" o:hrstd="t" o:hr="t"/>
        </w:pict>
      </w:r>
    </w:p>
    <w:bookmarkEnd w:id="93"/>
    <w:bookmarkStart w:id="94" w:name="Xd8f33be7e9e46903e9ff029f9f6c3cbb70a75e5"/>
    <w:p>
      <w:pPr>
        <w:pStyle w:val="Heading3"/>
      </w:pPr>
      <w:r>
        <w:t xml:space="preserve">3.4.5.4 Mô hình cụ thể,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45 nền kinh tế châu Á và Thái Bình Dương</w:t>
      </w:r>
      <w:r>
        <w:t xml:space="preserve"> </w:t>
      </w:r>
      <w:r>
        <w:t xml:space="preserve">(98 cặp quốc gia × năm, 2003-2025). Mẫu phân tích toàn phần đạt N = 82.302 (M0-M2) đến N = 28.500 (M11 đầy đủ). Thiết kế OLS phân cấp với sai số chuẩn vững HC1, gom cụm theo quốc gia–năm.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điều chỉnh trung bình, FSTS_c = (d3c/100) − mean_pool(FSTS)</w:t>
      </w:r>
    </w:p>
    <w:p>
      <w:pPr>
        <w:numPr>
          <w:ilvl w:val="0"/>
          <w:numId w:val="1006"/>
        </w:numPr>
        <w:pStyle w:val="Compact"/>
      </w:pPr>
      <w:r>
        <w:t xml:space="preserve">**C</w:t>
      </w:r>
      <m:oMath>
        <m:sSubSup>
          <m:e>
            <m:r>
              <m:rPr>
                <m:nor/>
                <m:sty m:val="p"/>
              </m:rPr>
              <m:t>DDXK</m:t>
            </m:r>
          </m:e>
          <m:sub>
            <m:r>
              <m:t>c</m:t>
            </m:r>
          </m:sub>
          <m:sup>
            <m:r>
              <m:t>2</m:t>
            </m:r>
          </m:sup>
        </m:sSubSup>
      </m:oMath>
      <w:r>
        <w:t xml:space="preserve">_it**: CDDXK_c bình phương, kiểm định phi tuyến</w:t>
      </w:r>
    </w:p>
    <w:p>
      <w:pPr>
        <w:numPr>
          <w:ilvl w:val="0"/>
          <w:numId w:val="1006"/>
        </w:numPr>
        <w:pStyle w:val="Compact"/>
      </w:pPr>
      <w:r>
        <w:rPr>
          <w:bCs/>
          <w:b/>
        </w:rPr>
        <w:t xml:space="preserve">NLCN_z_it</w:t>
      </w:r>
      <w:r>
        <w:t xml:space="preserve">: năng lực công nghệ chuẩn hoá z, TCI_z = z-std(b8, e6)</w:t>
      </w:r>
    </w:p>
    <w:p>
      <w:pPr>
        <w:numPr>
          <w:ilvl w:val="0"/>
          <w:numId w:val="1006"/>
        </w:numPr>
        <w:pStyle w:val="Compact"/>
      </w:pPr>
      <w:r>
        <w:rPr>
          <w:bCs/>
          <w:b/>
        </w:rPr>
        <w:t xml:space="preserve">CSS_z_it</w:t>
      </w:r>
      <w:r>
        <w:t xml:space="preserve">: chỉ số số hoá chuẩn hoá z, DAI_z = z-std(website + thanh toán điện tử,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nhà quản trị cấp cao là nữ (nhị phân, b7a/b6a)</w:t>
      </w:r>
    </w:p>
    <w:p>
      <w:pPr>
        <w:numPr>
          <w:ilvl w:val="0"/>
          <w:numId w:val="1006"/>
        </w:numPr>
        <w:pStyle w:val="Compact"/>
      </w:pPr>
      <w:r>
        <w:rPr>
          <w:bCs/>
          <w:b/>
        </w:rPr>
        <w:t xml:space="preserve">ICRV_j</w:t>
      </w:r>
      <w:r>
        <w:t xml:space="preserve">: phân loại chế độ thể chế ICRV (số nguyên 1-6, từ Tiên tiến đến 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hiệu ứng cố định quốc gia × năm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cơ sở):</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hiệu ứng cố định quốc gia–năm,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671</m:t>
          </m:r>
          <m:r>
            <m:rPr>
              <m:sty m:val="p"/>
            </m:rPr>
            <m:t>;</m:t>
          </m:r>
          <m:r>
            <m:t> </m:t>
          </m:r>
          <m:r>
            <m:t>T</m:t>
          </m:r>
          <m:r>
            <m:t>P</m:t>
          </m:r>
          <m:r>
            <m:rPr>
              <m:sty m:val="p"/>
            </m:rPr>
            <m:t>≈</m:t>
          </m:r>
          <m:r>
            <m:t>39</m:t>
          </m:r>
          <m:r>
            <m:rPr>
              <m:sty m:val="p"/>
            </m:rPr>
            <m:t>,</m:t>
          </m:r>
          <m:r>
            <m:t>5</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như kiểm soát quản trị nội sinh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202</m:t>
              </m:r>
            </m:e>
            <m:sup>
              <m:r>
                <m:rPr>
                  <m:sty m:val="p"/>
                </m:rPr>
                <m:t>*</m:t>
              </m:r>
              <m:r>
                <m:rPr>
                  <m:sty m:val="p"/>
                </m:rPr>
                <m:t>*</m:t>
              </m:r>
              <m:r>
                <m:rPr>
                  <m:sty m:val="p"/>
                </m:rPr>
                <m:t>*</m:t>
              </m:r>
            </m:sup>
          </m:sSup>
          <m:r>
            <m:rPr>
              <m:nor/>
              <m:sty m:val="p"/>
            </m:rPr>
            <m:t> (nhà quản trị cấp cao là nữ: hiệu ứng nâng mặt bằng, lợi thế hiệu quả  22%xuyên bối cảnh)</m:t>
          </m:r>
        </m:oMath>
      </m:oMathPara>
    </w:p>
    <w:p>
      <w:pPr>
        <w:pStyle w:val="FirstParagraph"/>
      </w:pPr>
      <m:oMathPara>
        <m:oMathParaPr>
          <m:jc m:val="center"/>
        </m:oMathParaPr>
        <m:oMath>
          <m:r>
            <m:rPr>
              <m:nor/>
              <m:sty m:val="p"/>
            </m:rPr>
            <m:t>Số hạng </m:t>
          </m:r>
          <m:sSub>
            <m:e>
              <m:r>
                <m:t>β</m:t>
              </m:r>
            </m:e>
            <m:sub>
              <m:r>
                <m:t>9</m:t>
              </m:r>
            </m:sub>
          </m:sSub>
          <m:r>
            <m:rPr>
              <m:sty m:val="p"/>
            </m:rPr>
            <m:t>,</m:t>
          </m:r>
          <m:sSub>
            <m:e>
              <m:r>
                <m:t>β</m:t>
              </m:r>
            </m:e>
            <m:sub>
              <m:r>
                <m:t>10</m:t>
              </m:r>
            </m:sub>
          </m:sSub>
          <m:r>
            <m:rPr>
              <m:nor/>
              <m:sty m:val="p"/>
            </m:rPr>
            <m:t> là kiểm soát mức; số hạng tương tác </m:t>
          </m:r>
          <m:sSub>
            <m:e>
              <m:r>
                <m:t>β</m:t>
              </m:r>
            </m:e>
            <m:sub>
              <m:r>
                <m:t>11</m:t>
              </m:r>
            </m:sub>
          </m:sSub>
          <m:r>
            <m:rPr>
              <m:nor/>
              <m:sty m:val="p"/>
            </m:rPr>
            <m:t> chỉ là chẩn đoán phụ trợ, không phải bằng chứng điều tiết trọng tâm.</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d>
            <m:dPr>
              <m:begChr m:val="|"/>
              <m:endChr m:val="|"/>
              <m:sepChr m:val=""/>
              <m:grow/>
            </m:dPr>
            <m:e>
              <m:sSub>
                <m:e>
                  <m:r>
                    <m:t>β</m:t>
                  </m:r>
                </m:e>
                <m:sub>
                  <m:r>
                    <m:t>2</m:t>
                  </m:r>
                </m:sub>
              </m:sSub>
            </m:e>
          </m:d>
          <m:r>
            <m:rPr>
              <m:nor/>
              <m:sty m:val="p"/>
            </m:rPr>
            <m:t> (độ cong) tăng khi ICRV tăng (thể chế yếu hơn): </m:t>
          </m:r>
          <m:r>
            <m:t>C</m:t>
          </m:r>
          <m:r>
            <m:t>D</m:t>
          </m:r>
          <m:r>
            <m:t>D</m:t>
          </m:r>
          <m:r>
            <m:t>X</m:t>
          </m:r>
          <m:r>
            <m:t>K</m:t>
          </m:r>
          <m:r>
            <m:rPr>
              <m:sty m:val="p"/>
            </m:rPr>
            <m:t>_</m:t>
          </m:r>
          <m:sSup>
            <m:e>
              <m:r>
                <m:t>c</m:t>
              </m:r>
            </m:e>
            <m:sup>
              <m:r>
                <m:t>2</m:t>
              </m:r>
            </m:sup>
          </m:sSup>
          <m:r>
            <m:rPr>
              <m:sty m:val="p"/>
            </m:rPr>
            <m:t>×</m:t>
          </m:r>
          <m:r>
            <m:t>I</m:t>
          </m:r>
          <m:r>
            <m:t>C</m:t>
          </m:r>
          <m:r>
            <m:t>R</m:t>
          </m:r>
          <m:r>
            <m:t>V</m:t>
          </m:r>
          <m:r>
            <m:rPr>
              <m:sty m:val="p"/>
            </m:rPr>
            <m:t>&lt;</m:t>
          </m:r>
          <m:r>
            <m:t>0</m:t>
          </m:r>
          <m:r>
            <m:rPr>
              <m:sty m:val="p"/>
            </m:rPr>
            <m:t>;</m:t>
          </m:r>
          <m:r>
            <m:t> </m:t>
          </m:r>
          <m:r>
            <m:rPr>
              <m:nor/>
              <m:sty m:val="p"/>
            </m:rPr>
            <m:t>điểm uốn không dịch chuyển đơn điệu</m:t>
          </m:r>
        </m:oMath>
      </m:oMathPara>
    </w:p>
    <w:p>
      <w:pPr>
        <w:pStyle w:val="FirstParagraph"/>
      </w:pPr>
      <w:r>
        <w:rPr>
          <w:bCs/>
          <w:b/>
        </w:rPr>
        <w:t xml:space="preserve">M11</w:t>
      </w:r>
      <w:r>
        <w:t xml:space="preserve"> </w:t>
      </w:r>
      <w:r>
        <w:t xml:space="preserve">(full three-way, kiểm định H7-phân tích đa quốc gia):</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049</m:t>
              </m:r>
            </m:e>
            <m:sup>
              <m:r>
                <m:rPr>
                  <m:sty m:val="p"/>
                </m:rPr>
                <m:t>*</m:t>
              </m:r>
            </m:sup>
          </m:sSup>
          <m:r>
            <m:rPr>
              <m:sty m:val="p"/>
            </m:rPr>
            <m:t>;</m:t>
          </m:r>
          <m:r>
            <m:t> </m:t>
          </m:r>
          <m:r>
            <m:rPr>
              <m:nor/>
              <m:sty m:val="p"/>
            </m:rPr>
            <m:t>three-way NS</m:t>
          </m:r>
          <m:r>
            <m:rPr>
              <m:sty m:val="p"/>
            </m:rPr>
            <m:t>;</m:t>
          </m:r>
          <m:r>
            <m:t> </m:t>
          </m:r>
          <m:r>
            <m:t>T</m:t>
          </m:r>
          <m:r>
            <m:t>P</m:t>
          </m:r>
          <m:r>
            <m:rPr>
              <m:sty m:val="p"/>
            </m:rPr>
            <m:t>=</m:t>
          </m:r>
          <m:r>
            <m:t>25</m:t>
          </m:r>
          <m:r>
            <m:rPr>
              <m:sty m:val="p"/>
            </m:rPr>
            <m:t>,</m:t>
          </m:r>
          <m:r>
            <m:t>7</m:t>
          </m:r>
          <m:r>
            <m:rPr>
              <m:sty m:val="p"/>
            </m:rPr>
            <m:t>%</m:t>
          </m:r>
          <m:r>
            <m:rPr>
              <m:sty m:val="p"/>
            </m:rPr>
            <m:t>,</m:t>
          </m:r>
          <m:r>
            <m:t> </m:t>
          </m:r>
          <m:r>
            <m:rPr>
              <m:nor/>
              <m:sty m:val="p"/>
            </m:rPr>
            <m:t>LM </m:t>
          </m:r>
          <m:r>
            <m:t>p</m:t>
          </m:r>
          <m:r>
            <m:rPr>
              <m:sty m:val="p"/>
            </m:rPr>
            <m:t>=</m:t>
          </m:r>
          <m:r>
            <m:rPr>
              <m:sty m:val="p"/>
            </m:rPr>
            <m:t>,</m:t>
          </m:r>
          <m:r>
            <m:t>026</m:t>
          </m:r>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thanh toán điện tử):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nhà quản trị cấp cao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số nguyên 1-6 (Tiên tiến đổi mới đến 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Kiểm soát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hiệu ứng cố định quốc gia × năm</w:t>
            </w:r>
          </w:p>
        </w:tc>
        <w:tc>
          <w:tcPr/>
          <w:p>
            <w:pPr>
              <w:pStyle w:val="Compact"/>
              <w:jc w:val="left"/>
            </w:pPr>
            <w:r>
              <w:t xml:space="preserve">Hiệu ứng cố định</w:t>
            </w:r>
          </w:p>
        </w:tc>
      </w:tr>
    </w:tbl>
    <w:p>
      <w:pPr>
        <w:pStyle w:val="BodyText"/>
      </w:pPr>
      <w:r>
        <w:rPr>
          <w:iCs/>
          <w:i/>
        </w:rPr>
        <w:t xml:space="preserve">Ghi chú: Mẫu phân tích giảm dần từ N = 82.302 (M2), 36.772 (M3, thêm kiểm soát), 28.500 (M11, thêm nhà quản trị + ICRV + tương tác ba chiều). DAI phân tích đa quốc gia là Tier 1+2 khi k33 có mặt, chỉ Tier-1 khi thiếu, khác với phân tích Việt Nam (chỉ Tier-1) và đồng nhất với phân tích Singapore (Tier-1+2). ICRV là biến điều tiết liên tục (số nguyên), không phải biến giả, nhằm giữ N đủ lớn trong M10-M11.</w:t>
      </w:r>
    </w:p>
    <w:p>
      <w:r>
        <w:pict>
          <v:rect style="width:0;height:1.5pt" o:hralign="center" o:hrstd="t" o:hr="t"/>
        </w:pict>
      </w:r>
    </w:p>
    <w:bookmarkEnd w:id="94"/>
    <w:bookmarkStart w:id="95" w:name="X86c32e628f75359e777376950436514c3a68c92"/>
    <w:p>
      <w:pPr>
        <w:pStyle w:val="Heading3"/>
      </w:pPr>
      <w:r>
        <w:t xml:space="preserve">3.4.5.5 Mô hình cụ thể, Nghiên cứu 8: Quốc đảo nhỏ Thái Bình Dương (N = 1.469, Nhóm VI)</w:t>
      </w:r>
    </w:p>
    <w:p>
      <w:pPr>
        <w:pStyle w:val="FirstParagraph"/>
      </w:pPr>
      <w:r>
        <w:t xml:space="preserve">Nghiên cứu 8 phân tích mẫu gồm</w:t>
      </w:r>
      <w:r>
        <w:t xml:space="preserve"> </w:t>
      </w:r>
      <w:r>
        <w:rPr>
          <w:bCs/>
          <w:b/>
        </w:rPr>
        <w:t xml:space="preserve">N = 1.469 doanh nghiệp</w:t>
      </w:r>
      <w:r>
        <w:t xml:space="preserve"> </w:t>
      </w:r>
      <w:r>
        <w:t xml:space="preserve">tại</w:t>
      </w:r>
      <w:r>
        <w:t xml:space="preserve"> </w:t>
      </w:r>
      <w:r>
        <w:rPr>
          <w:bCs/>
          <w:b/>
        </w:rPr>
        <w:t xml:space="preserve">9 nền kinh tế quốc đảo nhỏ Thái Bình Dương (Pacific SIDS)</w:t>
      </w:r>
      <w:r>
        <w:t xml:space="preserve"> </w:t>
      </w:r>
      <w:r>
        <w:t xml:space="preserve">(Fiji, Kiribati, Papua New Guinea, Samoa, Solomon Islands, Timor-Leste, Tonga, Vanuatu, Comoros)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187 doanh nghiệp có hoạt động xuất khẩu</w:t>
      </w:r>
      <w:r>
        <w:t xml:space="preserve"> </w:t>
      </w:r>
      <w:r>
        <w:t xml:space="preserve">(12,7%),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phân tích Việt Nam-phân tích đa quốc gia. Lind-Mehlum U-test không bác bỏ đơn điệu (p &gt;,10), xác nhận không có điểm quay.</w:t>
      </w:r>
    </w:p>
    <w:p>
      <w:pPr>
        <w:pStyle w:val="BodyText"/>
      </w:pPr>
      <w:r>
        <w:rPr>
          <w:bCs/>
          <w:b/>
        </w:rPr>
        <w:t xml:space="preserve">Ký hiệu biến (đối chiếu tiếng Việt và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nhị phân):</w:t>
            </w:r>
            <w:r>
              <w:t xml:space="preserve"> </w:t>
            </w:r>
            <w:r>
              <w:rPr>
                <w:bCs/>
                <w:b/>
              </w:rPr>
              <w:t xml:space="preserve">chỉ Tier-1, không phải năng lực số động</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Hiệu ứng cố định quốc gia</w:t>
            </w:r>
          </w:p>
        </w:tc>
        <w:tc>
          <w:tcPr/>
          <w:p>
            <w:pPr>
              <w:pStyle w:val="Compact"/>
              <w:jc w:val="left"/>
            </w:pPr>
            <w:r>
              <w:t xml:space="preserve">a3b</w:t>
            </w:r>
          </w:p>
        </w:tc>
        <w:tc>
          <w:tcPr/>
          <w:p>
            <w:pPr>
              <w:pStyle w:val="Compact"/>
              <w:jc w:val="left"/>
            </w:pPr>
            <w:r>
              <w:t xml:space="preserve">biến giả theo quốc gia</w:t>
            </w:r>
          </w:p>
        </w:tc>
      </w:tr>
      <w:tr>
        <w:tc>
          <w:tcPr/>
          <w:p>
            <w:pPr>
              <w:pStyle w:val="Compact"/>
              <w:jc w:val="left"/>
            </w:pPr>
            <w:r>
              <w:t xml:space="preserve">λ_t</w:t>
            </w:r>
          </w:p>
        </w:tc>
        <w:tc>
          <w:tcPr/>
          <w:p>
            <w:pPr>
              <w:pStyle w:val="Compact"/>
              <w:jc w:val="left"/>
            </w:pPr>
            <w:r>
              <w:t xml:space="preserve">Hiệu ứng cố định sóng</w:t>
            </w:r>
          </w:p>
        </w:tc>
        <w:tc>
          <w:tcPr/>
          <w:p>
            <w:pPr>
              <w:pStyle w:val="Compact"/>
              <w:jc w:val="left"/>
            </w:pPr>
            <w:r>
              <w:t xml:space="preserve">wave</w:t>
            </w:r>
          </w:p>
        </w:tc>
        <w:tc>
          <w:tcPr/>
          <w:p>
            <w:pPr>
              <w:pStyle w:val="Compact"/>
              <w:jc w:val="left"/>
            </w:pPr>
            <w:r>
              <w:t xml:space="preserve">biến giả theo sóng điều tra</w:t>
            </w:r>
          </w:p>
        </w:tc>
      </w:tr>
    </w:tbl>
    <w:p>
      <w:pPr>
        <w:pStyle w:val="BodyText"/>
      </w:pPr>
      <w:r>
        <w:rPr>
          <w:iCs/>
          <w:i/>
        </w:rPr>
        <w:t xml:space="preserve">Ghi chú: CSS_z (DAI) là proxy tĩnh Tier-1 (website nhị phân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(SIDS):</w:t>
      </w:r>
    </w:p>
    <w:p>
      <w:pPr>
        <w:pStyle w:val="BodyText"/>
      </w:pPr>
      <w:r>
        <w:t xml:space="preserve">M0, Cơ sở (biến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r>
            <m:t>404</m:t>
          </m:r>
          <m:r>
            <m:rPr>
              <m:sty m:val="p"/>
            </m:rPr>
            <m:t>,</m:t>
          </m:r>
          <m:r>
            <m:t> </m:t>
          </m:r>
          <m:r>
            <m:t>p</m:t>
          </m:r>
          <m:r>
            <m:rPr>
              <m:sty m:val="p"/>
            </m:rPr>
            <m:t>=</m:t>
          </m:r>
          <m:r>
            <m:rPr>
              <m:sty m:val="p"/>
            </m:rPr>
            <m:t>,</m:t>
          </m:r>
          <m:r>
            <m:t>032</m:t>
          </m:r>
          <m:r>
            <m:t> </m:t>
          </m:r>
          <m:d>
            <m:dPr>
              <m:begChr m:val="("/>
              <m:endChr m:val=")"/>
              <m:sepChr m:val=""/>
              <m:grow/>
            </m:dPr>
            <m:e>
              <m:r>
                <m:rPr>
                  <m:nor/>
                  <m:sty m:val="p"/>
                </m:rPr>
                <m:t>country+year FE, N</m:t>
              </m:r>
              <m:r>
                <m:rPr>
                  <m:sty m:val="p"/>
                </m:rPr>
                <m:t>=</m:t>
              </m:r>
              <m:r>
                <m:t>1</m:t>
              </m:r>
              <m:r>
                <m:rPr>
                  <m:sty m:val="p"/>
                </m:rPr>
                <m:t>.</m:t>
              </m:r>
              <m:r>
                <m:t>469</m:t>
              </m:r>
            </m:e>
          </m:d>
          <m:r>
            <m:rPr>
              <m:sty m:val="p"/>
            </m:rPr>
            <m:t>⇒</m:t>
          </m:r>
          <m:r>
            <m:rPr>
              <m:nor/>
              <m:sty m:val="b"/>
            </m:rPr>
            <m:t>FIP xác nhận</m:t>
          </m:r>
        </m:oMath>
      </m:oMathPara>
    </w:p>
    <w:p>
      <w:pPr>
        <w:pStyle w:val="FirstParagraph"/>
      </w:pPr>
      <w:r>
        <w:t xml:space="preserve">M2, Kiểm định phi tuyến: thêm C</w:t>
      </w:r>
      <m:oMath>
        <m:sSubSup>
          <m:e>
            <m:r>
              <m:rPr>
                <m:nor/>
                <m:sty m:val="p"/>
              </m:rPr>
              <m:t>DDXK</m:t>
            </m:r>
          </m:e>
          <m:sub>
            <m:r>
              <m:t>c</m:t>
            </m:r>
          </m:sub>
          <m:sup>
            <m:r>
              <m:t>2</m:t>
            </m:r>
          </m:sup>
        </m:sSubSup>
      </m:oMath>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495</m:t>
          </m:r>
          <m:r>
            <m:t> </m:t>
          </m:r>
          <m:r>
            <m:rPr>
              <m:nor/>
              <m:sty m:val="p"/>
            </m:rPr>
            <m:t>NS</m:t>
          </m:r>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402</m:t>
          </m:r>
          <m:r>
            <m:t> </m:t>
          </m:r>
          <m:r>
            <m:rPr>
              <m:nor/>
              <m:sty m:val="p"/>
            </m:rPr>
            <m:t>NS</m:t>
          </m:r>
          <m:r>
            <m:rPr>
              <m:sty m:val="p"/>
            </m:rPr>
            <m:t>⇒</m:t>
          </m:r>
          <m:r>
            <m:rPr>
              <m:nor/>
              <m:sty m:val="p"/>
            </m:rPr>
            <m:t>H2 bị bác bỏ tại Nhóm VI</m:t>
          </m:r>
        </m:oMath>
      </m:oMathPara>
    </w:p>
    <w:p>
      <w:pPr>
        <w:pStyle w:val="FirstParagraph"/>
      </w:pPr>
      <w:r>
        <w:rPr>
          <w:bCs/>
          <w:b/>
        </w:rPr>
        <w:t xml:space="preserve">Phân tích độ vững: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Đặc tả</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hiệu ứng cố định quốc gia+năm (N = 1.469)</w:t>
            </w:r>
          </w:p>
        </w:tc>
        <w:tc>
          <w:tcPr/>
          <w:p>
            <w:pPr>
              <w:pStyle w:val="Compact"/>
              <w:jc w:val="left"/>
            </w:pPr>
            <w:r>
              <w:t xml:space="preserve">−0,404</w:t>
            </w:r>
          </w:p>
        </w:tc>
        <w:tc>
          <w:tcPr/>
          <w:p>
            <w:pPr>
              <w:pStyle w:val="Compact"/>
              <w:jc w:val="left"/>
            </w:pPr>
            <w:r>
              <w:t xml:space="preserve">-</w:t>
            </w:r>
          </w:p>
        </w:tc>
        <w:tc>
          <w:tcPr/>
          <w:p>
            <w:pPr>
              <w:pStyle w:val="Compact"/>
              <w:jc w:val="left"/>
            </w:pPr>
            <w:r>
              <w:t xml:space="preserve">,032</w:t>
            </w:r>
          </w:p>
        </w:tc>
      </w:tr>
      <w:tr>
        <w:tc>
          <w:tcPr/>
          <w:p>
            <w:pPr>
              <w:pStyle w:val="Compact"/>
              <w:jc w:val="left"/>
            </w:pPr>
            <w:r>
              <w:t xml:space="preserve">Chỉ hiệu ứng cố định năm (không hiệu ứng cố định quốc gia)</w:t>
            </w:r>
          </w:p>
        </w:tc>
        <w:tc>
          <w:tcPr/>
          <w:p>
            <w:pPr>
              <w:pStyle w:val="Compact"/>
              <w:jc w:val="left"/>
            </w:pPr>
            <w:r>
              <w:t xml:space="preserve">−1,236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Hai biến (không biến kiểm soát)</w:t>
            </w:r>
          </w:p>
        </w:tc>
        <w:tc>
          <w:tcPr/>
          <w:p>
            <w:pPr>
              <w:pStyle w:val="Compact"/>
              <w:jc w:val="left"/>
            </w:pPr>
            <w:r>
              <w:t xml:space="preserve">−1,596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Chỉ doanh nghiệp xuất khẩu (N = 187)</w:t>
            </w:r>
          </w:p>
        </w:tc>
        <w:tc>
          <w:tcPr/>
          <w:p>
            <w:pPr>
              <w:pStyle w:val="Compact"/>
              <w:jc w:val="left"/>
            </w:pPr>
            <w:r>
              <w:t xml:space="preserve">−0,901</w:t>
            </w:r>
          </w:p>
        </w:tc>
        <w:tc>
          <w:tcPr/>
          <w:p>
            <w:pPr>
              <w:pStyle w:val="Compact"/>
              <w:jc w:val="left"/>
            </w:pPr>
            <w:r>
              <w:t xml:space="preserve">-</w:t>
            </w:r>
          </w:p>
        </w:tc>
        <w:tc>
          <w:tcPr/>
          <w:p>
            <w:pPr>
              <w:pStyle w:val="Compact"/>
              <w:jc w:val="left"/>
            </w:pPr>
            <w:r>
              <w:t xml:space="preserve">,027</w:t>
            </w:r>
          </w:p>
        </w:tc>
      </w:tr>
    </w:tbl>
    <w:p>
      <w:pPr>
        <w:pStyle w:val="BodyText"/>
      </w:pPr>
      <w:r>
        <w:rPr>
          <w:iCs/>
          <w:i/>
        </w:rPr>
        <w:t xml:space="preserve">Hệ số âm nhất quán qua 4 đặc tả xác nhận FIP không phải do thiên lệch chọn mẫu hay giá trị ngoại lai.</w:t>
      </w:r>
    </w:p>
    <w:p>
      <w:pPr>
        <w:pStyle w:val="BodyText"/>
      </w:pPr>
      <w:r>
        <w:rPr>
          <w:bCs/>
          <w:b/>
        </w:rPr>
        <w:t xml:space="preserve">Bảng định nghĩa biến, Nghiên cứu 8 (quốc đảo nhỏ Thái Bình Dương)</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nhị phân): chỉ Tier-1</w:t>
            </w:r>
          </w:p>
        </w:tc>
        <w:tc>
          <w:tcPr/>
          <w:p>
            <w:pPr>
              <w:pStyle w:val="Compact"/>
              <w:jc w:val="left"/>
            </w:pPr>
            <w:r>
              <w:t xml:space="preserve">Số hoá,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Kiểm soát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hiệu ứng cố định quốc gia</w:t>
            </w:r>
          </w:p>
        </w:tc>
        <w:tc>
          <w:tcPr/>
          <w:p>
            <w:pPr>
              <w:pStyle w:val="Compact"/>
              <w:jc w:val="left"/>
            </w:pPr>
            <w:r>
              <w:t xml:space="preserve">Hiệu ứng cố định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hiệu ứng cố định sóng</w:t>
            </w:r>
          </w:p>
        </w:tc>
        <w:tc>
          <w:tcPr/>
          <w:p>
            <w:pPr>
              <w:pStyle w:val="Compact"/>
              <w:jc w:val="left"/>
            </w:pPr>
            <w:r>
              <w:t xml:space="preserve">Hiệu ứng cố định</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WBES không thu thập thang đo đầy đủ cho số hoá động tại SIDS.</w:t>
      </w:r>
    </w:p>
    <w:p>
      <w:r>
        <w:pict>
          <v:rect style="width:0;height:1.5pt" o:hralign="center" o:hrstd="t" o:hr="t"/>
        </w:pict>
      </w:r>
    </w:p>
    <w:bookmarkEnd w:id="95"/>
    <w:bookmarkStart w:id="96" w:name="sai-số-chuẩn"/>
    <w:p>
      <w:pPr>
        <w:pStyle w:val="Heading3"/>
      </w:pPr>
      <w:r>
        <w:t xml:space="preserve">3.4.6 Sai số chuẩn</w:t>
      </w:r>
    </w:p>
    <w:p>
      <w:pPr>
        <w:pStyle w:val="FirstParagraph"/>
      </w:pPr>
      <w:r>
        <w:t xml:space="preserve">Tất cả các mô hình đều sử dụng sai số chuẩn vững HC1/HC3 (Long &amp; Ervin, 2000; White, 1980) để xử lý phương sai sai số thay đổi. Đối với mẫu đa quốc gia, bổ sung sai số chuẩn gom cụm theo quốc gia.</w:t>
      </w:r>
    </w:p>
    <w:bookmarkEnd w:id="96"/>
    <w:bookmarkEnd w:id="97"/>
    <w:bookmarkStart w:id="103" w:name="kiểm-định-độ-vững"/>
    <w:p>
      <w:pPr>
        <w:pStyle w:val="Heading2"/>
      </w:pPr>
      <w:r>
        <w:t xml:space="preserve">3.5 Kiểm định độ vững</w:t>
      </w:r>
    </w:p>
    <w:bookmarkStart w:id="98" w:name="thay-đổi-thước-đo"/>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tăng trưởng doanh thu, tăng trưởng lao động.</w:t>
      </w:r>
    </w:p>
    <w:p>
      <w:pPr>
        <w:numPr>
          <w:ilvl w:val="0"/>
          <w:numId w:val="1007"/>
        </w:numPr>
        <w:pStyle w:val="Compact"/>
      </w:pPr>
      <w:r>
        <w:t xml:space="preserve">Biến độc lập: thay FSTS bằng trạng thái xuất khẩu (nhị phân), số thị trường xuất khẩu.</w:t>
      </w:r>
    </w:p>
    <w:p>
      <w:pPr>
        <w:numPr>
          <w:ilvl w:val="0"/>
          <w:numId w:val="1007"/>
        </w:numPr>
        <w:pStyle w:val="Compact"/>
      </w:pPr>
      <w:r>
        <w:t xml:space="preserve">Biến điều tiết: thay DAI_thin bằng DAI_rich (cho tập con 2024+).</w:t>
      </w:r>
    </w:p>
    <w:bookmarkEnd w:id="98"/>
    <w:bookmarkStart w:id="99" w:name="mẫu-phụ"/>
    <w:p>
      <w:pPr>
        <w:pStyle w:val="Heading3"/>
      </w:pPr>
      <w:r>
        <w:t xml:space="preserve">3.5.2 Mẫu phụ</w:t>
      </w:r>
    </w:p>
    <w:p>
      <w:pPr>
        <w:pStyle w:val="FirstParagraph"/>
      </w:pPr>
      <w:r>
        <w:t xml:space="preserve">Loại trừ doanh nghiệp siêu nhỏ (&lt;5 lao động); chỉ giữ doanh nghiệp nhỏ và vừa; chỉ giữ doanh nghiệp chế tạo; chỉ giữ doanh nghiệp xuất khẩu (FSTS &gt; 0); phân nhóm theo 6 chế độ con ICRV.</w:t>
      </w:r>
    </w:p>
    <w:bookmarkEnd w:id="99"/>
    <w:bookmarkStart w:id="100" w:name="giá-trị-ngoại-lai"/>
    <w:p>
      <w:pPr>
        <w:pStyle w:val="Heading3"/>
      </w:pPr>
      <w:r>
        <w:t xml:space="preserve">3.5.3 Giá trị ngoại lai</w:t>
      </w:r>
    </w:p>
    <w:p>
      <w:pPr>
        <w:pStyle w:val="FirstParagraph"/>
      </w:pPr>
      <w:r>
        <w:t xml:space="preserve">Winsor hóa 1% và 5% đối với năng suất lao động và số lao động, áp dụng trong từng quốc gia–năm.</w:t>
      </w:r>
    </w:p>
    <w:bookmarkEnd w:id="100"/>
    <w:bookmarkStart w:id="101" w:name="X400e0fe427e9f70ef210c661bf4ce66446e4657"/>
    <w:p>
      <w:pPr>
        <w:pStyle w:val="Heading3"/>
      </w:pPr>
      <w:r>
        <w:t xml:space="preserve">3.5.4 Đa cộng tuyến và phương sai sai số thay đổi</w:t>
      </w:r>
    </w:p>
    <w:p>
      <w:pPr>
        <w:numPr>
          <w:ilvl w:val="0"/>
          <w:numId w:val="1008"/>
        </w:numPr>
        <w:pStyle w:val="Compact"/>
      </w:pPr>
      <w:r>
        <w:t xml:space="preserve">VIF cho tất cả mô hình; ngưỡng VIF &lt; 5 (Hair et al., 2019).</w:t>
      </w:r>
    </w:p>
    <w:p>
      <w:pPr>
        <w:numPr>
          <w:ilvl w:val="0"/>
          <w:numId w:val="1008"/>
        </w:numPr>
        <w:pStyle w:val="Compact"/>
      </w:pPr>
      <w:r>
        <w:t xml:space="preserve">Kiểm định Breusch-Pagan (Breusch &amp; Pagan, 1979).</w:t>
      </w:r>
    </w:p>
    <w:bookmarkEnd w:id="101"/>
    <w:bookmarkStart w:id="102" w:name="phân-tích-độ-nhạy-cho-phân-tích-tổng-hợp"/>
    <w:p>
      <w:pPr>
        <w:pStyle w:val="Heading3"/>
      </w:pPr>
      <w:r>
        <w:t xml:space="preserve">3.5.5 Phân tích độ nhạy cho phân tích tổng hợp</w:t>
      </w:r>
    </w:p>
    <w:p>
      <w:pPr>
        <w:numPr>
          <w:ilvl w:val="0"/>
          <w:numId w:val="1009"/>
        </w:numPr>
        <w:pStyle w:val="Compact"/>
      </w:pPr>
      <w:r>
        <w:t xml:space="preserve">Bỏ-một (leave-one-out): loại từng nghiên cứu và tái tính hiệu ứng gộp.</w:t>
      </w:r>
    </w:p>
    <w:p>
      <w:pPr>
        <w:numPr>
          <w:ilvl w:val="0"/>
          <w:numId w:val="1009"/>
        </w:numPr>
        <w:pStyle w:val="Compact"/>
      </w:pPr>
      <w:r>
        <w:t xml:space="preserve">Trim-and-fill (Duval &amp; Tweedie, 2000) cho thiên lệch công bố.</w:t>
      </w:r>
    </w:p>
    <w:bookmarkEnd w:id="102"/>
    <w:bookmarkEnd w:id="103"/>
    <w:bookmarkStart w:id="104"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Thiết kế kết hợp</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nền kinh tế châu Á và Thái Bình Dương</w:t>
            </w:r>
            <w:r>
              <w:t xml:space="preserve"> </w:t>
            </w:r>
            <w:r>
              <w:t xml:space="preserve">trong một luận án</w:t>
            </w:r>
          </w:p>
        </w:tc>
      </w:tr>
      <w:tr>
        <w:tc>
          <w:tcPr/>
          <w:p>
            <w:pPr>
              <w:pStyle w:val="Compact"/>
              <w:jc w:val="left"/>
            </w:pPr>
            <w:r>
              <w:t xml:space="preserve">Phân tích tổng hợp 1982-2026</w:t>
            </w:r>
          </w:p>
        </w:tc>
        <w:tc>
          <w:tcPr/>
          <w:p>
            <w:pPr>
              <w:pStyle w:val="Compact"/>
              <w:jc w:val="left"/>
            </w:pPr>
            <w:r>
              <w:t xml:space="preserve">Bausch &amp; Krist (2007); Kirca et al. (2012); Marano et al. (2016)</w:t>
            </w:r>
          </w:p>
        </w:tc>
        <w:tc>
          <w:tcPr/>
          <w:p>
            <w:pPr>
              <w:pStyle w:val="Compact"/>
              <w:jc w:val="left"/>
            </w:pPr>
            <w:r>
              <w:t xml:space="preserve">Mở rộng phạm vi, bổ sung biến điều tiết số hóa và 6 chế độ con ICRV</w:t>
            </w:r>
          </w:p>
        </w:tc>
      </w:tr>
      <w:tr>
        <w:tc>
          <w:tcPr/>
          <w:p>
            <w:pPr>
              <w:pStyle w:val="Compact"/>
              <w:jc w:val="left"/>
            </w:pPr>
            <w:r>
              <w:t xml:space="preserve">Mẫu gộp thực nghiệm</w:t>
            </w:r>
          </w:p>
        </w:tc>
        <w:tc>
          <w:tcPr/>
          <w:p>
            <w:pPr>
              <w:pStyle w:val="Compact"/>
              <w:jc w:val="left"/>
            </w:pPr>
            <w:r>
              <w:t xml:space="preserve">Do &amp; Phan (2026a), 17 nước châu Á mới nổi</w:t>
            </w:r>
          </w:p>
        </w:tc>
        <w:tc>
          <w:tcPr/>
          <w:p>
            <w:pPr>
              <w:pStyle w:val="Compact"/>
              <w:jc w:val="left"/>
            </w:pPr>
            <w:r>
              <w:t xml:space="preserve">Mở rộng từ 17 lên</w:t>
            </w:r>
            <w:r>
              <w:t xml:space="preserve"> </w:t>
            </w:r>
            <w:r>
              <w:rPr>
                <w:bCs/>
                <w:b/>
              </w:rPr>
              <w:t xml:space="preserve">47 nước</w:t>
            </w:r>
            <w:r>
              <w:t xml:space="preserve"> </w:t>
            </w:r>
            <w:r>
              <w:t xml:space="preserve">với 101.185 doanh nghiệp, 108 cặp quốc gia × năm</w:t>
            </w:r>
          </w:p>
        </w:tc>
      </w:tr>
      <w:tr>
        <w:tc>
          <w:tcPr/>
          <w:p>
            <w:pPr>
              <w:pStyle w:val="Compact"/>
              <w:jc w:val="left"/>
            </w:pPr>
            <w:r>
              <w:t xml:space="preserve">Biến phụ thuộc năng suất lao động</w:t>
            </w:r>
          </w:p>
        </w:tc>
        <w:tc>
          <w:tcPr/>
          <w:p>
            <w:pPr>
              <w:pStyle w:val="Compact"/>
              <w:jc w:val="left"/>
            </w:pPr>
            <w:r>
              <w:t xml:space="preserve">Bloom et al. (2012); Hsieh &amp; Klenow (2009); Do &amp; Phan (2026a)</w:t>
            </w:r>
          </w:p>
        </w:tc>
        <w:tc>
          <w:tcPr/>
          <w:p>
            <w:pPr>
              <w:pStyle w:val="Compact"/>
              <w:jc w:val="left"/>
            </w:pPr>
            <w:r>
              <w:t xml:space="preserve">Lập luận rõ về hiệu quả hoạt động đa chiều trong bối cảnh WBES</w:t>
            </w:r>
          </w:p>
        </w:tc>
      </w:tr>
      <w:tr>
        <w:tc>
          <w:tcPr/>
          <w:p>
            <w:pPr>
              <w:pStyle w:val="Compact"/>
              <w:jc w:val="left"/>
            </w:pPr>
            <w:r>
              <w:t xml:space="preserve">FSTS +</w:t>
            </w:r>
            <w:r>
              <w:t xml:space="preserve"> </w:t>
            </w:r>
            <m:oMath>
              <m:sSup>
                <m:e>
                  <m:r>
                    <m:rPr>
                      <m:nor/>
                      <m:sty m:val="p"/>
                    </m:rPr>
                    <m:t>FSTS</m:t>
                  </m:r>
                </m:e>
                <m:sup>
                  <m:r>
                    <m:t>2</m:t>
                  </m:r>
                </m:sup>
              </m:sSup>
            </m:oMath>
            <w:r>
              <w:t xml:space="preserve"> </w:t>
            </w:r>
            <w:r>
              <w:t xml:space="preserve">+</w:t>
            </w:r>
            <w:r>
              <w:t xml:space="preserve"> </w:t>
            </w:r>
            <m:oMath>
              <m:sSup>
                <m:e>
                  <m:r>
                    <m:rPr>
                      <m:nor/>
                      <m:sty m:val="p"/>
                    </m:rPr>
                    <m:t>FSTS</m:t>
                  </m:r>
                </m:e>
                <m:sup>
                  <m:r>
                    <m:t>3</m:t>
                  </m:r>
                </m:sup>
              </m:sSup>
            </m:oMath>
          </w:p>
        </w:tc>
        <w:tc>
          <w:tcPr/>
          <w:p>
            <w:pPr>
              <w:pStyle w:val="Compact"/>
              <w:jc w:val="left"/>
            </w:pPr>
            <w:r>
              <w:t xml:space="preserve">Lu &amp; Beamish (2004); Hitt et al. (1997); Do &amp; Phan (2026b)</w:t>
            </w:r>
          </w:p>
        </w:tc>
        <w:tc>
          <w:tcPr/>
          <w:p>
            <w:pPr>
              <w:pStyle w:val="Compact"/>
              <w:jc w:val="left"/>
            </w:pPr>
            <w:r>
              <w:t xml:space="preserve">Đưa vào cùng khung điều tiết ba chiều</w:t>
            </w:r>
          </w:p>
        </w:tc>
      </w:tr>
      <w:tr>
        <w:tc>
          <w:tcPr/>
          <w:p>
            <w:pPr>
              <w:pStyle w:val="Compact"/>
              <w:jc w:val="left"/>
            </w:pPr>
            <w:r>
              <w:t xml:space="preserve">TCI và DAI</w:t>
            </w:r>
          </w:p>
        </w:tc>
        <w:tc>
          <w:tcPr/>
          <w:p>
            <w:pPr>
              <w:pStyle w:val="Compact"/>
              <w:jc w:val="left"/>
            </w:pPr>
            <w:r>
              <w:t xml:space="preserve">Bhandari et al. (2023); Verhoef et al. (2021)</w:t>
            </w:r>
          </w:p>
        </w:tc>
        <w:tc>
          <w:tcPr/>
          <w:p>
            <w:pPr>
              <w:pStyle w:val="Compact"/>
              <w:jc w:val="left"/>
            </w:pPr>
            <w:r>
              <w:t xml:space="preserve">Quy trình bảo đảm tính thuần nhất khái niệm không chồng lấn cho WBES; thay thế số cho thể chế mở rộng (Do &amp; Phan, 2026a)</w:t>
            </w:r>
          </w:p>
        </w:tc>
      </w:tr>
      <w:tr>
        <w:tc>
          <w:tcPr/>
          <w:p>
            <w:pPr>
              <w:pStyle w:val="Compact"/>
              <w:jc w:val="left"/>
            </w:pPr>
            <w:r>
              <w:t xml:space="preserve">Kiểm định U Lind-Mehlum</w:t>
            </w:r>
          </w:p>
        </w:tc>
        <w:tc>
          <w:tcPr/>
          <w:p>
            <w:pPr>
              <w:pStyle w:val="Compact"/>
              <w:jc w:val="left"/>
            </w:pPr>
            <w:r>
              <w:t xml:space="preserve">Lind &amp; Mehlum (2010); Haans et al. (2016)</w:t>
            </w:r>
          </w:p>
        </w:tc>
        <w:tc>
          <w:tcPr/>
          <w:p>
            <w:pPr>
              <w:pStyle w:val="Compact"/>
              <w:jc w:val="left"/>
            </w:pPr>
            <w:r>
              <w:t xml:space="preserve">Áp dụng cho từng mẫu quốc gia và đa quốc gia</w:t>
            </w:r>
          </w:p>
        </w:tc>
      </w:tr>
      <w:tr>
        <w:tc>
          <w:tcPr/>
          <w:p>
            <w:pPr>
              <w:pStyle w:val="Compact"/>
              <w:jc w:val="left"/>
            </w:pPr>
            <w:r>
              <w:t xml:space="preserve">Điều tiết trọng tâm số hóa × thể chế</w:t>
            </w:r>
          </w:p>
        </w:tc>
        <w:tc>
          <w:tcPr/>
          <w:p>
            <w:pPr>
              <w:pStyle w:val="Compact"/>
              <w:jc w:val="left"/>
            </w:pPr>
            <w:r>
              <w:t xml:space="preserve">Aiken &amp; West (1991); Dawson (2014)</w:t>
            </w:r>
          </w:p>
        </w:tc>
        <w:tc>
          <w:tcPr/>
          <w:p>
            <w:pPr>
              <w:pStyle w:val="Compact"/>
              <w:jc w:val="left"/>
            </w:pPr>
            <w:r>
              <w:t xml:space="preserve">DAI × ICRV, mới cho châu Á và Thái Bình Dương; đặc điểm nhà quản trị giữ vai trò kiểm soát quản trị nội sinh</w:t>
            </w:r>
          </w:p>
        </w:tc>
      </w:tr>
      <w:tr>
        <w:tc>
          <w:tcPr/>
          <w:p>
            <w:pPr>
              <w:pStyle w:val="Compact"/>
              <w:jc w:val="left"/>
            </w:pPr>
            <w:r>
              <w:t xml:space="preserve">Tính không đồng nhất theo thời gian</w:t>
            </w:r>
          </w:p>
        </w:tc>
        <w:tc>
          <w:tcPr/>
          <w:p>
            <w:pPr>
              <w:pStyle w:val="Compact"/>
              <w:jc w:val="left"/>
            </w:pPr>
            <w:r>
              <w:t xml:space="preserve">Wu et al. (2022); Xiao et al. (2013); Do &amp; Phan (2026b)</w:t>
            </w:r>
          </w:p>
        </w:tc>
        <w:tc>
          <w:tcPr/>
          <w:p>
            <w:pPr>
              <w:pStyle w:val="Compact"/>
              <w:jc w:val="left"/>
            </w:pPr>
            <w:r>
              <w:t xml:space="preserve">Kiểm định ổn định Trung Quốc 2012-2024 (điểm uốn ~47,8% FSTS)</w:t>
            </w:r>
          </w:p>
        </w:tc>
      </w:tr>
      <w:tr>
        <w:tc>
          <w:tcPr/>
          <w:p>
            <w:pPr>
              <w:pStyle w:val="Compact"/>
              <w:jc w:val="left"/>
            </w:pPr>
            <w:r>
              <w:t xml:space="preserve">Sai số chuẩn vững</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Thiên lệch công bố</w:t>
            </w:r>
          </w:p>
        </w:tc>
        <w:tc>
          <w:tcPr/>
          <w:p>
            <w:pPr>
              <w:pStyle w:val="Compact"/>
              <w:jc w:val="left"/>
            </w:pPr>
            <w:r>
              <w:t xml:space="preserve">Egger et al. (1997); Begg &amp; Mazumdar (1994)</w:t>
            </w:r>
          </w:p>
        </w:tc>
        <w:tc>
          <w:tcPr/>
          <w:p>
            <w:pPr>
              <w:pStyle w:val="Compact"/>
              <w:jc w:val="left"/>
            </w:pPr>
            <w:r>
              <w:t xml:space="preserve">Chuẩn</w:t>
            </w:r>
          </w:p>
        </w:tc>
      </w:tr>
    </w:tbl>
    <w:bookmarkEnd w:id="104"/>
    <w:bookmarkStart w:id="105" w:name="đạo-đức-nghiên-cứu"/>
    <w:p>
      <w:pPr>
        <w:pStyle w:val="Heading2"/>
      </w:pPr>
      <w:r>
        <w:t xml:space="preserve">3.7 Đạo đức nghiên cứu</w:t>
      </w:r>
    </w:p>
    <w:p>
      <w:pPr>
        <w:pStyle w:val="FirstParagraph"/>
      </w:pPr>
      <w:r>
        <w:t xml:space="preserve">Luận án sử dụng dữ liệu thứ cấp từ WBES, bộ dữ liệu công khai được Ngân hàng Thế giới cung cấp miễn phí cho mục đích nghiên cứu (World Bank, n.d.). Tất cả các trích dẫn theo chuẩn APA 7th để ghi nhận đầy đủ công sức của các tác giả trước, tránh đạo văn. Mã nguồn và dữ liệu phân tích được lưu trữ trên các nhánh chuyên biệt của kho lưu trữ để bảo đảm khả năng tái lập kết quả.</w:t>
      </w:r>
    </w:p>
    <w:bookmarkEnd w:id="105"/>
    <w:bookmarkStart w:id="136" w:name="chương-4-kết-quả-nghiên-cứu"/>
    <w:p>
      <w:pPr>
        <w:pStyle w:val="Heading1"/>
      </w:pPr>
      <w:r>
        <w:t xml:space="preserve">CHƯƠNG 4: KẾT QUẢ NGHIÊN CỨU</w:t>
      </w:r>
    </w:p>
    <w:p>
      <w:r>
        <w:pict>
          <v:rect style="width:0;height:1.5pt" o:hralign="center" o:hrstd="t" o:hr="t"/>
        </w:pict>
      </w:r>
    </w:p>
    <w:bookmarkStart w:id="106" w:name="giới-thiệu-chương"/>
    <w:p>
      <w:pPr>
        <w:pStyle w:val="Heading2"/>
      </w:pPr>
      <w:r>
        <w:t xml:space="preserve">Giới thiệu chương</w:t>
      </w:r>
    </w:p>
    <w:p>
      <w:pPr>
        <w:pStyle w:val="FirstParagraph"/>
      </w:pPr>
      <w:r>
        <w:t xml:space="preserve">Chương 4 trình bày toàn bộ kết quả thực nghiệm của luận án theo một mạch logic thống nhất, đi từ bức tranh mô tả tổng thể đến bằng chứng tổng hợp ở cấp phân tích đa nghiên cứu, rồi đến các bằng chứng định lượng theo từng bối cảnh quốc gia, sau cùng là kiểm định trên toàn mẫu đa quốc gia và trường hợp biên. Cách tổ chức này phản ánh thiết kế nghiên cứu nhiều thành phần của luận án, trong đó mỗi nghiên cứu thành phần (ký hiệu phân tích Việt Nam đến phân tích SIDS Thái Bình Dương) đảm nhận một lát cắt riêng của cùng một câu hỏi trung tâm: quốc tế hóa cải thiện hay làm xấu đi hiệu quả hoạt động của doanh nghiệp, và điều kiện nào quyết định chiều hướng đó.</w:t>
      </w:r>
    </w:p>
    <w:p>
      <w:pPr>
        <w:pStyle w:val="BodyText"/>
      </w:pPr>
      <w:r>
        <w:t xml:space="preserve">Chương được cấu trúc thành bảy phần. Mục 4.1 dựng bức tranh mô tả về phân tán năng suất và đặc điểm quốc tế hóa trên nhóm dữ liệu gộp (pool), phân theo nhóm con của Biến thiên chế độ bối cảnh thể chế (Institutional Context Regime Variation, ICRV). Mục 4.2 trình bày kết quả phân tích tổng hợp ba tầng (phân tích tổng hợp), gồm hiệu ứng gộp, cấu trúc dị biệt, điều tiết theo chế độ thể chế và sai lệch xuất bản. Mục 4.3 trình bày kiểm định đa quốc gia trên 45 nền kinh tế (phân tích đa quốc gia 45 nền kinh tế), gồm đường cong U ngược, điểm uốn tối ưu, dải biến thiên theo ICRV và tương tác giữa năng lực số với thể chế. Mục 4.4 trình bày ba nghiên cứu đơn quốc gia tại Việt Nam (Việt Nam), Singapore (Singapore) và Trung Quốc (Trung Quốc). Mục 4.5 trình bày trường hợp biên là các nền kinh tế đảo nhỏ đang phát triển ở Thái Bình Dương (SIDS). Mục 4.6 tổng hợp và thảo luận các phát hiện liên thông giữa các nghiên cứu thành phần. Mục 4.7 trình bày các kiểm định độ vững.</w:t>
      </w:r>
    </w:p>
    <w:p>
      <w:pPr>
        <w:pStyle w:val="BodyText"/>
      </w:pPr>
      <w:r>
        <w:t xml:space="preserve">Đọc xuyên suốt, chương này không phải một chuỗi kết quả rời rạc mà là bằng chứng cho một</w:t>
      </w:r>
      <w:r>
        <w:t xml:space="preserve"> </w:t>
      </w:r>
      <w:r>
        <w:rPr>
          <w:bCs/>
          <w:b/>
        </w:rPr>
        <w:t xml:space="preserve">bản đồ địa hình xuất khẩu chiến lược (strategic export topography)</w:t>
      </w:r>
      <w:r>
        <w:t xml:space="preserve">, trên đó chế độ thể chế ICRV vận hành như một bộ lọc chi phí giao dịch định vị nơi quan hệ I-P đạt đỉnh hay đảo chiều. Bốn phát hiện nổi bật neo giữ mạch lập luận đó và được nêu lên ngay từ đầu thay vì để ẩn trong các tiểu mục. Thứ nhất, hiệu chỉnh thiên lệch công bố ở phân tích tổng hợp kéo hiệu ứng gộp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mức suy giảm khoảng</w:t>
      </w:r>
      <w:r>
        <w:t xml:space="preserve"> </w:t>
      </w:r>
      <w:r>
        <w:rPr>
          <w:bCs/>
          <w:b/>
        </w:rPr>
        <w:t xml:space="preserve">53%</w:t>
      </w:r>
      <w:r>
        <w:t xml:space="preserve">: hàm ý rằng phần lớn bằng chứng I-P tích lũy suốt bốn thập kỷ có thể đã bị thổi phồng (một ước lượng trim-and-fill, được trình bày kèm rào đón phương pháp ở Mục 4.2.4). Thứ hai, bằng chứng đa quốc gia (phân tích đa quốc gia 45 nền kinh tế) cho thấy chế độ thể chế ICRV không dịch chuyển điểm uốn một cách đơn điệu mà</w:t>
      </w:r>
      <w:r>
        <w:t xml:space="preserve"> </w:t>
      </w:r>
      <w:r>
        <w:rPr>
          <w:bCs/>
          <w:b/>
        </w:rPr>
        <w:t xml:space="preserve">chi phối độ cong (concavity / biên độ) của hình chữ U ngược</w:t>
      </w:r>
      <w:r>
        <w:t xml:space="preserve">: độ cong sâu dần khi chất lượng thể chế suy giảm, chính cơ chế địa hình của luận án. Thứ ba, tại các quốc đảo nhỏ Thái Bình Dương (SIDS), quan hệ I-P sụp thành âm đơn điệu, tức</w:t>
      </w:r>
      <w:r>
        <w:t xml:space="preserve"> </w:t>
      </w:r>
      <w:r>
        <w:rPr>
          <w:bCs/>
          <w:b/>
        </w:rPr>
        <w:t xml:space="preserve">gánh nặng quốc tế hóa bắt buộc (FIP)</w:t>
      </w:r>
      <w:r>
        <w:t xml:space="preserve">, một đóng góp lý thuyết được định danh lần đầu. Thứ tư, tại Việt Nam (Việt Nam), đường cong U ngược về bản chất là một</w:t>
      </w:r>
      <w:r>
        <w:t xml:space="preserve"> </w:t>
      </w:r>
      <w:r>
        <w:rPr>
          <w:bCs/>
          <w:b/>
        </w:rPr>
        <w:t xml:space="preserve">hiệu ứng vách đá xuất khẩu</w:t>
      </w:r>
      <w:r>
        <w:t xml:space="preserve"> </w:t>
      </w:r>
      <w:r>
        <w:t xml:space="preserve">tại biên tham gia chứ không phải bão hòa cường độ liên tục. Trung Quốc (Trung Quốc) bổ sung một</w:t>
      </w:r>
      <w:r>
        <w:t xml:space="preserve"> </w:t>
      </w:r>
      <w:r>
        <w:rPr>
          <w:bCs/>
          <w:b/>
        </w:rPr>
        <w:t xml:space="preserve">hằng số sinh tồn</w:t>
      </w:r>
      <w:r>
        <w:t xml:space="preserve"> </w:t>
      </w:r>
      <w:r>
        <w:t xml:space="preserve">ở ngưỡng ~48% bền vững qua một thập kỷ biến động vĩ mô, còn Singapore (Singapore) đánh dấu đỉnh</w:t>
      </w:r>
      <w:r>
        <w:t xml:space="preserve"> </w:t>
      </w:r>
      <w:r>
        <w:rPr>
          <w:bCs/>
          <w:b/>
        </w:rPr>
        <w:t xml:space="preserve">bão hòa số</w:t>
      </w:r>
      <w:r>
        <w:t xml:space="preserve"> </w:t>
      </w:r>
      <w:r>
        <w:t xml:space="preserve">của địa hình, nơi năng lực số chỉ phát huy giá trị ở cường độ xuất khẩu cực cao.</w:t>
      </w:r>
    </w:p>
    <w:p>
      <w:pPr>
        <w:pStyle w:val="BodyText"/>
      </w:pPr>
      <w:r>
        <w:t xml:space="preserve">Tất cả con số thống kê trong chương đều được trích từ các bản thảo nghiên cứu thành phần của luận án (Đỗ &amp; Phan, 2026, bản thảo đang chuẩn bị) và được giữ nguyên không điều chỉnh.</w:t>
      </w:r>
    </w:p>
    <w:p>
      <w:r>
        <w:pict>
          <v:rect style="width:0;height:1.5pt" o:hralign="center" o:hrstd="t" o:hr="t"/>
        </w:pict>
      </w:r>
    </w:p>
    <w:bookmarkEnd w:id="106"/>
    <w:bookmarkStart w:id="111" w:name="thống-kê-mô-tả-và-bức-tranh-tổng-thể"/>
    <w:p>
      <w:pPr>
        <w:pStyle w:val="Heading2"/>
      </w:pPr>
      <w:r>
        <w:t xml:space="preserve">4.1 Thống kê mô tả và bức tranh tổng thể</w:t>
      </w:r>
    </w:p>
    <w:bookmarkStart w:id="107" w:name="X6ab4e5edf3a5dfb640bf271ac85357ff833aced"/>
    <w:p>
      <w:pPr>
        <w:pStyle w:val="Heading3"/>
      </w:pPr>
      <w:r>
        <w:t xml:space="preserve">4.1.1 Phân tán năng suất theo phân nhóm con ICRV</w:t>
      </w:r>
    </w:p>
    <w:p>
      <w:pPr>
        <w:pStyle w:val="FirstParagraph"/>
      </w:pPr>
      <w:r>
        <w:t xml:space="preserve">Phân tích mô tả được tiến hành trên nhóm dữ liệu gộp (pool) gồm 101.185 doanh nghiệp thuộc 47 nền kinh tế châu Á và Thái Bình Dương trong giai đoạn 2009–2025. Bức tranh nổi lên cho thấy hiệu quả hoạt động kinh doanh phân tán mạnh và không hội tụ về một mức chung. Năng suất lao động, đo bằng ln(doanh thu trên lao động), có độ lệch chuẩn dao động từ 0,49 ở nhóm Advanced dẫn dắt bằng tài nguyên đến 1,36 ở nhóm Frontier, với tỷ số P90/P10 tăng đơn điệu theo chiều từ nhóm thể chế mạnh sang nhóm thể chế yếu.</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 </w:t>
            </w:r>
            <m:oMath>
              <m:r>
                <m:rPr>
                  <m:sty m:val="p"/>
                </m:rPr>
                <m:t>≥</m:t>
              </m:r>
            </m:oMath>
            <w:r>
              <w:t xml:space="preserve"> </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mô tả quan trọng nhất nằm ở sự phân biệt trong nội bộ nhóm tiên tiến. Tỷ số phân tán giữa nhóm dẫn dắt bằng đổi mới, gồm Singapore, Hàn Quốc, Đài Loan với sd</w:t>
      </w:r>
      <w:r>
        <w:t xml:space="preserve"> </w:t>
      </w:r>
      <m:oMath>
        <m:r>
          <m:rPr>
            <m:sty m:val="p"/>
          </m:rPr>
          <m:t>≈</m:t>
        </m:r>
      </m:oMath>
      <w:r>
        <w:t xml:space="preserve"> </w:t>
      </w:r>
      <w:r>
        <w:t xml:space="preserve">1,03, và nhóm dẫn dắt bằng tài nguyên, gồm Saudi Arabia, Qatar, Kuwait với sd</w:t>
      </w:r>
      <w:r>
        <w:t xml:space="preserve"> </w:t>
      </w:r>
      <m:oMath>
        <m:r>
          <m:rPr>
            <m:sty m:val="p"/>
          </m:rPr>
          <m:t>≈</m:t>
        </m:r>
      </m:oMath>
      <w:r>
        <w:t xml:space="preserve"> </w:t>
      </w:r>
      <w:r>
        <w:t xml:space="preserve">0,49, đạt xấp xỉ 2,1 lần. Con số này phản ánh hai cơ chế tăng trưởng và phân phối hoàn toàn khác nhau. Nhóm con dẫn dắt bằng tài nguyên có độ phân tán năng suất thấp nhất toàn bộ mẫu, đặc trưng của một nền kinh tế tô nhượng (rentier state), nơi phần phân phối lại từ xuất khẩu dầu mỏ thu hẹp khoảng cách năng suất giữa các doanh nghiệp, song không hẳn phản ánh hiệu quả doanh nghiệp ở mức đáng kể. Hệ quả là việc gộp hai loại nền kinh tế tiên tiến vào một nhóm duy nhất, như các nghiên cứu trước thường làm, sẽ che khuất chính cơ chế phân biệt quan trọng này. Đây là một trong những lý do nền tảng cho thiết kế phân nhóm sáu chế độ con ICRV của luận án.</w:t>
      </w:r>
    </w:p>
    <w:bookmarkEnd w:id="107"/>
    <w:bookmarkStart w:id="108" w:name="phân-cực-tham-gia-xuất-khẩu"/>
    <w:p>
      <w:pPr>
        <w:pStyle w:val="Heading3"/>
      </w:pPr>
      <w:r>
        <w:t xml:space="preserve">4.1.2 Phân cực tham gia xuất khẩu</w:t>
      </w:r>
    </w:p>
    <w:p>
      <w:pPr>
        <w:pStyle w:val="FirstParagraph"/>
      </w:pPr>
      <w:r>
        <w:t xml:space="preserve">Trung vị của tỷ lệ doanh thu xuất khẩu trên tổng doanh thu (Foreign Sales to Total Sales, FSTS) bằng 0% ở tất cả các nhóm, và chỉ 15–23% doanh nghiệp tham gia xuất khẩu tùy bối cảnh. Phân phối FSTS phân cực mạnh: đại đa số doanh nghiệp không xuất khẩu, trong khi một thiểu số nhỏ lại có tỷ lệ xuất khẩu rất cao. Sự phân cực này đặt ra một vấn đề phương pháp quan trọng cho nghiên cứu về mối quan hệ quốc tế hóa–hiệu quả kinh doanh (I-P): kết quả hồi quy trên toàn mẫu bị kéo lệch bởi hành vi của nhóm thiểu số xuất khẩu tích cực, và do đó phần lớn độ phân biệt năng suất nằm ở biên độ tham gia (giữa doanh nghiệp không xuất khẩu và doanh nghiệp xuất khẩu) hơn là ở biên độ cường độ trong nội bộ nhóm xuất khẩu.</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Đáng chú ý là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(global value chain, GVC) với biên lợi nhuận khác nhau.</w:t>
      </w:r>
    </w:p>
    <w:bookmarkEnd w:id="108"/>
    <w:bookmarkStart w:id="109" w:name="năng-lực-số-và-công-nghệ"/>
    <w:p>
      <w:pPr>
        <w:pStyle w:val="Heading3"/>
      </w:pPr>
      <w:r>
        <w:t xml:space="preserve">4.1.3 Năng lực số và công nghệ</w:t>
      </w:r>
    </w:p>
    <w:p>
      <w:pPr>
        <w:pStyle w:val="FirstParagraph"/>
      </w:pPr>
      <w:r>
        <w:t xml:space="preserve">Phân tích năm thành phần năng lực, gồm đổi mới sản phẩm, đổi mới quy trình, nghiên cứu và phát triển, chứng nhận ISO và trang web,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đáng chú ý là hiện tượng nhảy vọt công nghệ số (digital leapfrog) ở nhóm đảo nhỏ: tỷ lệ trang web 58,9% vượt cả nhóm mới nổi 49,2% dù thu nhập quốc gia thấp hơn đáng kể. Điều này phản ánh thực tế rằng số hóa bề mặt, ở đây là trang web, tại nhóm đảo nhỏ chỉ là công cụ sinh tồn chứ không phải công cụ tối ưu hóa hiệu quả. Kết quả này củng cố lập luận lý thuyết về sự phân biệt giữa Chỉ số chấp nhận số (Digital Adoption Index, DAI), tức chấp nhận số bề mặt, và Chỉ số năng lực công nghệ (Technological Capability Index, TCI), tức năng lực công nghệ chiều sâu: nhóm đảo nhỏ có DAI cao nhưng TCI thấp nhất, và đây cũng là nhóm duy nhất biểu lộ quan hệ I-P âm đơn điệu (chi tiết tại Mục 4.5).</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109"/>
    <w:bookmarkStart w:id="110" w:name="bốn-rào-cản-cấu-trúc"/>
    <w:p>
      <w:pPr>
        <w:pStyle w:val="Heading3"/>
      </w:pPr>
      <w:r>
        <w:t xml:space="preserve">4.1.4 Bốn rào cản cấu trúc</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(institutional voids) (Khanna &amp; Palepu, 2010), tạo ra chi phí giao dịch bổ sung cho doanh nghiệp khi mở rộng hoạt động ra ngoài biên giới. Việc nhiều khoảng trống cùng hiện diện tại nhóm cận biên và đảo nhỏ giúp giải thích vì sao quan hệ I-P ở các nhóm này yếu hoặc âm, và là tiền đề mô tả cho các phát hiện định lượng ở những mục tiếp theo.</w:t>
      </w:r>
    </w:p>
    <w:p>
      <w:r>
        <w:pict>
          <v:rect style="width:0;height:1.5pt" o:hralign="center" o:hrstd="t" o:hr="t"/>
        </w:pict>
      </w:r>
    </w:p>
    <w:bookmarkEnd w:id="110"/>
    <w:bookmarkEnd w:id="111"/>
    <w:bookmarkStart w:id="116" w:name="Xcac9e8aa89b90d2d4c5a3d7a7353386e79eb48b"/>
    <w:p>
      <w:pPr>
        <w:pStyle w:val="Heading2"/>
      </w:pPr>
      <w:r>
        <w:t xml:space="preserve">4.2 Kết quả phân tích tổng hợp ba tầng (phân tích tổng hợp)</w:t>
      </w:r>
    </w:p>
    <w:bookmarkStart w:id="112" w:name="hiệu-ứng-gộp"/>
    <w:p>
      <w:pPr>
        <w:pStyle w:val="Heading3"/>
      </w:pPr>
      <w:r>
        <w:t xml:space="preserve">4.2.1 Hiệu ứng gộp</w:t>
      </w:r>
    </w:p>
    <w:p>
      <w:pPr>
        <w:pStyle w:val="FirstParagraph"/>
      </w:pPr>
      <w:r>
        <w:t xml:space="preserve">Phân tích tổng hợp (meta-analysis) ba tầng được tiến hành trên tập dữ liệu gồm</w:t>
      </w:r>
      <w:r>
        <w:t xml:space="preserve"> </w:t>
      </w:r>
      <m:oMath>
        <m:r>
          <m:t>k</m:t>
        </m:r>
        <m:r>
          <m:rPr>
            <m:sty m:val="p"/>
          </m:rPr>
          <m:t>=</m:t>
        </m:r>
        <m:r>
          <m:t>238</m:t>
        </m:r>
      </m:oMath>
      <w:r>
        <w:t xml:space="preserve"> </w:t>
      </w:r>
      <w:r>
        <w:t xml:space="preserve">nghiên cứu và</w:t>
      </w:r>
      <w:r>
        <w:t xml:space="preserve"> </w:t>
      </w:r>
      <m:oMath>
        <m:r>
          <m:t>K</m:t>
        </m:r>
        <m:r>
          <m:rPr>
            <m:sty m:val="p"/>
          </m:rPr>
          <m:t>=</m:t>
        </m:r>
        <m:r>
          <m:t>288</m:t>
        </m:r>
      </m:oMath>
      <w:r>
        <w:t xml:space="preserve"> </w:t>
      </w:r>
      <w:r>
        <w:t xml:space="preserve">mức độ ảnh hưởng, đa dạng theo vùng địa lý, giai đoạn và phương pháp. Kết quả cho thấy hiệu ứng gộp là:</w:t>
      </w:r>
    </w:p>
    <w:p>
      <w:pPr>
        <w:pStyle w:val="BodyText"/>
      </w:pPr>
      <m:oMathPara>
        <m:oMathParaPr>
          <m:jc m:val="center"/>
        </m:oMathParaPr>
        <m:oMath>
          <m:sSub>
            <m:e>
              <m:acc>
                <m:accPr>
                  <m:chr m:val="̂"/>
                </m:accPr>
                <m:e>
                  <m:r>
                    <m:t>r</m:t>
                  </m:r>
                </m:e>
              </m:acc>
            </m:e>
            <m:sub>
              <m:r>
                <m:t>3</m:t>
              </m:r>
              <m:r>
                <m:t>L</m:t>
              </m:r>
            </m:sub>
          </m:sSub>
          <m:r>
            <m:rPr>
              <m:sty m:val="p"/>
            </m:rPr>
            <m:t>=</m:t>
          </m:r>
          <m:r>
            <m:t>0</m:t>
          </m:r>
          <m:r>
            <m:rPr>
              <m:sty m:val="p"/>
            </m:rPr>
            <m:t>,</m:t>
          </m:r>
          <m:r>
            <m:t>074</m:t>
          </m:r>
          <m:r>
            <m:t> </m:t>
          </m:r>
          <m:d>
            <m:dPr>
              <m:begChr m:val="("/>
              <m:endChr m:val=")"/>
              <m:sepChr m:val=""/>
              <m:grow/>
            </m:dPr>
            <m:e>
              <m:r>
                <m:t>95</m:t>
              </m:r>
              <m:r>
                <m:rPr>
                  <m:sty m:val="p"/>
                </m:rPr>
                <m:t>%</m:t>
              </m:r>
              <m:r>
                <m:t> </m:t>
              </m:r>
              <m:r>
                <m:rPr>
                  <m:nor/>
                  <m:sty m:val="p"/>
                </m:rPr>
                <m:t>CI: </m:t>
              </m:r>
              <m:d>
                <m:dPr>
                  <m:begChr m:val="["/>
                  <m:endChr m:val="]"/>
                  <m:sepChr m:val=""/>
                  <m:grow/>
                </m:dPr>
                <m:e>
                  <m:r>
                    <m:t>0</m:t>
                  </m:r>
                  <m:r>
                    <m:rPr>
                      <m:sty m:val="p"/>
                    </m:rPr>
                    <m:t>,</m:t>
                  </m:r>
                  <m:r>
                    <m:t>060</m:t>
                  </m:r>
                  <m:r>
                    <m:rPr>
                      <m:sty m:val="p"/>
                    </m:rPr>
                    <m:t>,</m:t>
                  </m:r>
                  <m:r>
                    <m:t> </m:t>
                  </m:r>
                  <m:r>
                    <m:t>0</m:t>
                  </m:r>
                  <m:r>
                    <m:rPr>
                      <m:sty m:val="p"/>
                    </m:rPr>
                    <m:t>,</m:t>
                  </m:r>
                  <m:r>
                    <m:t>088</m:t>
                  </m:r>
                </m:e>
              </m:d>
            </m:e>
          </m:d>
          <m:r>
            <m:rPr>
              <m:sty m:val="p"/>
            </m:rPr>
            <m:t>,</m:t>
          </m:r>
          <m:r>
            <m:t> </m:t>
          </m:r>
          <m:r>
            <m:t>p</m:t>
          </m:r>
          <m:r>
            <m:rPr>
              <m:sty m:val="p"/>
            </m:rPr>
            <m:t>&lt;</m:t>
          </m:r>
          <m:r>
            <m:rPr>
              <m:sty m:val="p"/>
            </m:rPr>
            <m:t>,</m:t>
          </m:r>
          <m:r>
            <m:t>001</m:t>
          </m:r>
        </m:oMath>
      </m:oMathPara>
    </w:p>
    <w:p>
      <w:pPr>
        <w:pStyle w:val="FirstParagraph"/>
      </w:pPr>
      <w:r>
        <w:t xml:space="preserve">Giá trị này khẳng định bức tranh chung từ các phân tích tổng hợp trước đây của Bausch và Krist (2007), Kirca và cộng sự (2012), Marano và cộng sự (2016) và Arte và Larimo (2022): quan hệ gộp giữa quốc tế hóa và hiệu quả hoạt động là dương nhưng có biên độ khiêm tốn.</w:t>
      </w:r>
    </w:p>
    <w:p>
      <w:pPr>
        <w:pStyle w:val="BodyText"/>
      </w:pPr>
      <w:r>
        <w:t xml:space="preserve">Kết quả phân tích tổng hợp hoàn toàn nhất quán với mức tham chiếu từ phân tích tổng hợp đã công bố tại hội nghị ICBEF của Đỗ và Phan (2024), vốn có</w:t>
      </w:r>
      <w:r>
        <w:t xml:space="preserve"> </w:t>
      </w:r>
      <m:oMath>
        <m:r>
          <m:t>k</m:t>
        </m:r>
        <m:r>
          <m:rPr>
            <m:sty m:val="p"/>
          </m:rPr>
          <m:t>=</m:t>
        </m:r>
        <m:r>
          <m:t>113</m:t>
        </m:r>
      </m:oMath>
      <w:r>
        <w:t xml:space="preserve"> </w:t>
      </w:r>
      <w:r>
        <w:t xml:space="preserve">nghiên cứu,</w:t>
      </w:r>
      <w:r>
        <w:t xml:space="preserve"> </w:t>
      </w:r>
      <m:oMath>
        <m:acc>
          <m:accPr>
            <m:chr m:val="‾"/>
          </m:accPr>
          <m:e>
            <m:r>
              <m:t>r</m:t>
            </m:r>
          </m:e>
        </m:acc>
        <m:r>
          <m:rPr>
            <m:sty m:val="p"/>
          </m:rPr>
          <m:t>=</m:t>
        </m:r>
        <m:r>
          <m:t>0</m:t>
        </m:r>
        <m:r>
          <m:rPr>
            <m:sty m:val="p"/>
          </m:rPr>
          <m:t>,</m:t>
        </m:r>
        <m:r>
          <m:t>07</m:t>
        </m:r>
      </m:oMath>
      <w:r>
        <w:t xml:space="preserve"> </w:t>
      </w:r>
      <w:r>
        <w:t xml:space="preserve">(95% CI: [0,05; 0,09]). Sự hội tụ này tạo ra bằng chứng chéo vững chắc, ngay cả khi tập nghiên cứu được mở rộng lên gần gấp đôi, đồng thời xác nhận rằng việc bỏ qua cấu trúc lồng đa tầng trong phân tích trước không tạo ra sai lệch hệ thống về phía trên.</w:t>
      </w:r>
    </w:p>
    <w:bookmarkEnd w:id="112"/>
    <w:bookmarkStart w:id="113" w:name="cấu-trúc-dị-biệt-ba-tầng"/>
    <w:p>
      <w:pPr>
        <w:pStyle w:val="Heading3"/>
      </w:pPr>
      <w:r>
        <w:t xml:space="preserve">4.2.2 Cấu trúc dị biệt ba tầng</w:t>
      </w:r>
    </w:p>
    <w:p>
      <w:pPr>
        <w:pStyle w:val="FirstParagraph"/>
      </w:pPr>
      <w:r>
        <w:t xml:space="preserve">Kết quả quan trọng nhất của phân tích này không nằm ở giá trị điểm của</w:t>
      </w:r>
      <w:r>
        <w:t xml:space="preserve"> </w:t>
      </w:r>
      <m:oMath>
        <m:acc>
          <m:accPr>
            <m:chr m:val="̂"/>
          </m:accPr>
          <m:e>
            <m:r>
              <m:t>r</m:t>
            </m:r>
          </m:e>
        </m:acc>
      </m:oMath>
      <w:r>
        <w:t xml:space="preserve">, mà ở cấu trúc của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w:t>
      </w:r>
      <w:r>
        <w:t xml:space="preserve">cho thấy mức dị biệt đáng kể không bắt nguồn từ sai số lấy mẫu. Phân tách theo cấu trúc ba tầng cho kết quả sau.</w:t>
      </w:r>
    </w:p>
    <w:p>
      <w:pPr>
        <w:pStyle w:val="BodyText"/>
      </w:pPr>
      <w:r>
        <w:rPr>
          <w:bCs/>
          <w:b/>
        </w:rPr>
        <w:t xml:space="preserve">Bảng 4.3.</w:t>
      </w:r>
      <w:r>
        <w:t xml:space="preserve"> </w:t>
      </w:r>
      <w:r>
        <w:rPr>
          <w:iCs/>
          <w:i/>
        </w:rPr>
        <w:t xml:space="preserve">Phân rã phương sai và dị biệt ba tầng (REML ba tầng,</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m:oMath>
              <m:sSubSup>
                <m:e>
                  <m:r>
                    <m:t>σ</m:t>
                  </m:r>
                </m:e>
                <m:sub>
                  <m:d>
                    <m:dPr>
                      <m:begChr m:val="("/>
                      <m:endChr m:val=")"/>
                      <m:sepChr m:val=""/>
                      <m:grow/>
                    </m:dPr>
                    <m:e>
                      <m:r>
                        <m:t>2</m:t>
                      </m:r>
                    </m:e>
                  </m:d>
                </m:sub>
                <m:sup>
                  <m:r>
                    <m:t>2</m:t>
                  </m:r>
                </m:sup>
              </m:sSubSup>
            </m:oMath>
            <w:r>
              <w:t xml:space="preserve"> </w:t>
            </w:r>
            <w:r>
              <w:t xml:space="preserve">trong nghiên cứu</w:t>
            </w:r>
          </w:p>
        </w:tc>
        <w:tc>
          <w:tcPr/>
          <w:p>
            <w:pPr>
              <w:pStyle w:val="Compact"/>
              <w:jc w:val="left"/>
            </w:pPr>
            <w:r>
              <w:t xml:space="preserve">0,00874</w:t>
            </w:r>
          </w:p>
        </w:tc>
      </w:tr>
      <w:tr>
        <w:tc>
          <w:tcPr/>
          <w:p>
            <w:pPr>
              <w:pStyle w:val="Compact"/>
              <w:jc w:val="left"/>
            </w:pPr>
            <m:oMath>
              <m:sSubSup>
                <m:e>
                  <m:r>
                    <m:t>σ</m:t>
                  </m:r>
                </m:e>
                <m:sub>
                  <m:d>
                    <m:dPr>
                      <m:begChr m:val="("/>
                      <m:endChr m:val=")"/>
                      <m:sepChr m:val=""/>
                      <m:grow/>
                    </m:dPr>
                    <m:e>
                      <m:r>
                        <m:t>3</m:t>
                      </m:r>
                    </m:e>
                  </m:d>
                </m:sub>
                <m:sup>
                  <m:r>
                    <m:t>2</m:t>
                  </m:r>
                </m:sup>
              </m:sSubSup>
            </m:oMath>
            <w:r>
              <w:t xml:space="preserve"> </w:t>
            </w:r>
            <w:r>
              <w:t xml:space="preserve">giữa các nghiên cứu</w:t>
            </w:r>
          </w:p>
        </w:tc>
        <w:tc>
          <w:tcPr/>
          <w:p>
            <w:pPr>
              <w:pStyle w:val="Compact"/>
              <w:jc w:val="left"/>
            </w:pPr>
            <w:r>
              <w:t xml:space="preserve">0,00135</w:t>
            </w:r>
          </w:p>
        </w:tc>
      </w:tr>
      <w:tr>
        <w:tc>
          <w:tcPr/>
          <w:p>
            <w:pPr>
              <w:pStyle w:val="Compact"/>
              <w:jc w:val="left"/>
            </w:pPr>
            <m:oMath>
              <m:sSubSup>
                <m:e>
                  <m:r>
                    <m:t>I</m:t>
                  </m:r>
                </m:e>
                <m:sub>
                  <m:d>
                    <m:dPr>
                      <m:begChr m:val="("/>
                      <m:endChr m:val=")"/>
                      <m:sepChr m:val=""/>
                      <m:grow/>
                    </m:dPr>
                    <m:e>
                      <m:r>
                        <m:t>2</m:t>
                      </m:r>
                    </m:e>
                  </m:d>
                </m:sub>
                <m:sup>
                  <m:r>
                    <m:t>2</m:t>
                  </m:r>
                </m:sup>
              </m:sSubSup>
            </m:oMath>
            <w:r>
              <w:t xml:space="preserve"> </w:t>
            </w:r>
            <w:r>
              <w:t xml:space="preserve">trong nghiên cứu (Tầng 2)</w:t>
            </w:r>
          </w:p>
        </w:tc>
        <w:tc>
          <w:tcPr/>
          <w:p>
            <w:pPr>
              <w:pStyle w:val="Compact"/>
              <w:jc w:val="left"/>
            </w:pPr>
            <w:r>
              <w:t xml:space="preserve">54,1%</w:t>
            </w:r>
          </w:p>
        </w:tc>
      </w:tr>
      <w:tr>
        <w:tc>
          <w:tcPr/>
          <w:p>
            <w:pPr>
              <w:pStyle w:val="Compact"/>
              <w:jc w:val="left"/>
            </w:pPr>
            <m:oMath>
              <m:sSubSup>
                <m:e>
                  <m:r>
                    <m:t>I</m:t>
                  </m:r>
                </m:e>
                <m:sub>
                  <m:d>
                    <m:dPr>
                      <m:begChr m:val="("/>
                      <m:endChr m:val=")"/>
                      <m:sepChr m:val=""/>
                      <m:grow/>
                    </m:dPr>
                    <m:e>
                      <m:r>
                        <m:t>3</m:t>
                      </m:r>
                    </m:e>
                  </m:d>
                </m:sub>
                <m:sup>
                  <m:r>
                    <m:t>2</m:t>
                  </m:r>
                </m:sup>
              </m:sSubSup>
            </m:oMath>
            <w:r>
              <w:t xml:space="preserve"> </w:t>
            </w:r>
            <w:r>
              <w:t xml:space="preserve">giữa các nghiên cứu (Tầng 3)</w:t>
            </w:r>
          </w:p>
        </w:tc>
        <w:tc>
          <w:tcPr/>
          <w:p>
            <w:pPr>
              <w:pStyle w:val="Compact"/>
              <w:jc w:val="left"/>
            </w:pPr>
            <w:r>
              <w:t xml:space="preserve">8,4%</w:t>
            </w:r>
          </w:p>
        </w:tc>
      </w:tr>
      <w:tr>
        <w:tc>
          <w:tcPr/>
          <w:p>
            <w:pPr>
              <w:pStyle w:val="Compact"/>
              <w:jc w:val="left"/>
            </w:pPr>
            <m:oMath>
              <m:sSup>
                <m:e>
                  <m:r>
                    <m:t>I</m:t>
                  </m:r>
                </m:e>
                <m:sup>
                  <m:r>
                    <m:t>2</m:t>
                  </m:r>
                </m:sup>
              </m:sSup>
            </m:oMath>
            <w:r>
              <w:t xml:space="preserve"> </w:t>
            </w:r>
            <w:r>
              <w:t xml:space="preserve">tổng</w:t>
            </w:r>
          </w:p>
        </w:tc>
        <w:tc>
          <w:tcPr/>
          <w:p>
            <w:pPr>
              <w:pStyle w:val="Compact"/>
              <w:jc w:val="left"/>
            </w:pPr>
            <w:r>
              <w:t xml:space="preserve">62,4%</w:t>
            </w:r>
          </w:p>
        </w:tc>
      </w:tr>
      <w:tr>
        <w:tc>
          <w:tcPr/>
          <w:p>
            <w:pPr>
              <w:pStyle w:val="Compact"/>
              <w:jc w:val="left"/>
            </w:pPr>
            <m:oMath>
              <m:sSub>
                <m:e>
                  <m:acc>
                    <m:accPr>
                      <m:chr m:val="̂"/>
                    </m:accPr>
                    <m:e>
                      <m:r>
                        <m:t>r</m:t>
                      </m:r>
                    </m:e>
                  </m:acc>
                </m:e>
                <m:sub>
                  <m:r>
                    <m:t>3</m:t>
                  </m:r>
                  <m:r>
                    <m:t>L</m:t>
                  </m:r>
                </m:sub>
              </m:sSub>
            </m:oMath>
            <w:r>
              <w:t xml:space="preserve"> </w:t>
            </w:r>
            <w:r>
              <w:t xml:space="preserve">gộp</w:t>
            </w:r>
          </w:p>
        </w:tc>
        <w:tc>
          <w:tcPr/>
          <w:p>
            <w:pPr>
              <w:pStyle w:val="Compact"/>
              <w:jc w:val="left"/>
            </w:pPr>
            <w:r>
              <w:t xml:space="preserve">0,074 (95% CI [0,060; 0,088])</w:t>
            </w:r>
          </w:p>
        </w:tc>
      </w:tr>
      <w:tr>
        <w:tc>
          <w:tcPr/>
          <w:p>
            <w:pPr>
              <w:pStyle w:val="Compact"/>
              <w:jc w:val="left"/>
            </w:pPr>
            <m:oMath>
              <m:sSub>
                <m:e>
                  <m:r>
                    <m:t>Q</m:t>
                  </m:r>
                </m:e>
                <m:sub>
                  <m:r>
                    <m:rPr>
                      <m:nor/>
                      <m:sty m:val="p"/>
                    </m:rPr>
                    <m:t>tổng</m:t>
                  </m:r>
                </m:sub>
              </m:sSub>
            </m:oMath>
          </w:p>
        </w:tc>
        <w:tc>
          <w:tcPr/>
          <w:p>
            <w:pPr>
              <w:pStyle w:val="Compact"/>
              <w:jc w:val="left"/>
            </w:pPr>
            <w:r>
              <w:t xml:space="preserve">1.909,42 (</w:t>
            </w:r>
            <m:oMath>
              <m:r>
                <m:t>d</m:t>
              </m:r>
              <m:r>
                <m:t>f</m:t>
              </m:r>
              <m:r>
                <m:rPr>
                  <m:sty m:val="p"/>
                </m:rPr>
                <m:t>=</m:t>
              </m:r>
              <m:r>
                <m:t>287</m:t>
              </m:r>
            </m:oMath>
            <w:r>
              <w:t xml:space="preserve">,</w:t>
            </w:r>
            <w:r>
              <w:t xml:space="preserve"> </w:t>
            </w:r>
            <m:oMath>
              <m:r>
                <m:t>p</m:t>
              </m:r>
              <m:r>
                <m:rPr>
                  <m:sty m:val="p"/>
                </m:rPr>
                <m:t>&lt;</m:t>
              </m:r>
              <m:r>
                <m:rPr>
                  <m:sty m:val="p"/>
                </m:rPr>
                <m:t>,</m:t>
              </m:r>
              <m:r>
                <m:t>001</m:t>
              </m:r>
            </m:oMath>
            <w:r>
              <w:t xml:space="preserve">)</w:t>
            </w:r>
          </w:p>
        </w:tc>
      </w:tr>
    </w:tbl>
    <w:p>
      <w:pPr>
        <w:pStyle w:val="BodyText"/>
      </w:pPr>
      <w:r>
        <w:rPr>
          <w:iCs/>
          <w:i/>
        </w:rPr>
        <w:t xml:space="preserve">Nguồn: phân tích tổng hợp (Đỗ &amp; Phan, 2026, bản thảo đang chuẩn bị).</w:t>
      </w:r>
    </w:p>
    <w:p>
      <w:pPr>
        <w:pStyle w:val="BodyText"/>
      </w:pPr>
      <w:r>
        <w:t xml:space="preserve">Dị biệt bên trong từng nghiên cứu, tức biến thiên giữa các mức độ ảnh hưởng trong cùng một nghiên cứu (Tầng 2), chiếm 54,1% tổng phương sai và là nguồn dị biệt chủ đạo. Dị biệt giữa các nghiên cứu với nhau (Tầng 3) chỉ chiếm 8,4%, nghĩa là dị biệt Tầng 2 lớn hơn Tầng 3 khoảng sáu lần. Phát hiện này mang hàm ý lý thuyết sâu sắc. Sự thiếu nhất quán trong tài liệu nghiên cứu I-P chủ yếu xuất phát từ biến thiên bên trong từng nghiên cứu, chẳng hạn cùng một mẫu doanh nghiệp nhưng dùng các thước đo khác nhau cho cùng một khái niệm lại cho ra kết quả khác nhau, chứ không phải từ khác biệt giữa các nghiên cứu. Như vậy, tính không nhất quán phần lớn là vấn đề đo lường và vận hành hóa khái niệm về quốc tế hóa cùng hiệu quả, chứ không phải bằng chứng về một sự thiếu nhất quán thực sự trong quan hệ nhân quả.</w:t>
      </w:r>
    </w:p>
    <w:bookmarkEnd w:id="113"/>
    <w:bookmarkStart w:id="114" w:name="điều-tiết-bởi-chế-độ-thể-chế-icrv"/>
    <w:p>
      <w:pPr>
        <w:pStyle w:val="Heading3"/>
      </w:pPr>
      <w:r>
        <w:t xml:space="preserve">4.2.3 Điều tiết bởi chế độ thể chế ICRV</w:t>
      </w:r>
    </w:p>
    <w:p>
      <w:pPr>
        <w:pStyle w:val="FirstParagraph"/>
      </w:pPr>
      <w:r>
        <w:t xml:space="preserve">Kiểm định điều tiết theo nhóm chế độ thể chế ICRV cho kết quả có ý nghĩa thống kê:</w:t>
      </w:r>
    </w:p>
    <w:p>
      <w:pPr>
        <w:pStyle w:val="BodyText"/>
      </w:pPr>
      <m:oMathPara>
        <m:oMathParaPr>
          <m:jc m:val="center"/>
        </m:oMathParaPr>
        <m:oMath>
          <m:sSub>
            <m:e>
              <m:r>
                <m:t>Q</m:t>
              </m:r>
            </m:e>
            <m:sub>
              <m:r>
                <m:t>M</m:t>
              </m:r>
            </m:sub>
          </m:sSub>
          <m:d>
            <m:dPr>
              <m:begChr m:val="("/>
              <m:endChr m:val=")"/>
              <m:sepChr m:val=""/>
              <m:grow/>
            </m:dPr>
            <m:e>
              <m:r>
                <m:rPr>
                  <m:nor/>
                  <m:sty m:val="p"/>
                </m:rPr>
                <m:t>ICRV</m:t>
              </m:r>
            </m:e>
          </m:d>
          <m:r>
            <m:rPr>
              <m:sty m:val="p"/>
            </m:rPr>
            <m:t>=</m:t>
          </m:r>
          <m:r>
            <m:t>17</m:t>
          </m:r>
          <m:r>
            <m:rPr>
              <m:sty m:val="p"/>
            </m:rPr>
            <m:t>,</m:t>
          </m:r>
          <m:r>
            <m:t>35</m:t>
          </m:r>
          <m:r>
            <m:t> </m:t>
          </m:r>
          <m:d>
            <m:dPr>
              <m:begChr m:val="("/>
              <m:endChr m:val=")"/>
              <m:sepChr m:val=""/>
              <m:grow/>
            </m:dPr>
            <m:e>
              <m:r>
                <m:t>d</m:t>
              </m:r>
              <m:r>
                <m:t>f</m:t>
              </m:r>
              <m:r>
                <m:rPr>
                  <m:sty m:val="p"/>
                </m:rPr>
                <m:t>=</m:t>
              </m:r>
              <m:r>
                <m:t>4</m:t>
              </m:r>
              <m:r>
                <m:rPr>
                  <m:sty m:val="p"/>
                </m:rPr>
                <m:t>,</m:t>
              </m:r>
              <m:r>
                <m:t> </m:t>
              </m:r>
              <m:r>
                <m:t>p</m:t>
              </m:r>
              <m:r>
                <m:rPr>
                  <m:sty m:val="p"/>
                </m:rPr>
                <m:t>=</m:t>
              </m:r>
              <m:r>
                <m:rPr>
                  <m:sty m:val="p"/>
                </m:rPr>
                <m:t>,</m:t>
              </m:r>
              <m:r>
                <m:t>002</m:t>
              </m:r>
            </m:e>
          </m:d>
        </m:oMath>
      </m:oMathPara>
    </w:p>
    <w:p>
      <w:pPr>
        <w:pStyle w:val="FirstParagraph"/>
      </w:pPr>
      <w:r>
        <w:t xml:space="preserve">Kết quả này xác nhận chế độ thể chế, được phân loại từ nhóm tiên tiến dẫn dắt bằng đổi mới đến nhóm đảo nhỏ Thái Bình Dương, là một yếu tố điều tiết thực sự có ý nghĩa cho quan hệ gộp I-P. Việc</w:t>
      </w:r>
      <w:r>
        <w:t xml:space="preserve"> </w:t>
      </w:r>
      <m:oMath>
        <m:sSub>
          <m:e>
            <m:r>
              <m:t>Q</m:t>
            </m:r>
          </m:e>
          <m:sub>
            <m:r>
              <m:t>M</m:t>
            </m:r>
          </m:sub>
        </m:sSub>
      </m:oMath>
      <w:r>
        <w:t xml:space="preserve"> </w:t>
      </w:r>
      <w:r>
        <w:t xml:space="preserve">vượt ngưỡng tới hạn (</w:t>
      </w:r>
      <m:oMath>
        <m:r>
          <m:t>p</m:t>
        </m:r>
        <m:r>
          <m:rPr>
            <m:sty m:val="p"/>
          </m:rPr>
          <m:t>=</m:t>
        </m:r>
        <m:r>
          <m:rPr>
            <m:sty m:val="p"/>
          </m:rPr>
          <m:t>,</m:t>
        </m:r>
        <m:r>
          <m:t>002</m:t>
        </m:r>
      </m:oMath>
      <w:r>
        <w:t xml:space="preserve">) hàm ý rằng khác biệt giữa các nhóm ICRV không thể quy về sai số lấy mẫu.</w:t>
      </w:r>
    </w:p>
    <w:p>
      <w:pPr>
        <w:pStyle w:val="BodyText"/>
      </w:pPr>
      <w:r>
        <w:rPr>
          <w:bCs/>
          <w:b/>
        </w:rPr>
        <w:t xml:space="preserve">Bảng 4.4.</w:t>
      </w:r>
      <w:r>
        <w:t xml:space="preserve"> </w:t>
      </w:r>
      <w:r>
        <w:rPr>
          <w:iCs/>
          <w:i/>
        </w:rPr>
        <w:t xml:space="preserve">Hiệu ứng gộp theo nhóm chế độ ICRV (đặc tả không hệ số chặn,</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m:oMath>
              <m:r>
                <m:t>K</m:t>
              </m:r>
            </m:oMath>
            <w:r>
              <w:t xml:space="preserve"> </w:t>
            </w:r>
            <w:r>
              <w:t xml:space="preserve">(mức độ ảnh hưởng)</w:t>
            </w:r>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m:oMath>
              <m:r>
                <m:t>p</m:t>
              </m:r>
            </m:oMath>
          </w:p>
        </w:tc>
      </w:tr>
      <w:tr>
        <w:tc>
          <w:tcPr/>
          <w:p>
            <w:pPr>
              <w:pStyle w:val="Compact"/>
              <w:jc w:val="left"/>
            </w:pPr>
            <w:r>
              <w:t xml:space="preserve">I — Advanced đổi mới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&lt;,001</w:t>
            </w:r>
          </w:p>
        </w:tc>
      </w:tr>
      <w:tr>
        <w:tc>
          <w:tcPr/>
          <w:p>
            <w:pPr>
              <w:pStyle w:val="Compact"/>
              <w:jc w:val="left"/>
            </w:pPr>
            <w:r>
              <w:t xml:space="preserve">FR — Frontier / kém phát triển</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&lt;,001</w:t>
            </w:r>
          </w:p>
        </w:tc>
      </w:tr>
      <w:tr>
        <w:tc>
          <w:tcPr/>
          <w:p>
            <w:pPr>
              <w:pStyle w:val="Compact"/>
              <w:jc w:val="left"/>
            </w:pPr>
            <w:r>
              <w:t xml:space="preserve">MX — Liên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rPr>
          <w:iCs/>
          <w:i/>
        </w:rPr>
        <w:t xml:space="preserve">Nguồn: phân tích tổng hợp (Đỗ &amp; Phan, 2026, bản thảo đang chuẩn bị).</w:t>
      </w:r>
    </w:p>
    <w:p>
      <w:pPr>
        <w:pStyle w:val="BodyText"/>
      </w:pPr>
      <w:r>
        <w:t xml:space="preserve">Cả năm hiệu ứng gộp theo nhóm đều dương và có ý nghĩa thống kê. Đáng lưu ý là ba nhóm đơn quốc gia có số liệu dày, gồm Advanced đổi mới (</w:t>
      </w:r>
      <m:oMath>
        <m:acc>
          <m:accPr>
            <m:chr m:val="‾"/>
          </m:accPr>
          <m:e>
            <m:r>
              <m:t>r</m:t>
            </m:r>
          </m:e>
        </m:acc>
        <m:r>
          <m:rPr>
            <m:sty m:val="p"/>
          </m:rPr>
          <m:t>=</m:t>
        </m:r>
        <m:r>
          <m:t>0</m:t>
        </m:r>
        <m:r>
          <m:rPr>
            <m:sty m:val="p"/>
          </m:rPr>
          <m:t>,</m:t>
        </m:r>
        <m:r>
          <m:t>079</m:t>
        </m:r>
      </m:oMath>
      <w:r>
        <w:t xml:space="preserve">,</w:t>
      </w:r>
      <w:r>
        <w:t xml:space="preserve"> </w:t>
      </w:r>
      <m:oMath>
        <m:r>
          <m:t>K</m:t>
        </m:r>
        <m:r>
          <m:rPr>
            <m:sty m:val="p"/>
          </m:rPr>
          <m:t>=</m:t>
        </m:r>
        <m:r>
          <m:t>139</m:t>
        </m:r>
      </m:oMath>
      <w:r>
        <w:t xml:space="preserve">), Emerging (</w:t>
      </w:r>
      <m:oMath>
        <m:acc>
          <m:accPr>
            <m:chr m:val="‾"/>
          </m:accPr>
          <m:e>
            <m:r>
              <m:t>r</m:t>
            </m:r>
          </m:e>
        </m:acc>
        <m:r>
          <m:rPr>
            <m:sty m:val="p"/>
          </m:rPr>
          <m:t>=</m:t>
        </m:r>
        <m:r>
          <m:t>0</m:t>
        </m:r>
        <m:r>
          <m:rPr>
            <m:sty m:val="p"/>
          </m:rPr>
          <m:t>,</m:t>
        </m:r>
        <m:r>
          <m:t>069</m:t>
        </m:r>
      </m:oMath>
      <w:r>
        <w:t xml:space="preserve">,</w:t>
      </w:r>
      <w:r>
        <w:t xml:space="preserve"> </w:t>
      </w:r>
      <m:oMath>
        <m:r>
          <m:t>K</m:t>
        </m:r>
        <m:r>
          <m:rPr>
            <m:sty m:val="p"/>
          </m:rPr>
          <m:t>=</m:t>
        </m:r>
        <m:r>
          <m:t>91</m:t>
        </m:r>
      </m:oMath>
      <w:r>
        <w:t xml:space="preserve">) và Upper-middle (</w:t>
      </w:r>
      <m:oMath>
        <m:acc>
          <m:accPr>
            <m:chr m:val="‾"/>
          </m:accPr>
          <m:e>
            <m:r>
              <m:t>r</m:t>
            </m:r>
          </m:e>
        </m:acc>
        <m:r>
          <m:rPr>
            <m:sty m:val="p"/>
          </m:rPr>
          <m:t>=</m:t>
        </m:r>
        <m:r>
          <m:t>0</m:t>
        </m:r>
        <m:r>
          <m:rPr>
            <m:sty m:val="p"/>
          </m:rPr>
          <m:t>,</m:t>
        </m:r>
        <m:r>
          <m:t>065</m:t>
        </m:r>
      </m:oMath>
      <w:r>
        <w:t xml:space="preserve">,</w:t>
      </w:r>
      <w:r>
        <w:t xml:space="preserve"> </w:t>
      </w:r>
      <m:oMath>
        <m:r>
          <m:t>K</m:t>
        </m:r>
        <m:r>
          <m:rPr>
            <m:sty m:val="p"/>
          </m:rPr>
          <m:t>=</m:t>
        </m:r>
        <m:r>
          <m:t>25</m:t>
        </m:r>
      </m:oMath>
      <w:r>
        <w:t xml:space="preserve">), nằm rất sát nhau và không phân biệt được về mặt thống kê. Vì vậy, dải biến thiên định hướng theo dự đoán rằng nhóm tiên tiến luôn cho hiệu ứng lớn nhất và nhóm cận biên cho hiệu ứng nhỏ nhất chưa được xác nhận trong tập dữ liệu hiện tại. Ý nghĩa của</w:t>
      </w:r>
      <w:r>
        <w:t xml:space="preserve"> </w:t>
      </w:r>
      <m:oMath>
        <m:sSub>
          <m:e>
            <m:r>
              <m:t>Q</m:t>
            </m:r>
          </m:e>
          <m:sub>
            <m:r>
              <m:t>M</m:t>
            </m:r>
          </m:sub>
        </m:sSub>
      </m:oMath>
      <w:r>
        <w:t xml:space="preserve"> </w:t>
      </w:r>
      <w:r>
        <w:t xml:space="preserve">chủ yếu đến từ ô Frontier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ô duy nhất có khoảng tin cậy không giao với hiệu ứng gộp. Tuy nhiên ô này chỉ dựa trên ba mức độ ảnh hưởng, trong đó có một giá trị ngoại lai, nên còn mong manh về mặt thống kê. Phát hiện vững chắc của phân tích tổng hợp do đó là sự khác biệt giữa nghiên cứu đơn quốc gia với nghiên cứu đa quốc gia, chứ chưa phải một dải biến thiên đơn điệu theo chất lượng thể chế. Dải biến thiên định hướng này sau đó được xác nhận độc lập bằng dữ liệu sơ cấp trong phân tích đa quốc gia (Mục 4.3).</w:t>
      </w:r>
    </w:p>
    <w:p>
      <w:pPr>
        <w:pStyle w:val="BodyText"/>
      </w:pPr>
      <w:r>
        <w:t xml:space="preserve">Bên cạnh ICRV, phân tích tổng hợp còn kiểm định điều tiết theo mức chấp nhận số quốc gia (cDAI) và theo giai đoạn vòng đời nghịch lý số (DPL). Cả hai đều không đạt ý nghĩa thống kê:</w:t>
      </w:r>
      <w:r>
        <w:t xml:space="preserve"> </w:t>
      </w:r>
      <m:oMath>
        <m:sSub>
          <m:e>
            <m:r>
              <m:t>Q</m:t>
            </m:r>
          </m:e>
          <m:sub>
            <m:r>
              <m:t>M</m:t>
            </m:r>
          </m:sub>
        </m:sSub>
        <m:d>
          <m:dPr>
            <m:begChr m:val="("/>
            <m:endChr m:val=")"/>
            <m:sepChr m:val=""/>
            <m:grow/>
          </m:dPr>
          <m:e>
            <m:r>
              <m:rPr>
                <m:nor/>
                <m:sty m:val="p"/>
              </m:rPr>
              <m:t>cDAI</m:t>
            </m:r>
          </m:e>
        </m:d>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và</w:t>
      </w:r>
      <w:r>
        <w:t xml:space="preserve"> </w:t>
      </w:r>
      <m:oMath>
        <m:sSub>
          <m:e>
            <m:r>
              <m:t>Q</m:t>
            </m:r>
          </m:e>
          <m:sub>
            <m:r>
              <m:t>M</m:t>
            </m:r>
          </m:sub>
        </m:sSub>
        <m:d>
          <m:dPr>
            <m:begChr m:val="("/>
            <m:endChr m:val=")"/>
            <m:sepChr m:val=""/>
            <m:grow/>
          </m:dPr>
          <m:e>
            <m:r>
              <m:rPr>
                <m:nor/>
                <m:sty m:val="p"/>
              </m:rPr>
              <m:t>DPL</m:t>
            </m:r>
          </m:e>
        </m:d>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Các kết quả không có ý nghĩa này có thể phản ánh hạn chế về công suất ở cấp phân tích tổng hợp với</w:t>
      </w:r>
      <w:r>
        <w:t xml:space="preserve"> </w:t>
      </w:r>
      <m:oMath>
        <m:r>
          <m:t>k</m:t>
        </m:r>
        <m:r>
          <m:rPr>
            <m:sty m:val="p"/>
          </m:rPr>
          <m:t>=</m:t>
        </m:r>
        <m:r>
          <m:t>238</m:t>
        </m:r>
      </m:oMath>
      <w:r>
        <w:t xml:space="preserve">, đồng thời để ngỏ việc kiểm định vai trò số ở cấp doanh nghiệp cho phân tích đa quốc gia.</w:t>
      </w:r>
    </w:p>
    <w:bookmarkEnd w:id="114"/>
    <w:bookmarkStart w:id="115" w:name="sai-lệch-xuất-bản"/>
    <w:p>
      <w:pPr>
        <w:pStyle w:val="Heading3"/>
      </w:pPr>
      <w:r>
        <w:t xml:space="preserve">4.2.4 Sai lệch xuất bản</w:t>
      </w:r>
    </w:p>
    <w:p>
      <w:pPr>
        <w:pStyle w:val="FirstParagraph"/>
      </w:pPr>
      <w:r>
        <w:t xml:space="preserve">Phân tích sai lệch xuất bản (publication bias) gồm bốn chỉ báo bổ sung cho nhau. Kiểm định Egger cho</w:t>
      </w:r>
      <w:r>
        <w:t xml:space="preserve"> </w:t>
      </w:r>
      <m:oMath>
        <m:r>
          <m:t>b</m:t>
        </m:r>
        <m:r>
          <m:rPr>
            <m:sty m:val="p"/>
          </m:rPr>
          <m:t>=</m:t>
        </m:r>
        <m:r>
          <m:t>0</m:t>
        </m:r>
        <m:r>
          <m:rPr>
            <m:sty m:val="p"/>
          </m:rPr>
          <m:t>,</m:t>
        </m:r>
        <m:r>
          <m:t>475</m:t>
        </m:r>
      </m:oMath>
      <w:r>
        <w:t xml:space="preserve"> </w:t>
      </w:r>
      <w:r>
        <w:t xml:space="preserve">(</w:t>
      </w:r>
      <m:oMath>
        <m:r>
          <m:t>S</m:t>
        </m:r>
        <m:r>
          <m:t>E</m:t>
        </m:r>
        <m:r>
          <m:rPr>
            <m:sty m:val="p"/>
          </m:rPr>
          <m:t>=</m:t>
        </m:r>
        <m:r>
          <m:t>0</m:t>
        </m:r>
        <m:r>
          <m:rPr>
            <m:sty m:val="p"/>
          </m:rPr>
          <m:t>,</m:t>
        </m:r>
        <m:r>
          <m:t>250</m:t>
        </m:r>
      </m:oMath>
      <w:r>
        <w:t xml:space="preserve">,</w:t>
      </w:r>
      <w:r>
        <w:t xml:space="preserve"> </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 Kiểm định Begg–Mazumdar (Begg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có sai số chuẩn lớn hơn, tức mẫu nhỏ hơn, có xu hướng báo cáo mức độ ảnh hưởng thấp hơn, phù hợp với một sai lệch công bố ưu tiên kết quả dương tính. Phân tích cắt và bù (trim-and-fill) nội suy thêm</w:t>
      </w:r>
      <w:r>
        <w:t xml:space="preserve"> </w:t>
      </w:r>
      <m:oMath>
        <m:r>
          <m:t>k</m:t>
        </m:r>
        <m:r>
          <m:rPr>
            <m:sty m:val="p"/>
          </m:rPr>
          <m:t>=</m:t>
        </m:r>
        <m:r>
          <m:t>58</m:t>
        </m:r>
      </m:oMath>
      <w:r>
        <w:t xml:space="preserve"> </w:t>
      </w:r>
      <w:r>
        <w:t xml:space="preserve">nghiên cứu ở phía bên trái và 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sSub>
          <m:e>
            <m:r>
              <m:t>r</m:t>
            </m:r>
          </m:e>
          <m:sub>
            <m:r>
              <m:rPr>
                <m:nor/>
                <m:sty m:val="p"/>
              </m:rPr>
              <m:t>adj</m:t>
            </m:r>
          </m:sub>
        </m:sSub>
        <m:r>
          <m:rPr>
            <m:sty m:val="p"/>
          </m:rPr>
          <m:t>=</m:t>
        </m:r>
        <m:r>
          <m:t>0</m:t>
        </m:r>
        <m:r>
          <m:rPr>
            <m:sty m:val="p"/>
          </m:rPr>
          <m:t>,</m:t>
        </m:r>
        <m:r>
          <m:t>035</m:t>
        </m:r>
      </m:oMath>
      <w:r>
        <w:t xml:space="preserve"> </w:t>
      </w:r>
      <w:r>
        <w:t xml:space="preserve">(95% CI [0,023; 0,048]), một mức điều chỉnh đáng kể nhưng không làm đổi chiều hướng tích cực của quan hệ gộp. Chỉ số an toàn Fail-safe</w:t>
      </w:r>
      <w:r>
        <w:t xml:space="preserve"> </w:t>
      </w:r>
      <m:oMath>
        <m:r>
          <m:t>N</m:t>
        </m:r>
        <m:r>
          <m:rPr>
            <m:sty m:val="p"/>
          </m:rPr>
          <m:t>=</m:t>
        </m:r>
        <m:r>
          <m:t>45.848</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 khẳng định sai lệch xuất bản không thể bác bỏ hoàn toàn kết quả tổng hợp.</w:t>
      </w:r>
    </w:p>
    <w:p>
      <w:pPr>
        <w:pStyle w:val="BodyText"/>
      </w:pPr>
      <w:r>
        <w:t xml:space="preserve">Tổng hợp lại, bằng chứng về sai lệch xuất bản được xác nhận qua kiểm định Begg–Mazumdar có ý nghĩa (</w:t>
      </w:r>
      <m:oMath>
        <m:r>
          <m:t>p</m:t>
        </m:r>
        <m:r>
          <m:rPr>
            <m:sty m:val="p"/>
          </m:rPr>
          <m:t>=</m:t>
        </m:r>
        <m:r>
          <m:rPr>
            <m:sty m:val="p"/>
          </m:rPr>
          <m:t>,</m:t>
        </m:r>
        <m:r>
          <m:t>0007</m:t>
        </m:r>
      </m:oMath>
      <w:r>
        <w:t xml:space="preserve">): hiệu ứng gộp quan sát</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 Kết hợp với mức dị biệt còn lại lớn (</w:t>
      </w:r>
      <m:oMath>
        <m:sSup>
          <m:e>
            <m:r>
              <m:t>I</m:t>
            </m:r>
          </m:e>
          <m:sup>
            <m:r>
              <m:t>2</m:t>
            </m:r>
          </m:sup>
        </m:sSup>
        <m:r>
          <m:rPr>
            <m:sty m:val="p"/>
          </m:rPr>
          <m:t>=</m:t>
        </m:r>
        <m:r>
          <m:t>62</m:t>
        </m:r>
        <m:r>
          <m:rPr>
            <m:sty m:val="p"/>
          </m:rPr>
          <m:t>,</m:t>
        </m:r>
        <m:r>
          <m:t>4</m:t>
        </m:r>
        <m:r>
          <m:rPr>
            <m:sty m:val="p"/>
          </m:rPr>
          <m:t>%</m:t>
        </m:r>
      </m:oMath>
      <w:r>
        <w:t xml:space="preserve">) và các kiểm định điều tiết không có ý nghĩa về cDAI và DPL, bức tranh tổng thể là một hiệu ứng I-P dương nhưng nhỏ, vẫn sống sót sau hiệu chỉnh sai lệch, song có thể tiến gần đến</w:t>
      </w:r>
      <w:r>
        <w:t xml:space="preserve"> </w:t>
      </w:r>
      <m:oMath>
        <m:r>
          <m:t>r</m:t>
        </m:r>
        <m:r>
          <m:rPr>
            <m:sty m:val="p"/>
          </m:rPr>
          <m:t>≈</m:t>
        </m:r>
        <m:r>
          <m:t>0</m:t>
        </m:r>
        <m:r>
          <m:rPr>
            <m:sty m:val="p"/>
          </m:rPr>
          <m:t>,</m:t>
        </m:r>
        <m:r>
          <m:t>035</m:t>
        </m:r>
      </m:oMath>
      <w:r>
        <w:t xml:space="preserve"> </w:t>
      </w:r>
      <w:r>
        <w:t xml:space="preserve">ở mức tổng thể thực.</w:t>
      </w:r>
    </w:p>
    <w:p>
      <w:r>
        <w:pict>
          <v:rect style="width:0;height:1.5pt" o:hralign="center" o:hrstd="t" o:hr="t"/>
        </w:pict>
      </w:r>
    </w:p>
    <w:bookmarkEnd w:id="115"/>
    <w:bookmarkEnd w:id="116"/>
    <w:bookmarkStart w:id="121" w:name="X2211c9df96706adf979c72912d0dfbc1dae7ce1"/>
    <w:p>
      <w:pPr>
        <w:pStyle w:val="Heading2"/>
      </w:pPr>
      <w:r>
        <w:t xml:space="preserve">4.3 Kết quả đa quốc gia trên 45 nền kinh tế (phân tích đa quốc gia 45 nền kinh tế)</w:t>
      </w:r>
    </w:p>
    <w:bookmarkStart w:id="117" w:name="mẫu-và-đường-cong-u-ngược"/>
    <w:p>
      <w:pPr>
        <w:pStyle w:val="Heading3"/>
      </w:pPr>
      <w:r>
        <w:t xml:space="preserve">4.3.1 Mẫu và đường cong U ngược</w:t>
      </w:r>
    </w:p>
    <w:p>
      <w:pPr>
        <w:pStyle w:val="FirstParagraph"/>
      </w:pPr>
      <w:r>
        <w:t xml:space="preserve">Phân tích phân tích đa quốc gia là kiểm định quy mô lớn nhất của luận án, kết hợp toàn bộ các bối cảnh ICRV trong khu vực châu Á và Thái Bình Dương, trải dài 45 nền kinh tế và 98 đợt khảo sát quốc gia–năm. FSTS trung bình trên toàn mẫu xấp xỉ 10% (trung vị</w:t>
      </w:r>
      <w:r>
        <w:t xml:space="preserve"> </w:t>
      </w:r>
      <m:oMath>
        <m:r>
          <m:rPr>
            <m:sty m:val="p"/>
          </m:rPr>
          <m:t>≈</m:t>
        </m:r>
      </m:oMath>
      <w:r>
        <w:t xml:space="preserve"> </w:t>
      </w:r>
      <w:r>
        <w:t xml:space="preserve">0), phản ánh tình trạng đa số doanh nghiệp WBES định hướng nội địa; doanh nghiệp xuất khẩu (FSTS &gt; 0) chiếm khoảng 18% mẫu. Tương quan giữa các biến trọng tâm đều thấp (</w:t>
      </w:r>
      <m:oMath>
        <m:d>
          <m:dPr>
            <m:begChr m:val="|"/>
            <m:endChr m:val="|"/>
            <m:sepChr m:val=""/>
            <m:grow/>
          </m:dPr>
          <m:e>
            <m:r>
              <m:t>r</m:t>
            </m:r>
          </m:e>
        </m:d>
        <m:r>
          <m:rPr>
            <m:sty m:val="p"/>
          </m:rPr>
          <m:t>&lt;</m:t>
        </m:r>
        <m:r>
          <m:t>0</m:t>
        </m:r>
        <m:r>
          <m:rPr>
            <m:sty m:val="p"/>
          </m:rPr>
          <m:t>,</m:t>
        </m:r>
        <m:r>
          <m:t>15</m:t>
        </m:r>
      </m:oMath>
      <w:r>
        <w:t xml:space="preserve">) và hệ số phóng đại phương sai dưới 3,5, loại trừ lo ngại về đa cộng tuyến.</w:t>
      </w:r>
    </w:p>
    <w:p>
      <w:pPr>
        <w:pStyle w:val="BodyText"/>
      </w:pPr>
      <w:r>
        <w:t xml:space="preserve">Mô hình tuyến tính cơ sở (M0) xác nhận FSTS đơn thuần không bổ sung sức giải thích nào (</w:t>
      </w:r>
      <m:oMath>
        <m:sSup>
          <m:e>
            <m:r>
              <m:rPr>
                <m:nor/>
                <m:sty m:val="p"/>
              </m:rPr>
              <m:t>adjR</m:t>
            </m:r>
          </m:e>
          <m:sup>
            <m:r>
              <m:t>2</m:t>
            </m:r>
          </m:sup>
        </m:sSup>
        <m:r>
          <m:rPr>
            <m:sty m:val="p"/>
          </m:rPr>
          <m:t>=</m:t>
        </m:r>
        <m:r>
          <m:rPr>
            <m:sty m:val="p"/>
          </m:rPr>
          <m:t>,</m:t>
        </m:r>
        <m:r>
          <m:t>000</m:t>
        </m:r>
      </m:oMath>
      <w:r>
        <w:t xml:space="preserve">). Khi thêm số hạng bậc hai FSTS</w:t>
      </w:r>
      <m:oMath>
        <m:sSup>
          <m:e>
            <m:r>
              <m:t>​</m:t>
            </m:r>
          </m:e>
          <m:sup>
            <m:r>
              <m:t>2</m:t>
            </m:r>
          </m:sup>
        </m:sSup>
      </m:oMath>
      <w:r>
        <w:t xml:space="preserve"> </w:t>
      </w:r>
      <w:r>
        <w:t xml:space="preserve">(M2) với</w:t>
      </w:r>
      <w:r>
        <w:t xml:space="preserve"> </w:t>
      </w:r>
      <m:oMath>
        <m:r>
          <m:t>N</m:t>
        </m:r>
        <m:r>
          <m:rPr>
            <m:sty m:val="p"/>
          </m:rPr>
          <m:t>=</m:t>
        </m:r>
        <m:r>
          <m:t>82.302</m:t>
        </m:r>
      </m:oMath>
      <w:r>
        <w:t xml:space="preserve"> </w:t>
      </w:r>
      <w:r>
        <w:t xml:space="preserve">quan sát,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U ngược (inverted-U curve). Theo bốn điều kiện hình thức của Haans và cộng sự (2016), cả bốn đều được thỏa mãn: nhánh đi lên dương, độ cong lõm, điểm uốn (turning point, TP) nằm trong khoảng dữ liệu quan sát, và độ dốc biên đổi dấu giữa hai biên dữ liệu, được xác nhận bằng kiểm định Lind–Mehlum (joint</w:t>
      </w:r>
      <w:r>
        <w:t xml:space="preserve"> </w:t>
      </w:r>
      <m:oMath>
        <m:r>
          <m:t>p</m:t>
        </m:r>
        <m:r>
          <m:rPr>
            <m:sty m:val="p"/>
          </m:rPr>
          <m:t>&lt;</m:t>
        </m:r>
        <m:r>
          <m:rPr>
            <m:sty m:val="p"/>
          </m:rPr>
          <m:t>,</m:t>
        </m:r>
        <m:r>
          <m:t>001</m:t>
        </m:r>
      </m:oMath>
      <w:r>
        <w:t xml:space="preserve">).</w:t>
      </w:r>
    </w:p>
    <w:p>
      <w:pPr>
        <w:pStyle w:val="BodyText"/>
      </w:pPr>
      <w:r>
        <w:t xml:space="preserve">Khi bổ sung đầy đủ biến kiểm soát, mẫu hồi quy giảm còn</w:t>
      </w:r>
      <w:r>
        <w:t xml:space="preserve"> </w:t>
      </w:r>
      <m:oMath>
        <m:r>
          <m:t>N</m:t>
        </m:r>
        <m:r>
          <m:rPr>
            <m:sty m:val="p"/>
          </m:rPr>
          <m:t>=</m:t>
        </m:r>
        <m:r>
          <m:t>36.772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671</m:t>
        </m:r>
      </m:oMath>
      <w:r>
        <w:t xml:space="preserve">), ước lượng:</w:t>
      </w:r>
    </w:p>
    <w:p>
      <w:pPr>
        <w:pStyle w:val="BodyText"/>
      </w:pPr>
      <m:oMathPara>
        <m:oMathParaPr>
          <m:jc m:val="center"/>
        </m:oMathParaPr>
        <m:oMath>
          <m:r>
            <m:rPr>
              <m:nor/>
              <m:sty m:val="p"/>
            </m:rPr>
            <m:t>TP(M5)</m:t>
          </m:r>
          <m:r>
            <m:rPr>
              <m:sty m:val="p"/>
            </m:rPr>
            <m:t>=</m:t>
          </m:r>
          <m:r>
            <m:t>39</m:t>
          </m:r>
          <m:r>
            <m:rPr>
              <m:sty m:val="p"/>
            </m:rPr>
            <m:t>,</m:t>
          </m:r>
          <m:r>
            <m:t>5</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34,1–39,5% FSTS qua các đặc tả nền M2, M3 và M5, và được xác nhận lại trong mô hình điều tiết ba chiều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w:t>
      </w:r>
      <w:r>
        <w:t xml:space="preserve"> </w:t>
      </w:r>
      <m:oMath>
        <m:r>
          <m:t>N</m:t>
        </m:r>
        <m:r>
          <m:rPr>
            <m:sty m:val="p"/>
          </m:rPr>
          <m:t>=</m:t>
        </m:r>
        <m:r>
          <m:t>28.500</m:t>
        </m:r>
      </m:oMath>
      <w:r>
        <w:t xml:space="preserve">). Điểm uốn tổng thể của toàn mẫu nằm vào khoảng 37% FSTS. Tính nhất quán này bác bỏ giả thuyết cho rằng đường cong U ngược chỉ là sản phẩm phụ của mẫu nhỏ hay thiếu biến kiểm soát.</w:t>
      </w:r>
    </w:p>
    <w:bookmarkEnd w:id="117"/>
    <w:bookmarkStart w:id="118" w:name="dải-biến-thiên-icrv-và-điểm-uốn-tối-ưu"/>
    <w:p>
      <w:pPr>
        <w:pStyle w:val="Heading3"/>
      </w:pPr>
      <w:r>
        <w:t xml:space="preserve">4.3.2 Dải biến thiên ICRV và điểm uốn tối ưu</w:t>
      </w:r>
    </w:p>
    <w:p>
      <w:pPr>
        <w:pStyle w:val="FirstParagraph"/>
      </w:pPr>
      <w:r>
        <w:t xml:space="preserve">Kết quả quan trọng nhất của phân tích đa quốc gia là xác nhận vai trò điều tiết của ICRV đối với hình dạng đường cong I-P. Mô hình M10 cho hiệu ứng chính của nhóm ICRV (</w:t>
      </w:r>
      <m:oMath>
        <m:r>
          <m:t>β</m:t>
        </m:r>
        <m:r>
          <m:rPr>
            <m:sty m:val="p"/>
          </m:rPr>
          <m:t>=</m:t>
        </m:r>
        <m:r>
          <m:rPr>
            <m:sty m:val="p"/>
          </m:rPr>
          <m:t>+</m:t>
        </m:r>
        <m:r>
          <m:t>0</m:t>
        </m:r>
        <m:r>
          <m:rPr>
            <m:sty m:val="p"/>
          </m:rPr>
          <m:t>,</m:t>
        </m:r>
        <m:r>
          <m:t>592</m:t>
        </m:r>
      </m:oMath>
      <w:r>
        <w:t xml:space="preserve">,</w:t>
      </w:r>
      <w:r>
        <w:t xml:space="preserve"> </w:t>
      </w:r>
      <m:oMath>
        <m:r>
          <m:t>p</m:t>
        </m:r>
        <m:r>
          <m:rPr>
            <m:sty m:val="p"/>
          </m:rPr>
          <m:t>&lt;</m:t>
        </m:r>
        <m:r>
          <m:rPr>
            <m:sty m:val="p"/>
          </m:rPr>
          <m:t>,</m:t>
        </m:r>
        <m:r>
          <m:t>001</m:t>
        </m:r>
      </m:oMath>
      <w:r>
        <w:t xml:space="preserve">); hệ số dương này phản ánh việc doanh thu danh nghĩa trên lao động cao hơn ở các nền kinh tế có mặt bằng giá thấp, đặc trưng của nhóm cận biên và mới nổi, nên cần diễn giải thận trọng. Quan trọng hơn là hai số hạng tương tác có ý nghĩa: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w:t>
      </w:r>
      <m:oMath>
        <m:sSup>
          <m:e>
            <m:r>
              <m:t>​</m:t>
            </m:r>
          </m:e>
          <m:sup>
            <m:r>
              <m:t>2</m:t>
            </m:r>
          </m:sup>
        </m:sSup>
      </m:oMath>
      <w:r>
        <w:t xml:space="preserve">×ICRV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Hai hệ số này cho thấy chế độ thể chế chi phối</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các chế độ thể chế yếu (cận biên, SIDS), và phẳng dần về gần tuyến tính ở các chế độ tiên tiến.</w:t>
      </w:r>
    </w:p>
    <w:p>
      <w:pPr>
        <w:pStyle w:val="BodyText"/>
      </w:pPr>
      <w:r>
        <w:t xml:space="preserve">Điểm uốn theo nhóm là không đồng nhất, dao động trong dải rộng (khoảng 16–50% FSTS) và cụm quanh ~40%, nhưng</w:t>
      </w:r>
      <w:r>
        <w:t xml:space="preserve"> </w:t>
      </w:r>
      <w:r>
        <w:rPr>
          <w:bCs/>
          <w:b/>
        </w:rPr>
        <w:t xml:space="preserve">không</w:t>
      </w:r>
      <w:r>
        <w:t xml:space="preserve"> </w:t>
      </w:r>
      <w:r>
        <w:t xml:space="preserve">dịch chuyển đơn điệu theo chất lượng thể chế. Cơ chế vững được nhận diện là biên độ chứ không phải sự di chuyển vị trí điểm tối ưu: trong môi trường thể chế mạnh (Nhóm I), đường cong phẳng và gần tuyến tính nên tổn thất sau đỉnh nhỏ; tại các nền kinh tế thể chế yếu (Nhóm V–VI), đường cong cong sâu hơn nên hình phạt cho quốc tế hóa quá mức trở nên gay gắt hơn.</w:t>
      </w:r>
    </w:p>
    <w:p>
      <w:pPr>
        <w:pStyle w:val="BodyText"/>
      </w:pPr>
      <w:r>
        <w:t xml:space="preserve">Kiểm định điều tiết tổng thể về ICRV trong phân tích đa quốc gia nhất quán với kết quả phân tích tổng hợp ở phân tích tổng hợp (</w:t>
      </w:r>
      <m:oMath>
        <m:sSub>
          <m:e>
            <m:r>
              <m:t>Q</m:t>
            </m:r>
          </m:e>
          <m:sub>
            <m:r>
              <m:t>M</m:t>
            </m:r>
          </m:sub>
        </m:sSub>
        <m:r>
          <m:rPr>
            <m:sty m:val="p"/>
          </m:rPr>
          <m:t>=</m:t>
        </m:r>
        <m:r>
          <m:t>17</m:t>
        </m:r>
        <m:r>
          <m:rPr>
            <m:sty m:val="p"/>
          </m:rPr>
          <m:t>,</m:t>
        </m:r>
        <m:r>
          <m:t>35</m:t>
        </m:r>
      </m:oMath>
      <w:r>
        <w:t xml:space="preserve">,</w:t>
      </w:r>
      <w:r>
        <w:t xml:space="preserve"> </w:t>
      </w:r>
      <m:oMath>
        <m:r>
          <m:t>p</m:t>
        </m:r>
        <m:r>
          <m:rPr>
            <m:sty m:val="p"/>
          </m:rPr>
          <m:t>=</m:t>
        </m:r>
        <m:r>
          <m:rPr>
            <m:sty m:val="p"/>
          </m:rPr>
          <m:t>,</m:t>
        </m:r>
        <m:r>
          <m:t>002</m:t>
        </m:r>
      </m:oMath>
      <w:r>
        <w:t xml:space="preserve">). Hai nguồn bằng chứng độc lập, một từ phân tích tổng hợp 238 nghiên cứu và một từ dữ liệu sơ cấp 45 nền kinh tế, cùng chỉ ra dải biến thiên ICRV, tạo nên một sự xác nhận chéo độc lập có giá trị.</w:t>
      </w:r>
    </w:p>
    <w:bookmarkEnd w:id="118"/>
    <w:bookmarkStart w:id="119" w:name="điều-tiết-bởi-tci-và-dai-trong-toàn-mẫu"/>
    <w:p>
      <w:pPr>
        <w:pStyle w:val="Heading3"/>
      </w:pPr>
      <w:r>
        <w:t xml:space="preserve">4.3.3 Điều tiết bởi TCI và DAI trong toàn mẫu</w:t>
      </w:r>
    </w:p>
    <w:p>
      <w:pPr>
        <w:pStyle w:val="FirstParagraph"/>
      </w:pPr>
      <w:r>
        <w:t xml:space="preserve">Vai trò của hai năng lực doanh nghiệp được kiểm định riêng. Năng lực công nghệ TCI dương và có ý nghĩa thống kê trên toàn mẫu: thêm TCI làm hiệu ứng chính (</w:t>
      </w:r>
      <m:oMath>
        <m:r>
          <m:t>β</m:t>
        </m:r>
        <m:r>
          <m:rPr>
            <m:sty m:val="p"/>
          </m:rPr>
          <m:t>=</m:t>
        </m:r>
        <m:r>
          <m:rPr>
            <m:sty m:val="p"/>
          </m:rPr>
          <m:t>+</m:t>
        </m:r>
        <m:r>
          <m:t>0</m:t>
        </m:r>
        <m:r>
          <m:rPr>
            <m:sty m:val="p"/>
          </m:rPr>
          <m:t>,</m:t>
        </m:r>
        <m:r>
          <m:t>342</m:t>
        </m:r>
      </m:oMath>
      <w:r>
        <w:t xml:space="preserve">,</w:t>
      </w:r>
      <w:r>
        <w:t xml:space="preserve"> </w:t>
      </w:r>
      <m:oMath>
        <m:r>
          <m:t>p</m:t>
        </m:r>
        <m:r>
          <m:rPr>
            <m:sty m:val="p"/>
          </m:rPr>
          <m:t>&lt;</m:t>
        </m:r>
        <m:r>
          <m:rPr>
            <m:sty m:val="p"/>
          </m:rPr>
          <m:t>,</m:t>
        </m:r>
        <m:r>
          <m:t>001</m:t>
        </m:r>
      </m:oMath>
      <w:r>
        <w:t xml:space="preserve">) nâng năng suất lao động khoảng 41% trên mỗi đơn vị độ lệch chuẩn (</w:t>
      </w:r>
      <m:oMath>
        <m:r>
          <m:rPr>
            <m:sty m:val="p"/>
          </m:rPr>
          <m:t>exp</m:t>
        </m:r>
        <m:d>
          <m:dPr>
            <m:begChr m:val="("/>
            <m:endChr m:val=")"/>
            <m:sepChr m:val=""/>
            <m:grow/>
          </m:dPr>
          <m:e>
            <m:r>
              <m:t>0</m:t>
            </m:r>
            <m:r>
              <m:rPr>
                <m:sty m:val="p"/>
              </m:rPr>
              <m:t>,</m:t>
            </m:r>
            <m:r>
              <m:t>342</m:t>
            </m:r>
          </m:e>
        </m:d>
        <m:r>
          <m:rPr>
            <m:sty m:val="p"/>
          </m:rPr>
          <m:t>−</m:t>
        </m:r>
        <m:r>
          <m:t>1</m:t>
        </m:r>
        <m:r>
          <m:rPr>
            <m:sty m:val="p"/>
          </m:rPr>
          <m:t>≈</m:t>
        </m:r>
        <m:r>
          <m:t>0</m:t>
        </m:r>
        <m:r>
          <m:rPr>
            <m:sty m:val="p"/>
          </m:rPr>
          <m:t>,</m:t>
        </m:r>
        <m:r>
          <m:t>41</m:t>
        </m:r>
      </m:oMath>
      <w:r>
        <w:t xml:space="preserve">). Tuy nhiên, hai tương tác FSTS×TCI (</w:t>
      </w:r>
      <m:oMath>
        <m:r>
          <m:t>β</m:t>
        </m:r>
        <m:r>
          <m:rPr>
            <m:sty m:val="p"/>
          </m:rPr>
          <m:t>=</m:t>
        </m:r>
        <m:r>
          <m:rPr>
            <m:sty m:val="p"/>
          </m:rPr>
          <m:t>−</m:t>
        </m:r>
        <m:r>
          <m:t>0</m:t>
        </m:r>
        <m:r>
          <m:rPr>
            <m:sty m:val="p"/>
          </m:rPr>
          <m:t>,</m:t>
        </m:r>
        <m:r>
          <m:t>090</m:t>
        </m:r>
      </m:oMath>
      <w:r>
        <w:t xml:space="preserve">, không có ý nghĩa) và FSTS</w:t>
      </w:r>
      <m:oMath>
        <m:sSup>
          <m:e>
            <m:r>
              <m:t>​</m:t>
            </m:r>
          </m:e>
          <m:sup>
            <m:r>
              <m:t>2</m:t>
            </m:r>
          </m:sup>
        </m:sSup>
      </m:oMath>
      <w:r>
        <w:t xml:space="preserve">×TCI (</w:t>
      </w:r>
      <m:oMath>
        <m:r>
          <m:t>β</m:t>
        </m:r>
        <m:r>
          <m:rPr>
            <m:sty m:val="p"/>
          </m:rPr>
          <m:t>=</m:t>
        </m:r>
        <m:r>
          <m:rPr>
            <m:sty m:val="p"/>
          </m:rPr>
          <m:t>−</m:t>
        </m:r>
        <m:r>
          <m:t>0</m:t>
        </m:r>
        <m:r>
          <m:rPr>
            <m:sty m:val="p"/>
          </m:rPr>
          <m:t>,</m:t>
        </m:r>
        <m:r>
          <m:t>227</m:t>
        </m:r>
      </m:oMath>
      <w:r>
        <w:t xml:space="preserve">, không có ý nghĩa, vẫn không có ý nghĩa trong M8 với</w:t>
      </w:r>
      <w:r>
        <w:t xml:space="preserve"> </w:t>
      </w:r>
      <m:oMath>
        <m:r>
          <m:t>p</m:t>
        </m:r>
        <m:r>
          <m:rPr>
            <m:sty m:val="p"/>
          </m:rPr>
          <m:t>=</m:t>
        </m:r>
        <m:r>
          <m:rPr>
            <m:sty m:val="p"/>
          </m:rPr>
          <m:t>,</m:t>
        </m:r>
        <m:r>
          <m:t>077</m:t>
        </m:r>
      </m:oMath>
      <w:r>
        <w:t xml:space="preserve">) không đạt ý nghĩa trong mẫu 45 nền kinh tế đa dạng thể chế. Do đó H2 được xác nhận một phần: TCI là yếu tố nâng mặt bằng năng suất nhất quán, nhưng vai trò uốn hình dạng đường cong I-P chỉ xuất hiện ở một bối cảnh quốc gia cụ thể là Việt Nam (Việt Nam), chứ không phổ quát trên toàn mẫu.</w:t>
      </w:r>
    </w:p>
    <w:p>
      <w:pPr>
        <w:pStyle w:val="BodyText"/>
      </w:pPr>
      <w:r>
        <w:t xml:space="preserve">Chấp nhận số DAI cho khuôn mẫu giàu sắc thái hơn. Hiệu ứng trực tiếp dương và có ý nghĩa trên toàn mẫu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w:t>
      </w:r>
      <m:oMath>
        <m:r>
          <m:rPr>
            <m:sty m:val="p"/>
          </m:rPr>
          <m:t>exp</m:t>
        </m:r>
        <m:d>
          <m:dPr>
            <m:begChr m:val="("/>
            <m:endChr m:val=")"/>
            <m:sepChr m:val=""/>
            <m:grow/>
          </m:dPr>
          <m:e>
            <m:r>
              <m:t>0</m:t>
            </m:r>
            <m:r>
              <m:rPr>
                <m:sty m:val="p"/>
              </m:rPr>
              <m:t>,</m:t>
            </m:r>
            <m:r>
              <m:t>172</m:t>
            </m:r>
          </m:e>
        </m:d>
        <m:r>
          <m:rPr>
            <m:sty m:val="p"/>
          </m:rPr>
          <m:t>−</m:t>
        </m:r>
        <m:r>
          <m:t>1</m:t>
        </m:r>
        <m:r>
          <m:rPr>
            <m:sty m:val="p"/>
          </m:rPr>
          <m:t>≈</m:t>
        </m:r>
        <m:r>
          <m:t>0</m:t>
        </m:r>
        <m:r>
          <m:rPr>
            <m:sty m:val="p"/>
          </m:rPr>
          <m:t>,</m:t>
        </m:r>
        <m:r>
          <m:t>19</m:t>
        </m:r>
      </m:oMath>
      <w:r>
        <w:t xml:space="preserve">). Đáng chú ý hơn, cả hai tương tác điều tiết đều có ý nghĩa trong mô hình M8:</w:t>
      </w:r>
    </w:p>
    <w:p>
      <w:pPr>
        <w:pStyle w:val="BodyText"/>
      </w:pPr>
      <m:oMathPara>
        <m:oMathParaPr>
          <m:jc m:val="center"/>
        </m:oMathParaP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r>
            <m:t> </m:t>
          </m:r>
          <m:d>
            <m:dPr>
              <m:begChr m:val="("/>
              <m:endChr m:val=")"/>
              <m:sepChr m:val=""/>
              <m:grow/>
            </m:dPr>
            <m:e>
              <m:r>
                <m:t>p</m:t>
              </m:r>
              <m:r>
                <m:rPr>
                  <m:sty m:val="p"/>
                </m:rPr>
                <m:t>&lt;</m:t>
              </m:r>
              <m:r>
                <m:rPr>
                  <m:sty m:val="p"/>
                </m:rPr>
                <m:t>,</m:t>
              </m:r>
              <m:r>
                <m:t>001</m:t>
              </m:r>
            </m:e>
          </m:d>
          <m:r>
            <m:rPr>
              <m:sty m:val="p"/>
            </m:rPr>
            <m:t>,</m:t>
          </m:r>
          <m:r>
            <m:t> </m:t>
          </m:r>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r>
            <m:t> </m:t>
          </m:r>
          <m:d>
            <m:dPr>
              <m:begChr m:val="("/>
              <m:endChr m:val=")"/>
              <m:sepChr m:val=""/>
              <m:grow/>
            </m:dPr>
            <m:e>
              <m:r>
                <m:t>p</m:t>
              </m:r>
              <m:r>
                <m:rPr>
                  <m:sty m:val="p"/>
                </m:rPr>
                <m:t>=</m:t>
              </m:r>
              <m:r>
                <m:rPr>
                  <m:sty m:val="p"/>
                </m:rPr>
                <m:t>,</m:t>
              </m:r>
              <m:r>
                <m:t>002</m:t>
              </m:r>
            </m:e>
          </m:d>
        </m:oMath>
      </m:oMathPara>
    </w:p>
    <w:p>
      <w:pPr>
        <w:pStyle w:val="FirstParagraph"/>
      </w:pPr>
      <w:r>
        <w:t xml:space="preserve">Khuôn mẫu âm rồi dương này cho thấy doanh nghiệp DAI cao có đường cong I-P phẳng hơn nhưng dịch lên: lợi ích năng suất trên mỗi đơn vị FSTS thấp hơn ở cường độ xuất khẩu thấp do chi phí chìm của việc chấp nhận số, nhưng tổn thất hiệu suất nhẹ hơn đáng kể khi quốc tế hóa cao do hạ tầng số hỗ trợ phối hợp xuyên biên giới ở quy mô lớn. Khuôn mẫu này còn mạnh hơn trong M9 khi thêm biến kiểm soát nhà quản trị: FSTS×DAI</w:t>
      </w:r>
      <w:r>
        <w:t xml:space="preserve"> </w:t>
      </w:r>
      <m:oMath>
        <m:r>
          <m:rPr>
            <m:sty m:val="p"/>
          </m:rPr>
          <m:t>=</m:t>
        </m:r>
        <m:r>
          <m:rPr>
            <m:sty m:val="p"/>
          </m:rPr>
          <m:t>−</m:t>
        </m:r>
        <m:r>
          <m:t>0</m:t>
        </m:r>
        <m:r>
          <m:rPr>
            <m:sty m:val="p"/>
          </m:rPr>
          <m:t>,</m:t>
        </m:r>
        <m:r>
          <m:t>786</m:t>
        </m:r>
      </m:oMath>
      <w:r>
        <w:t xml:space="preserve"> </w:t>
      </w:r>
      <w:r>
        <w:t xml:space="preserve">(</w:t>
      </w:r>
      <m:oMath>
        <m:r>
          <m:t>p</m:t>
        </m:r>
        <m:r>
          <m:rPr>
            <m:sty m:val="p"/>
          </m:rPr>
          <m:t>&lt;</m:t>
        </m:r>
        <m:r>
          <m:rPr>
            <m:sty m:val="p"/>
          </m:rPr>
          <m:t>,</m:t>
        </m:r>
        <m:r>
          <m:t>001</m:t>
        </m:r>
      </m:oMath>
      <w:r>
        <w:t xml:space="preserve">) và FSTS</w:t>
      </w:r>
      <m:oMath>
        <m:sSup>
          <m:e>
            <m:r>
              <m:t>​</m:t>
            </m:r>
          </m:e>
          <m:sup>
            <m:r>
              <m:t>2</m:t>
            </m:r>
          </m:sup>
        </m:sSup>
      </m:oMath>
      <w:r>
        <w:t xml:space="preserve">×DAI</w:t>
      </w:r>
      <w:r>
        <w:t xml:space="preserve"> </w:t>
      </w:r>
      <m:oMath>
        <m:r>
          <m:rPr>
            <m:sty m:val="p"/>
          </m:rPr>
          <m:t>=</m:t>
        </m:r>
        <m:r>
          <m:rPr>
            <m:sty m:val="p"/>
          </m:rPr>
          <m:t>+</m:t>
        </m:r>
        <m:r>
          <m:t>0</m:t>
        </m:r>
        <m:r>
          <m:rPr>
            <m:sty m:val="p"/>
          </m:rPr>
          <m:t>,</m:t>
        </m:r>
        <m:r>
          <m:t>982</m:t>
        </m:r>
      </m:oMath>
      <w:r>
        <w:t xml:space="preserve"> </w:t>
      </w:r>
      <w:r>
        <w:t xml:space="preserve">(</w:t>
      </w:r>
      <m:oMath>
        <m:r>
          <m:t>p</m:t>
        </m:r>
        <m:r>
          <m:rPr>
            <m:sty m:val="p"/>
          </m:rPr>
          <m:t>&lt;</m:t>
        </m:r>
        <m:r>
          <m:rPr>
            <m:sty m:val="p"/>
          </m:rPr>
          <m:t>,</m:t>
        </m:r>
        <m:r>
          <m:t>001</m:t>
        </m:r>
      </m:oMath>
      <w:r>
        <w:t xml:space="preserve">).</w:t>
      </w:r>
    </w:p>
    <w:p>
      <w:pPr>
        <w:pStyle w:val="BodyText"/>
      </w:pPr>
      <w:r>
        <w:t xml:space="preserve">Trong mô hình điều tiết ba chiều đầy đủ M11, tương tác DAI×ICRV có ý nghĩa thống kê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các môi trường thể chế yếu, nhất quán với khung lý thuyết CDCM về cơ chế năng lực số bù đắp cho thiếu hụt thể chế. Số hạng ba chiều FSTS×DAI×ICRV (</w:t>
      </w:r>
      <m:oMath>
        <m:r>
          <m:t>β</m:t>
        </m:r>
        <m:r>
          <m:rPr>
            <m:sty m:val="p"/>
          </m:rPr>
          <m:t>=</m:t>
        </m:r>
        <m:r>
          <m:rPr>
            <m:sty m:val="p"/>
          </m:rPr>
          <m:t>−</m:t>
        </m:r>
        <m:r>
          <m:t>0</m:t>
        </m:r>
        <m:r>
          <m:rPr>
            <m:sty m:val="p"/>
          </m:rPr>
          <m:t>,</m:t>
        </m:r>
        <m:r>
          <m:t>016</m:t>
        </m:r>
      </m:oMath>
      <w:r>
        <w:t xml:space="preserve">, không có ý nghĩa) lại không có ý nghĩa, cho thấy việc tái định hình đường cong qua DAI không biến đổi đơn điệu theo dải ICRV trong đặc tả này, một phần do hạn chế chiều của thước đo DAI trong WBES (chỉ Tier 1–2).</w:t>
      </w:r>
    </w:p>
    <w:bookmarkEnd w:id="119"/>
    <w:bookmarkStart w:id="120" w:name="đặc-điểm-nhà-quản-trị"/>
    <w:p>
      <w:pPr>
        <w:pStyle w:val="Heading3"/>
      </w:pPr>
      <w:r>
        <w:t xml:space="preserve">4.3.4 Đặc điểm nhà quản trị</w:t>
      </w:r>
    </w:p>
    <w:p>
      <w:pPr>
        <w:pStyle w:val="FirstParagraph"/>
      </w:pPr>
      <w:r>
        <w:t xml:space="preserve">Mô hình M9 cho thấy kinh nghiệm nhà quản trị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cấp cao là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đều nâng mặt bằng hiệu quả doanh nghiệp độc lập với FSTS. Hiệu ứng kinh nghiệm hàm ý năng suất cao hơn khoảng 2% trên mỗi năm kinh nghiệm trong ngành; hiệu ứng nhà quản trị nữ hàm ý lợi thế năng suất khoảng 22% (</w:t>
      </w:r>
      <m:oMath>
        <m:r>
          <m:rPr>
            <m:sty m:val="p"/>
          </m:rPr>
          <m:t>exp</m:t>
        </m:r>
        <m:d>
          <m:dPr>
            <m:begChr m:val="("/>
            <m:endChr m:val=")"/>
            <m:sepChr m:val=""/>
            <m:grow/>
          </m:dPr>
          <m:e>
            <m:r>
              <m:t>0</m:t>
            </m:r>
            <m:r>
              <m:rPr>
                <m:sty m:val="p"/>
              </m:rPr>
              <m:t>,</m:t>
            </m:r>
            <m:r>
              <m:t>202</m:t>
            </m:r>
          </m:e>
        </m:d>
        <m:r>
          <m:rPr>
            <m:sty m:val="p"/>
          </m:rPr>
          <m:t>−</m:t>
        </m:r>
        <m:r>
          <m:t>1</m:t>
        </m:r>
        <m:r>
          <m:rPr>
            <m:sty m:val="p"/>
          </m:rPr>
          <m:t>≈</m:t>
        </m:r>
        <m:r>
          <m:t>0</m:t>
        </m:r>
        <m:r>
          <m:rPr>
            <m:sty m:val="p"/>
          </m:rPr>
          <m:t>,</m:t>
        </m:r>
        <m:r>
          <m:t>22</m:t>
        </m:r>
      </m:oMath>
      <w:r>
        <w:t xml:space="preserve">). Các đặc điểm này được đưa vào như nhóm biến kiểm soát quản trị nội sinh chứ không phải nhân tố điều tiết trọng tâm: chúng tác động ở dạng hiệu ứng mức (level effect) nâng mặt bằng năng suất, không định hình độ cong của đường quan hệ I-P. Số hạng tương tác FSTS×kinh nghiệm chỉ là chẩn đoán phụ trợ, không có ý nghĩa trong cả M9 (</w:t>
      </w:r>
      <m:oMath>
        <m:r>
          <m:t>β</m:t>
        </m:r>
        <m:r>
          <m:rPr>
            <m:sty m:val="p"/>
          </m:rPr>
          <m:t>=</m:t>
        </m:r>
        <m:r>
          <m:rPr>
            <m:sty m:val="p"/>
          </m:rPr>
          <m:t>+</m:t>
        </m:r>
        <m:r>
          <m:t>0</m:t>
        </m:r>
        <m:r>
          <m:rPr>
            <m:sty m:val="p"/>
          </m:rPr>
          <m:t>,</m:t>
        </m:r>
        <m:r>
          <m:t>005</m:t>
        </m:r>
      </m:oMath>
      <w:r>
        <w:t xml:space="preserve">,</w:t>
      </w:r>
      <w:r>
        <w:t xml:space="preserve"> </w:t>
      </w:r>
      <m:oMath>
        <m:r>
          <m:t>p</m:t>
        </m:r>
        <m:r>
          <m:rPr>
            <m:sty m:val="p"/>
          </m:rPr>
          <m:t>=</m:t>
        </m:r>
        <m:r>
          <m:rPr>
            <m:sty m:val="p"/>
          </m:rPr>
          <m:t>,</m:t>
        </m:r>
        <m:r>
          <m:t>29</m:t>
        </m:r>
      </m:oMath>
      <w:r>
        <w:t xml:space="preserve">) lẫn M11 (</w:t>
      </w:r>
      <m:oMath>
        <m:r>
          <m:t>β</m:t>
        </m:r>
        <m:r>
          <m:rPr>
            <m:sty m:val="p"/>
          </m:rPr>
          <m:t>=</m:t>
        </m:r>
        <m:r>
          <m:rPr>
            <m:sty m:val="p"/>
          </m:rPr>
          <m:t>+</m:t>
        </m:r>
        <m:r>
          <m:t>0</m:t>
        </m:r>
        <m:r>
          <m:rPr>
            <m:sty m:val="p"/>
          </m:rPr>
          <m:t>,</m:t>
        </m:r>
        <m:r>
          <m:t>007</m:t>
        </m:r>
      </m:oMath>
      <w:r>
        <w:t xml:space="preserve">,</w:t>
      </w:r>
      <w:r>
        <w:t xml:space="preserve"> </w:t>
      </w:r>
      <m:oMath>
        <m:r>
          <m:t>p</m:t>
        </m:r>
        <m:r>
          <m:rPr>
            <m:sty m:val="p"/>
          </m:rPr>
          <m:t>=</m:t>
        </m:r>
        <m:r>
          <m:rPr>
            <m:sty m:val="p"/>
          </m:rPr>
          <m:t>,</m:t>
        </m:r>
        <m:r>
          <m:t>26</m:t>
        </m:r>
      </m:oMath>
      <w:r>
        <w:t xml:space="preserve">); do đó không cấu thành bằng chứng điều tiết trọng tâm. Việc kiểm soát chất lượng quản trị theo lý thuyết Bậc trên khóa chặt thiên lệch nội sinh và bảo vệ tính nhân quả thuần khiết của tương tác Thể chế × Công nghệ; ký hiệu H4 được giữ nguyên để tương thích với các bản thảo đồng hành (phân tích Việt Nam, Singapore và Trung Quốc).</w:t>
      </w:r>
    </w:p>
    <w:p>
      <w:r>
        <w:pict>
          <v:rect style="width:0;height:1.5pt" o:hralign="center" o:hrstd="t" o:hr="t"/>
        </w:pict>
      </w:r>
    </w:p>
    <w:bookmarkEnd w:id="120"/>
    <w:bookmarkEnd w:id="121"/>
    <w:bookmarkStart w:id="125" w:name="kết-quả-nghiên-cứu-đơn-quốc-gia"/>
    <w:p>
      <w:pPr>
        <w:pStyle w:val="Heading2"/>
      </w:pPr>
      <w:r>
        <w:t xml:space="preserve">4.4 Kết quả nghiên cứu đơn quốc gia</w:t>
      </w:r>
    </w:p>
    <w:p>
      <w:pPr>
        <w:pStyle w:val="FirstParagraph"/>
      </w:pPr>
      <w:r>
        <w:t xml:space="preserve">Ba nghiên cứu đơn quốc gia định vị quan hệ I-P tại ba vị trí khác nhau trên thang ICRV: Việt Nam ở chế độ chuyển đổi thu nhập trung bình thấp (Nhóm IV), Singapore ở chế độ tiên tiến dẫn dắt bằng đổi mới (Nhóm I), và Trung Quốc ở chế độ thu nhập trung bình cao (Nhóm III). Ba bối cảnh này cho phép quan sát điểm uốn ở ba địa điểm thể chế khác nhau dọc theo dải biến thiên ICRV.</w:t>
      </w:r>
    </w:p>
    <w:bookmarkStart w:id="122" w:name="Xd1fdf9d502a8eb8209d45ed783d8cb9f5b9de06"/>
    <w:p>
      <w:pPr>
        <w:pStyle w:val="Heading3"/>
      </w:pPr>
      <w:r>
        <w:t xml:space="preserve">4.4.1 Việt Nam, chế độ chuyển đổi thu nhập trung bình thấp (Việt Nam)</w:t>
      </w:r>
    </w:p>
    <w:p>
      <w:pPr>
        <w:pStyle w:val="FirstParagraph"/>
      </w:pPr>
      <w:r>
        <w:t xml:space="preserve">Phân tích hồi quy dữ liệu bảng (panel data) trên ba đợt khảo sát WBES Việt Nam (2009, 2015, 2023) với tổng mẫu gộp</w:t>
      </w:r>
      <w:r>
        <w:t xml:space="preserve"> </w:t>
      </w:r>
      <m:oMath>
        <m:r>
          <m:t>N</m:t>
        </m:r>
        <m:r>
          <m:rPr>
            <m:sty m:val="p"/>
          </m:rPr>
          <m:t>=</m:t>
        </m:r>
        <m:r>
          <m:t>2.958</m:t>
        </m:r>
      </m:oMath>
      <w:r>
        <w:t xml:space="preserve"> </w:t>
      </w:r>
      <w:r>
        <w:t xml:space="preserve">doanh nghiệp xác nhận dạng phi tuyến U ngược. Mô hình chính trên mẫu gộp cho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với kiểm định Lind–Mehlum bác bỏ tính đơn điệu ở mức</w:t>
      </w:r>
      <w:r>
        <w:t xml:space="preserve"> </w:t>
      </w:r>
      <m:oMath>
        <m:r>
          <m:t>p</m:t>
        </m:r>
        <m:r>
          <m:rPr>
            <m:sty m:val="p"/>
          </m:rPr>
          <m:t>&lt;</m:t>
        </m:r>
        <m:r>
          <m:rPr>
            <m:sty m:val="p"/>
          </m:rPr>
          <m:t>,</m:t>
        </m:r>
        <m:r>
          <m:t>001</m:t>
        </m:r>
      </m:oMath>
      <w:r>
        <w:t xml:space="preserve">, là bằng chứng thống kê mạnh nhất trong tất cả các mẫu quốc gia của luận án. Bốn điều kiện hình thức của Haans và cộng sự (2016) đều được thỏa mãn, với điểm uốn gộp ước lượng tại 39,7% cường độ xuất khẩu.</w:t>
      </w:r>
    </w:p>
    <w:p>
      <w:pPr>
        <w:pStyle w:val="BodyText"/>
      </w:pPr>
      <w:r>
        <w:t xml:space="preserve">Hệ số trong đặc tả trung tâm có tâm hóa M4 được báo cáo dưới dạng:</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Điểm uốn được ước lượng riêng cho từng đợt khảo sát và cho mẫu gộp.</w:t>
      </w:r>
    </w:p>
    <w:p>
      <w:pPr>
        <w:pStyle w:val="BodyText"/>
      </w:pPr>
      <w:r>
        <w:rPr>
          <w:bCs/>
          <w:b/>
        </w:rPr>
        <w:t xml:space="preserve">Bảng 4.5.</w:t>
      </w:r>
      <w:r>
        <w:t xml:space="preserve"> </w:t>
      </w:r>
      <w:r>
        <w:rPr>
          <w:iCs/>
          <w:i/>
        </w:rPr>
        <w:t xml:space="preserve">Điểm uốn theo đợt khảo sát, Việt Nam (Việt Nam).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Đợt khảo sát</w:t>
            </w:r>
          </w:p>
        </w:tc>
        <w:tc>
          <w:tcPr/>
          <w:p>
            <w:pPr>
              <w:pStyle w:val="Compact"/>
              <w:jc w:val="left"/>
            </w:pPr>
            <w:r>
              <w:t xml:space="preserve">Điểm uốn (TP)</w:t>
            </w:r>
          </w:p>
        </w:tc>
        <w:tc>
          <w:tcPr/>
          <w:p>
            <w:pPr>
              <w:pStyle w:val="Compact"/>
              <w:jc w:val="left"/>
            </w:pPr>
            <w:r>
              <w:t xml:space="preserve">Lind–Mehlum</w:t>
            </w:r>
          </w:p>
        </w:tc>
      </w:tr>
      <w:tr>
        <w:tc>
          <w:tcPr/>
          <w:p>
            <w:pPr>
              <w:pStyle w:val="Compact"/>
              <w:jc w:val="left"/>
            </w:pPr>
            <w:r>
              <w:t xml:space="preserve">2009 (N = 989)</w:t>
            </w:r>
          </w:p>
        </w:tc>
        <w:tc>
          <w:tcPr/>
          <w:p>
            <w:pPr>
              <w:pStyle w:val="Compact"/>
              <w:jc w:val="left"/>
            </w:pPr>
            <w:r>
              <w:t xml:space="preserve">46,2% FSTS</w:t>
            </w:r>
          </w:p>
        </w:tc>
        <w:tc>
          <w:tcPr/>
          <w:p>
            <w:pPr>
              <w:pStyle w:val="Compact"/>
              <w:jc w:val="left"/>
            </w:pPr>
            <m:oMath>
              <m:r>
                <m:t>p</m:t>
              </m:r>
              <m:r>
                <m:rPr>
                  <m:sty m:val="p"/>
                </m:rPr>
                <m:t>=</m:t>
              </m:r>
              <m:r>
                <m:rPr>
                  <m:sty m:val="p"/>
                </m:rPr>
                <m:t>,</m:t>
              </m:r>
              <m:r>
                <m:t>006</m:t>
              </m:r>
            </m:oMath>
          </w:p>
        </w:tc>
      </w:tr>
      <w:tr>
        <w:tc>
          <w:tcPr/>
          <w:p>
            <w:pPr>
              <w:pStyle w:val="Compact"/>
              <w:jc w:val="left"/>
            </w:pPr>
            <w:r>
              <w:t xml:space="preserve">2015 (N = 956)</w:t>
            </w:r>
          </w:p>
        </w:tc>
        <w:tc>
          <w:tcPr/>
          <w:p>
            <w:pPr>
              <w:pStyle w:val="Compact"/>
              <w:jc w:val="left"/>
            </w:pPr>
            <w:r>
              <w:t xml:space="preserve">39,3% FSTS</w:t>
            </w:r>
          </w:p>
        </w:tc>
        <w:tc>
          <w:tcPr/>
          <w:p>
            <w:pPr>
              <w:pStyle w:val="Compact"/>
              <w:jc w:val="left"/>
            </w:pPr>
            <m:oMath>
              <m:r>
                <m:t>p</m:t>
              </m:r>
              <m:r>
                <m:rPr>
                  <m:sty m:val="p"/>
                </m:rPr>
                <m:t>=</m:t>
              </m:r>
              <m:r>
                <m:rPr>
                  <m:sty m:val="p"/>
                </m:rPr>
                <m:t>,</m:t>
              </m:r>
              <m:r>
                <m:t>009</m:t>
              </m:r>
            </m:oMath>
          </w:p>
        </w:tc>
      </w:tr>
      <w:tr>
        <w:tc>
          <w:tcPr/>
          <w:p>
            <w:pPr>
              <w:pStyle w:val="Compact"/>
              <w:jc w:val="left"/>
            </w:pPr>
            <w:r>
              <w:t xml:space="preserve">2023 (N = 1.013)</w:t>
            </w:r>
          </w:p>
        </w:tc>
        <w:tc>
          <w:tcPr/>
          <w:p>
            <w:pPr>
              <w:pStyle w:val="Compact"/>
              <w:jc w:val="left"/>
            </w:pPr>
            <w:r>
              <w:t xml:space="preserve">41,6% FSTS</w:t>
            </w:r>
          </w:p>
        </w:tc>
        <w:tc>
          <w:tcPr/>
          <w:p>
            <w:pPr>
              <w:pStyle w:val="Compact"/>
              <w:jc w:val="left"/>
            </w:pPr>
            <m:oMath>
              <m:r>
                <m:t>p</m:t>
              </m:r>
              <m:r>
                <m:rPr>
                  <m:sty m:val="p"/>
                </m:rPr>
                <m:t>=</m:t>
              </m:r>
              <m:r>
                <m:rPr>
                  <m:sty m:val="p"/>
                </m:rPr>
                <m:t>,</m:t>
              </m:r>
              <m:r>
                <m:t>013</m:t>
              </m:r>
            </m:oMath>
          </w:p>
        </w:tc>
      </w:tr>
      <w:tr>
        <w:tc>
          <w:tcPr/>
          <w:p>
            <w:pPr>
              <w:pStyle w:val="Compact"/>
              <w:jc w:val="left"/>
            </w:pPr>
            <w:r>
              <w:t xml:space="preserve">Gộp (N = 2.958)</w:t>
            </w:r>
          </w:p>
        </w:tc>
        <w:tc>
          <w:tcPr/>
          <w:p>
            <w:pPr>
              <w:pStyle w:val="Compact"/>
              <w:jc w:val="left"/>
            </w:pPr>
            <w:r>
              <w:t xml:space="preserve">39,7% FSTS</w:t>
            </w:r>
          </w:p>
        </w:tc>
        <w:tc>
          <w:tcPr/>
          <w:p>
            <w:pPr>
              <w:pStyle w:val="Compact"/>
              <w:jc w:val="left"/>
            </w:pPr>
            <m:oMath>
              <m:r>
                <m:t>p</m:t>
              </m:r>
              <m:r>
                <m:rPr>
                  <m:sty m:val="p"/>
                </m:rPr>
                <m:t>&lt;</m:t>
              </m:r>
              <m:r>
                <m:rPr>
                  <m:sty m:val="p"/>
                </m:rPr>
                <m:t>,</m:t>
              </m:r>
              <m:r>
                <m:t>001</m:t>
              </m:r>
            </m:oMath>
          </w:p>
        </w:tc>
      </w:tr>
    </w:tbl>
    <w:p>
      <w:pPr>
        <w:pStyle w:val="BodyText"/>
      </w:pPr>
      <w:r>
        <w:rPr>
          <w:iCs/>
          <w:i/>
        </w:rPr>
        <w:t xml:space="preserve">Nguồn: phân tích Việt Nam (Đỗ &amp; Phan, 2026, bản thảo đang chuẩn bị).</w:t>
      </w:r>
    </w:p>
    <w:p>
      <w:pPr>
        <w:pStyle w:val="BodyText"/>
      </w:pPr>
      <w:r>
        <w:t xml:space="preserve">Điểm uốn trong khoảng 39–46% FSTS đặt Việt Nam thấp hơn đáng kể so với Singapore (khoảng 82%)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 Đây có thể là dấu hiệu của thay đổi cấu trúc doanh nghiệp xuất khẩu Việt Nam sau giai đoạn hội nhập WTO và gia nhập nhiều hiệp định thương mại tự do, kéo theo làn sóng gia công xuất khẩu quy mô lớn nhưng biên lợi nhuận ngày càng cạnh tranh. Mặc dù vậy, điểm uốn gộp ổn định trong dải hẹp khoảng bảy điểm phần trăm qua 14 năm biến động vĩ mô lớn, phù hợp với việc chi phí giao dịch thể chế ràng buộc thông qua các giới hạn doanh nghiệp chiều sâu thay đổi chậm hơn môi trường kinh doanh bên ngoài.</w:t>
      </w:r>
    </w:p>
    <w:p>
      <w:pPr>
        <w:pStyle w:val="BodyText"/>
      </w:pPr>
      <w:r>
        <w:t xml:space="preserve">Vai trò điều tiết của TCI tại Việt Nam là dương và có ý nghĩa thống kê. Trên mẫu gộp, hiệu ứng trực tiếp TCI dương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và tương tác điều tiết khác biệt khỏi không trong ba trên bốn đợt (kiểm định liên hợp M3 có</w:t>
      </w:r>
      <w:r>
        <w:t xml:space="preserve"> </w:t>
      </w:r>
      <m:oMath>
        <m:r>
          <m:t>p</m:t>
        </m:r>
        <m:r>
          <m:rPr>
            <m:sty m:val="p"/>
          </m:rPr>
          <m:t>=</m:t>
        </m:r>
        <m:r>
          <m:rPr>
            <m:sty m:val="p"/>
          </m:rPr>
          <m:t>,</m:t>
        </m:r>
        <m:r>
          <m:t>040</m:t>
        </m:r>
      </m:oMath>
      <w:r>
        <w:t xml:space="preserve"> </w:t>
      </w:r>
      <w:r>
        <w:t xml:space="preserve">cho 2009,</w:t>
      </w:r>
      <w:r>
        <w:t xml:space="preserve"> </w:t>
      </w:r>
      <m:oMath>
        <m:r>
          <m:t>p</m:t>
        </m:r>
        <m:r>
          <m:rPr>
            <m:sty m:val="p"/>
          </m:rPr>
          <m:t>=</m:t>
        </m:r>
        <m:r>
          <m:rPr>
            <m:sty m:val="p"/>
          </m:rPr>
          <m:t>,</m:t>
        </m:r>
        <m:r>
          <m:t>027</m:t>
        </m:r>
      </m:oMath>
      <w:r>
        <w:t xml:space="preserve"> </w:t>
      </w:r>
      <w:r>
        <w:t xml:space="preserve">cho 2023,</w:t>
      </w:r>
      <w:r>
        <w:t xml:space="preserve"> </w:t>
      </w:r>
      <m:oMath>
        <m:r>
          <m:t>p</m:t>
        </m:r>
        <m:r>
          <m:rPr>
            <m:sty m:val="p"/>
          </m:rPr>
          <m:t>=</m:t>
        </m:r>
        <m:r>
          <m:rPr>
            <m:sty m:val="p"/>
          </m:rPr>
          <m:t>,</m:t>
        </m:r>
        <m:r>
          <m:t>003</m:t>
        </m:r>
      </m:oMath>
      <w:r>
        <w:t xml:space="preserve"> </w:t>
      </w:r>
      <w:r>
        <w:t xml:space="preserve">cho mẫu gộp, và chỉ không có ý nghĩa ở 2015 với</w:t>
      </w:r>
      <w:r>
        <w:t xml:space="preserve"> </w:t>
      </w:r>
      <m:oMath>
        <m:r>
          <m:t>p</m:t>
        </m:r>
        <m:r>
          <m:rPr>
            <m:sty m:val="p"/>
          </m:rPr>
          <m:t>=</m:t>
        </m:r>
        <m:r>
          <m:rPr>
            <m:sty m:val="p"/>
          </m:rPr>
          <m:t>,</m:t>
        </m:r>
        <m:r>
          <m:t>713</m:t>
        </m:r>
      </m:oMath>
      <w:r>
        <w:t xml:space="preserve">). Trên mẫu gộp, tương tác bậc nhất FSTS</w:t>
      </w:r>
      <m:oMath>
        <m:sSub>
          <m:e>
            <m:r>
              <m:t>​</m:t>
            </m:r>
          </m:e>
          <m:sub>
            <m:r>
              <m:t>c</m:t>
            </m:r>
          </m:sub>
        </m:sSub>
      </m:oMath>
      <w:r>
        <w:t xml:space="preserve">×TCI âm (</w:t>
      </w:r>
      <m:oMath>
        <m:r>
          <m:rPr>
            <m:sty m:val="p"/>
          </m:rPr>
          <m:t>−</m:t>
        </m:r>
        <m:r>
          <m:t>0</m:t>
        </m:r>
        <m:r>
          <m:rPr>
            <m:sty m:val="p"/>
          </m:rPr>
          <m:t>,</m:t>
        </m:r>
        <m:r>
          <m:t>587</m:t>
        </m:r>
      </m:oMath>
      <w:r>
        <w:t xml:space="preserve">,</w:t>
      </w:r>
      <w:r>
        <w:t xml:space="preserve"> </w:t>
      </w:r>
      <m:oMath>
        <m:r>
          <m:t>p</m:t>
        </m:r>
        <m:r>
          <m:rPr>
            <m:sty m:val="p"/>
          </m:rPr>
          <m:t>=</m:t>
        </m:r>
        <m:r>
          <m:rPr>
            <m:sty m:val="p"/>
          </m:rPr>
          <m:t>,</m:t>
        </m:r>
        <m:r>
          <m:t>003</m:t>
        </m:r>
      </m:oMath>
      <w:r>
        <w:t xml:space="preserve">) và bậc hai dương (</w:t>
      </w:r>
      <m:oMath>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cho thấy đường cong U ngược phẳng hơn ở doanh nghiệp năng lực cao. TCI vừa nâng mặt bằng hiệu quả, vừa khuếch đại tác động tích cực của quốc tế hóa, đúng với H2 trong khung CDCM và nhất quán với cách đọc về năng lực hấp thụ (absorptive capacity).</w:t>
      </w:r>
    </w:p>
    <w:p>
      <w:pPr>
        <w:pStyle w:val="BodyText"/>
      </w:pPr>
      <w:r>
        <w:t xml:space="preserve">Vai trò điều tiết của DAI tại Việt Nam không đạt ý nghĩa thống kê trên mẫu gộp. Hiệu ứng trực tiếp DAI dương trên mẫu gộp (</w:t>
      </w:r>
      <m:oMath>
        <m:r>
          <m:t>β</m:t>
        </m:r>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nhưng biến động mạnh theo đợt: mạnh năm 2009 (</w:t>
      </w:r>
      <m:oMath>
        <m:r>
          <m:t>β</m:t>
        </m:r>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không có ý nghĩa năm 2015 (</w:t>
      </w:r>
      <m:oMath>
        <m:r>
          <m:t>β</m:t>
        </m:r>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rồi tái xuất hiện năm 2023 (</w:t>
      </w:r>
      <m:oMath>
        <m:r>
          <m:t>β</m:t>
        </m:r>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Tương tác điều tiết chỉ nổi lên rõ nét ở đợt 2023, với tương tác bậc nhất FSTS</w:t>
      </w:r>
      <m:oMath>
        <m:sSub>
          <m:e>
            <m:r>
              <m:t>​</m:t>
            </m:r>
          </m:e>
          <m:sub>
            <m:r>
              <m:t>c</m:t>
            </m:r>
          </m:sub>
        </m:sSub>
      </m:oMath>
      <w:r>
        <w:t xml:space="preserve">×DAI âm và có ý nghĩa (</w:t>
      </w:r>
      <m:oMath>
        <m:r>
          <m:rPr>
            <m:sty m:val="p"/>
          </m:rPr>
          <m:t>−</m:t>
        </m:r>
        <m:r>
          <m:t>0</m:t>
        </m:r>
        <m:r>
          <m:rPr>
            <m:sty m:val="p"/>
          </m:rPr>
          <m:t>,</m:t>
        </m:r>
        <m:r>
          <m:t>912</m:t>
        </m:r>
      </m:oMath>
      <w:r>
        <w:t xml:space="preserve">,</w:t>
      </w:r>
      <w:r>
        <w:t xml:space="preserve"> </w:t>
      </w:r>
      <m:oMath>
        <m:r>
          <m:t>p</m:t>
        </m:r>
        <m:r>
          <m:rPr>
            <m:sty m:val="p"/>
          </m:rPr>
          <m:t>=</m:t>
        </m:r>
        <m:r>
          <m:rPr>
            <m:sty m:val="p"/>
          </m:rPr>
          <m:t>,</m:t>
        </m:r>
        <m:r>
          <m:t>043</m:t>
        </m:r>
      </m:oMath>
      <w:r>
        <w:t xml:space="preserve">), trong khi kiểm định liên hợp trên mẫu gộp ở mức cận ngưỡng (M8 liên hợp</w:t>
      </w:r>
      <w:r>
        <w:t xml:space="preserve"> </w:t>
      </w:r>
      <m:oMath>
        <m:r>
          <m:t>p</m:t>
        </m:r>
        <m:r>
          <m:rPr>
            <m:sty m:val="p"/>
          </m:rPr>
          <m:t>=</m:t>
        </m:r>
        <m:r>
          <m:rPr>
            <m:sty m:val="p"/>
          </m:rPr>
          <m:t>,</m:t>
        </m:r>
        <m:r>
          <m:t>083</m:t>
        </m:r>
      </m:oMath>
      <w:r>
        <w:t xml:space="preserve">). Kết quả này phản ánh hạn chế đo lường: DAI Việt Nam chỉ gồm Tier-1 (trang web, thư điện tử, bán hàng trực tuyến) do giới hạn của các đợt khảo sát 2009 và 2015, nên không nắm bắt được chiều sâu năng lực số. Một cách đọc bổ sung là sự lỗi thời của biến đại diện: đến 2023, trang web đã khuếch tán đến mức gần phổ cập (49,8% năm 2023 so với 42,5% năm 2009), trở thành điều kiện ngưỡng tối thiểu chứ không còn phân biệt năng lực phối hợp xuyên biên giới. Việc ước lượng biến công cụ hai bước cho DAI cũng cho kết quả không có ý nghĩa (</w:t>
      </w:r>
      <m:oMath>
        <m:r>
          <m:t>β</m:t>
        </m:r>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củng cố cách đọc về hạn chế đo lường thay vì bác bỏ H3.</w:t>
      </w:r>
    </w:p>
    <w:bookmarkEnd w:id="122"/>
    <w:bookmarkStart w:id="123" w:name="X943afc790378767429c95208a740b7351ee91c6"/>
    <w:p>
      <w:pPr>
        <w:pStyle w:val="Heading3"/>
      </w:pPr>
      <w:r>
        <w:t xml:space="preserve">4.4.2 Singapore, chế độ tiên tiến dẫn dắt bằng đổi mới (Singapore)</w:t>
      </w:r>
    </w:p>
    <w:p>
      <w:pPr>
        <w:pStyle w:val="FirstParagraph"/>
      </w:pPr>
      <w:r>
        <w:t xml:space="preserve">Phân tích trên mẫu doanh nghiệp Singapore từ dữ liệu WBES 2023 với</w:t>
      </w:r>
      <w:r>
        <w:t xml:space="preserve"> </w:t>
      </w:r>
      <m:oMath>
        <m:r>
          <m:t>N</m:t>
        </m:r>
        <m:r>
          <m:rPr>
            <m:sty m:val="p"/>
          </m:rPr>
          <m:t>=</m:t>
        </m:r>
        <m:r>
          <m:t>623</m:t>
        </m:r>
      </m:oMath>
      <w:r>
        <w:t xml:space="preserve"> </w:t>
      </w:r>
      <w:r>
        <w:t xml:space="preserve">doanh nghiệp (giảm còn</w:t>
      </w:r>
      <w:r>
        <w:t xml:space="preserve"> </w:t>
      </w:r>
      <m:oMath>
        <m:r>
          <m:t>N</m:t>
        </m:r>
        <m:r>
          <m:rPr>
            <m:sty m:val="p"/>
          </m:rPr>
          <m:t>=</m:t>
        </m:r>
        <m:r>
          <m:t>617</m:t>
        </m:r>
      </m:oMath>
      <w:r>
        <w:t xml:space="preserve"> </w:t>
      </w:r>
      <w:r>
        <w:t xml:space="preserve">khi đưa biến DAI) khảo sát quan hệ phi tuyến giữa FSTS và hiệu quả hoạt động. Trong đặc tả bậc hai cơ sở (M2), số hạng bậc nhất dương và có ý nghĩa (</w:t>
      </w:r>
      <m:oMath>
        <m:r>
          <m:t>β</m:t>
        </m:r>
        <m:r>
          <m:rPr>
            <m:sty m:val="p"/>
          </m:rPr>
          <m:t>=</m:t>
        </m:r>
        <m:r>
          <m:rPr>
            <m:sty m:val="p"/>
          </m:rPr>
          <m:t>+</m:t>
        </m:r>
        <m:r>
          <m:t>2</m:t>
        </m:r>
        <m:r>
          <m:rPr>
            <m:sty m:val="p"/>
          </m:rPr>
          <m:t>,</m:t>
        </m:r>
        <m:r>
          <m:t>652</m:t>
        </m:r>
      </m:oMath>
      <w:r>
        <w:t xml:space="preserve">,</w:t>
      </w:r>
      <w:r>
        <w:t xml:space="preserve"> </w:t>
      </w:r>
      <m:oMath>
        <m:r>
          <m:t>S</m:t>
        </m:r>
        <m:r>
          <m:t>E</m:t>
        </m:r>
        <m:r>
          <m:rPr>
            <m:sty m:val="p"/>
          </m:rPr>
          <m:t>=</m:t>
        </m:r>
        <m:r>
          <m:t>0</m:t>
        </m:r>
        <m:r>
          <m:rPr>
            <m:sty m:val="p"/>
          </m:rPr>
          <m:t>,</m:t>
        </m:r>
        <m:r>
          <m:t>691</m:t>
        </m:r>
      </m:oMath>
      <w:r>
        <w:t xml:space="preserve">,</w:t>
      </w:r>
      <w:r>
        <w:t xml:space="preserve"> </w:t>
      </w:r>
      <m:oMath>
        <m:r>
          <m:t>p</m:t>
        </m:r>
        <m:r>
          <m:rPr>
            <m:sty m:val="p"/>
          </m:rPr>
          <m:t>&lt;</m:t>
        </m:r>
        <m:r>
          <m:rPr>
            <m:sty m:val="p"/>
          </m:rPr>
          <m:t>,</m:t>
        </m:r>
        <m:r>
          <m:t>001</m:t>
        </m:r>
      </m:oMath>
      <w:r>
        <w:t xml:space="preserve">), còn số hạng bậc hai âm nhưng chỉ cận ngưỡng (</w:t>
      </w:r>
      <m:oMath>
        <m:r>
          <m:t>β</m:t>
        </m:r>
        <m:r>
          <m:rPr>
            <m:sty m:val="p"/>
          </m:rPr>
          <m:t>=</m:t>
        </m:r>
        <m:r>
          <m:rPr>
            <m:sty m:val="p"/>
          </m:rPr>
          <m:t>−</m:t>
        </m:r>
        <m:r>
          <m:t>1</m:t>
        </m:r>
        <m:r>
          <m:rPr>
            <m:sty m:val="p"/>
          </m:rPr>
          <m:t>,</m:t>
        </m:r>
        <m:r>
          <m:t>705</m:t>
        </m:r>
      </m:oMath>
      <w:r>
        <w:t xml:space="preserve">,</w:t>
      </w:r>
      <w:r>
        <w:t xml:space="preserve"> </w:t>
      </w:r>
      <m:oMath>
        <m:r>
          <m:t>S</m:t>
        </m:r>
        <m:r>
          <m:t>E</m:t>
        </m:r>
        <m:r>
          <m:rPr>
            <m:sty m:val="p"/>
          </m:rPr>
          <m:t>=</m:t>
        </m:r>
        <m:r>
          <m:t>0</m:t>
        </m:r>
        <m:r>
          <m:rPr>
            <m:sty m:val="p"/>
          </m:rPr>
          <m:t>,</m:t>
        </m:r>
        <m:r>
          <m:t>931</m:t>
        </m:r>
      </m:oMath>
      <w:r>
        <w:t xml:space="preserve">,</w:t>
      </w:r>
      <w:r>
        <w:t xml:space="preserve"> </w:t>
      </w:r>
      <m:oMath>
        <m:r>
          <m:t>p</m:t>
        </m:r>
        <m:r>
          <m:rPr>
            <m:sty m:val="p"/>
          </m:rPr>
          <m:t>=</m:t>
        </m:r>
        <m:r>
          <m:rPr>
            <m:sty m:val="p"/>
          </m:rPr>
          <m:t>,</m:t>
        </m:r>
        <m:r>
          <m:t>068</m:t>
        </m:r>
      </m:oMath>
      <w:r>
        <w:t xml:space="preserve">). Đường cong khớp ngụ ý một điểm uốn ở đuôi trên của phân phối cường độ xuất khẩu: giá trị</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trên thang điều chỉnh trung bình xấp xỉ 77,8%, cộng thêm giá trị trung bình mẫu (khoảng 4,5%) cho điểm uốn xấp xỉ 82% FSTS trên thang gốc, cao nhất trong tất cả các bối cảnh ICRV được phân tích trong luận án.</w:t>
      </w:r>
    </w:p>
    <w:p>
      <w:pPr>
        <w:pStyle w:val="BodyText"/>
      </w:pPr>
      <w:r>
        <w:t xml:space="preserve">Cần nhấn mạnh tính bất định của điểm uốn này. Khoảng tin cậy bootstrap (5.000 lần lặp) của điểm uốn rất rộng, trải [53%, 253%] với trung vị 80%, và kiểm định Lind–Mehlum không xác nhận đường cong U ngược ở mức ý nghĩa thông thường (</w:t>
      </w:r>
      <m:oMath>
        <m:r>
          <m:t>p</m:t>
        </m:r>
        <m:r>
          <m:rPr>
            <m:sty m:val="p"/>
          </m:rPr>
          <m:t>=</m:t>
        </m:r>
        <m:r>
          <m:rPr>
            <m:sty m:val="p"/>
          </m:rPr>
          <m:t>,</m:t>
        </m:r>
        <m:r>
          <m:t>303</m:t>
        </m:r>
      </m:oMath>
      <w:r>
        <w:t xml:space="preserve">). Bản thân kết quả không có ý nghĩa này lại mang thông tin: phân phối DAI của Singapore tập trung ở đầu cao, với khoảng 67% doanh nghiệp có trang web và việc chấp nhận thanh toán điện tử Tier-2 phổ biến rộng, khiến vùng dữ liệu hỗ trợ thực tế bị giới hạn ở khoảng phân vị 70 của FSTS. Cách diễn giải vững nhất là quan hệ toàn mẫu chủ yếu dương đơn điệu với độ cong nhẹ trong dải cường độ xuất khẩu quan sát, chứ chưa phải một đường cong U ngược được nhận dạng chắc chắn. Kết quả Singapore do đó được đọc như bằng chứng tương thích nhưng chưa đủ công suất, nhất là vì mẫu chỉ gồm doanh nghiệp xuất khẩu trong các kiểm định phụ chỉ có</w:t>
      </w:r>
      <w:r>
        <w:t xml:space="preserve"> </w:t>
      </w:r>
      <m:oMath>
        <m:r>
          <m:t>N</m:t>
        </m:r>
        <m:r>
          <m:rPr>
            <m:sty m:val="p"/>
          </m:rPr>
          <m:t>=</m:t>
        </m:r>
        <m:r>
          <m:t>84</m:t>
        </m:r>
      </m:oMath>
      <w:r>
        <w:t xml:space="preserve">.</w:t>
      </w:r>
    </w:p>
    <w:p>
      <w:pPr>
        <w:pStyle w:val="BodyText"/>
      </w:pPr>
      <w:r>
        <w:t xml:space="preserve">Vai trò của TCI tại Singapore chủ yếu thể hiện ở hiệu ứng nâng mặt bằng. Hiệu ứng trực tiếp dương và ổn định (</w:t>
      </w:r>
      <m:oMath>
        <m:r>
          <m:t>β</m:t>
        </m:r>
        <m:r>
          <m:rPr>
            <m:sty m:val="p"/>
          </m:rPr>
          <m:t>=</m:t>
        </m:r>
        <m:r>
          <m:rPr>
            <m:sty m:val="p"/>
          </m:rPr>
          <m:t>+</m:t>
        </m:r>
        <m:r>
          <m:t>0</m:t>
        </m:r>
        <m:r>
          <m:rPr>
            <m:sty m:val="p"/>
          </m:rPr>
          <m:t>,</m:t>
        </m:r>
        <m:r>
          <m:t>168</m:t>
        </m:r>
      </m:oMath>
      <w:r>
        <w:t xml:space="preserve">,</w:t>
      </w:r>
      <w:r>
        <w:t xml:space="preserve"> </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w:t>
      </w:r>
      <w:r>
        <w:t xml:space="preserve">trong M5;</w:t>
      </w:r>
      <w:r>
        <w:t xml:space="preserve"> </w:t>
      </w:r>
      <m:oMath>
        <m:r>
          <m:t>β</m:t>
        </m:r>
        <m:r>
          <m:rPr>
            <m:sty m:val="p"/>
          </m:rPr>
          <m:t>=</m:t>
        </m:r>
        <m:r>
          <m:rPr>
            <m:sty m:val="p"/>
          </m:rPr>
          <m:t>+</m:t>
        </m:r>
        <m:r>
          <m:t>0</m:t>
        </m:r>
        <m:r>
          <m:rPr>
            <m:sty m:val="p"/>
          </m:rPr>
          <m:t>,</m:t>
        </m:r>
        <m:r>
          <m:t>153</m:t>
        </m:r>
      </m:oMath>
      <w:r>
        <w:t xml:space="preserve">,</w:t>
      </w:r>
      <w:r>
        <w:t xml:space="preserve"> </w:t>
      </w:r>
      <m:oMath>
        <m:r>
          <m:t>p</m:t>
        </m:r>
        <m:r>
          <m:rPr>
            <m:sty m:val="p"/>
          </m:rPr>
          <m:t>&lt;</m:t>
        </m:r>
        <m:r>
          <m:rPr>
            <m:sty m:val="p"/>
          </m:rPr>
          <m:t>,</m:t>
        </m:r>
        <m:r>
          <m:t>001</m:t>
        </m:r>
      </m:oMath>
      <w:r>
        <w:t xml:space="preserve"> </w:t>
      </w:r>
      <w:r>
        <w:t xml:space="preserve">trong mô hình đầy đủ M8), nhưng các tương tác với FSTS không đạt ý nghĩa liên hợp. Bằng chứng do đó nghiêng về cách đọc ưu thế hệ số chặn cho TCI hơn là một kênh điều tiết đường cong được nhận dạng rõ.</w:t>
      </w:r>
    </w:p>
    <w:p>
      <w:pPr>
        <w:pStyle w:val="BodyText"/>
      </w:pPr>
      <w:r>
        <w:t xml:space="preserve">Vai trò của DAI tại Singapore là phát hiện trọng tâm và mang dạng tương tác bậc hai. Trong mô hình đầy đủ M8, hiệu ứng trực tiếp DAI nhỏ và không có ý nghĩa (</w:t>
      </w:r>
      <m:oMath>
        <m:r>
          <m:t>β</m:t>
        </m:r>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 âm nhưng cận ngưỡng (</w:t>
      </w:r>
      <m:oMath>
        <m:r>
          <m:t>β</m:t>
        </m:r>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còn tương tác bậc hai dương và có ý nghĩa thống kê (</w:t>
      </w:r>
      <m:oMath>
        <m:r>
          <m:t>β</m:t>
        </m:r>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Mô hình M8 cũng cho sức giải thích cao nhất trong các đặc tả chính (</w:t>
      </w:r>
      <m:oMath>
        <m:sSup>
          <m:e>
            <m:r>
              <m:t>R</m:t>
            </m:r>
          </m:e>
          <m:sup>
            <m:r>
              <m:t>2</m:t>
            </m:r>
          </m:sup>
        </m:sSup>
        <m:r>
          <m:rPr>
            <m:sty m:val="p"/>
          </m:rPr>
          <m:t>=</m:t>
        </m:r>
        <m:r>
          <m:t>0</m:t>
        </m:r>
        <m:r>
          <m:rPr>
            <m:sty m:val="p"/>
          </m:rPr>
          <m:t>,</m:t>
        </m:r>
        <m:r>
          <m:t>211</m:t>
        </m:r>
      </m:oMath>
      <w:r>
        <w:t xml:space="preserve">,</w:t>
      </w:r>
      <w:r>
        <w:t xml:space="preserve"> </w:t>
      </w:r>
      <m:oMath>
        <m:sSup>
          <m:e>
            <m:r>
              <m:rPr>
                <m:nor/>
                <m:sty m:val="p"/>
              </m:rPr>
              <m:t>adjR</m:t>
            </m:r>
          </m:e>
          <m:sup>
            <m:r>
              <m:t>2</m:t>
            </m:r>
          </m:sup>
        </m:sSup>
        <m:r>
          <m:rPr>
            <m:sty m:val="p"/>
          </m:rPr>
          <m:t>=</m:t>
        </m:r>
        <m:r>
          <m:t>0</m:t>
        </m:r>
        <m:r>
          <m:rPr>
            <m:sty m:val="p"/>
          </m:rPr>
          <m:t>,</m:t>
        </m:r>
        <m:r>
          <m:t>196</m:t>
        </m:r>
      </m:oMath>
      <w:r>
        <w:t xml:space="preserve">). Hiệu ứng biên của DAI gần như bằng không ở dải cường độ xuất khẩu thấp và trung bình, nhưng trở nên dương và có ý nghĩa ở đuôi xuất khẩu cao:</w:t>
      </w:r>
      <w:r>
        <w:t xml:space="preserve"> </w:t>
      </w:r>
      <m:oMath>
        <m:r>
          <m:rPr>
            <m:sty m:val="p"/>
          </m:rPr>
          <m:t>+</m:t>
        </m:r>
        <m:r>
          <m:t>0</m:t>
        </m:r>
        <m:r>
          <m:rPr>
            <m:sty m:val="p"/>
          </m:rPr>
          <m:t>,</m:t>
        </m:r>
        <m:r>
          <m:t>660</m:t>
        </m:r>
      </m:oMath>
      <w:r>
        <w:t xml:space="preserve"> </w:t>
      </w:r>
      <w:r>
        <w:t xml:space="preserve">tại FSTS = 70% (</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 FSTS = 100% (</w:t>
      </w:r>
      <m:oMath>
        <m:r>
          <m:t>p</m:t>
        </m:r>
        <m:r>
          <m:rPr>
            <m:sty m:val="p"/>
          </m:rPr>
          <m:t>=</m:t>
        </m:r>
        <m:r>
          <m:rPr>
            <m:sty m:val="p"/>
          </m:rPr>
          <m:t>,</m:t>
        </m:r>
        <m:r>
          <m:t>002</m:t>
        </m:r>
      </m:oMath>
      <w:r>
        <w:t xml:space="preserve">). Khuôn mẫu này cho thấy DAI đóng vai trò một nguồn lực tình huống, một bổ trợ tạo quy mô (scale-enabling complement) mà giá trị năng suất chỉ hiện rõ khi doanh nghiệp đối mặt nhu cầu phối hợp và giao dịch xuyên biên giới dày đặc hơn ở cường độ xuất khẩu cao. Dấu dương của tương tác bậc hai được giữ nguyên qua toàn bộ các kiểm định độ vững, kể cả mẫu chỉ gồm doanh nghiệp xuất khẩu (</w:t>
      </w:r>
      <m:oMath>
        <m:r>
          <m:t>β</m:t>
        </m:r>
        <m:r>
          <m:rPr>
            <m:sty m:val="p"/>
          </m:rPr>
          <m:t>=</m:t>
        </m:r>
        <m:r>
          <m:rPr>
            <m:sty m:val="p"/>
          </m:rPr>
          <m:t>+</m:t>
        </m:r>
        <m:r>
          <m:t>2</m:t>
        </m:r>
        <m:r>
          <m:rPr>
            <m:sty m:val="p"/>
          </m:rPr>
          <m:t>,</m:t>
        </m:r>
        <m:r>
          <m:t>821</m:t>
        </m:r>
      </m:oMath>
      <w:r>
        <w:t xml:space="preserve">,</w:t>
      </w:r>
      <w:r>
        <w:t xml:space="preserve">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123"/>
    <w:bookmarkStart w:id="124" w:name="Xd59d6dbd5461be81fa596227abdb97f457a92c7"/>
    <w:p>
      <w:pPr>
        <w:pStyle w:val="Heading3"/>
      </w:pPr>
      <w:r>
        <w:t xml:space="preserve">4.4.3 Trung Quốc, chế độ thu nhập trung bình cao (Trung Quốc)</w:t>
      </w:r>
    </w:p>
    <w:p>
      <w:pPr>
        <w:pStyle w:val="FirstParagraph"/>
      </w:pPr>
      <w:r>
        <w:t xml:space="preserve">Phân tích hai giai đoạn trên dữ liệu WBES Trung Quốc (Nhóm III, thu nhập trung bình cao) giai đoạn 2012–2024 xác nhận dạng phi tuyến U ngược giữa FSTS và hiệu quả hoạt động doanh nghiệp. Mẫu gồm</w:t>
      </w:r>
      <w:r>
        <w:t xml:space="preserve"> </w:t>
      </w:r>
      <m:oMath>
        <m:r>
          <m:t>N</m:t>
        </m:r>
        <m:r>
          <m:rPr>
            <m:sty m:val="p"/>
          </m:rPr>
          <m:t>=</m:t>
        </m:r>
        <m:r>
          <m:t>2.610</m:t>
        </m:r>
      </m:oMath>
      <w:r>
        <w:t xml:space="preserve"> </w:t>
      </w:r>
      <w:r>
        <w:t xml:space="preserve">doanh nghiệp năm 2012 và</w:t>
      </w:r>
      <w:r>
        <w:t xml:space="preserve"> </w:t>
      </w:r>
      <m:oMath>
        <m:r>
          <m:t>N</m:t>
        </m:r>
        <m:r>
          <m:rPr>
            <m:sty m:val="p"/>
          </m:rPr>
          <m:t>=</m:t>
        </m:r>
        <m:r>
          <m:t>1.934</m:t>
        </m:r>
      </m:oMath>
      <w:r>
        <w:t xml:space="preserve"> </w:t>
      </w:r>
      <w:r>
        <w:t xml:space="preserve">doanh nghiệp năm 2024, tổng mẫu gộp</w:t>
      </w:r>
      <w:r>
        <w:t xml:space="preserve"> </w:t>
      </w:r>
      <m:oMath>
        <m:r>
          <m:t>N</m:t>
        </m:r>
        <m:r>
          <m:rPr>
            <m:sty m:val="p"/>
          </m:rPr>
          <m:t>=</m:t>
        </m:r>
        <m:r>
          <m:t>4.544</m:t>
        </m:r>
      </m:oMath>
      <w:r>
        <w:t xml:space="preserve">. Trong cả hai đợt, FSTS mang hệ số dương và FSTS</w:t>
      </w:r>
      <m:oMath>
        <m:sSup>
          <m:e>
            <m:r>
              <m:t>​</m:t>
            </m:r>
          </m:e>
          <m:sup>
            <m:r>
              <m:t>2</m:t>
            </m:r>
          </m:sup>
        </m:sSup>
      </m:oMath>
      <w:r>
        <w:t xml:space="preserve"> </w:t>
      </w:r>
      <w:r>
        <w:t xml:space="preserve">mang hệ số âm: năm 2012 (</w:t>
      </w:r>
      <m:oMath>
        <m:sSub>
          <m:e>
            <m:r>
              <m:t>β</m:t>
            </m:r>
          </m:e>
          <m:sub>
            <m:r>
              <m:t>1</m:t>
            </m:r>
          </m:sub>
        </m:sSub>
        <m:r>
          <m:rPr>
            <m:sty m:val="p"/>
          </m:rPr>
          <m:t>=</m:t>
        </m:r>
        <m:r>
          <m:rPr>
            <m:sty m:val="p"/>
          </m:rPr>
          <m:t>+</m:t>
        </m:r>
        <m:r>
          <m:t>1</m:t>
        </m:r>
        <m:r>
          <m:rPr>
            <m:sty m:val="p"/>
          </m:rPr>
          <m:t>,</m:t>
        </m:r>
        <m:r>
          <m:t>28</m:t>
        </m:r>
      </m:oMath>
      <w:r>
        <w:t xml:space="preserve">,</w:t>
      </w:r>
      <w:r>
        <w:t xml:space="preserve"> </w:t>
      </w:r>
      <m:oMath>
        <m:r>
          <m:t>p</m:t>
        </m:r>
        <m:r>
          <m:rPr>
            <m:sty m:val="p"/>
          </m:rPr>
          <m:t>=</m:t>
        </m:r>
        <m:r>
          <m:rPr>
            <m:sty m:val="p"/>
          </m:rPr>
          <m:t>,</m:t>
        </m:r>
        <m:r>
          <m:t>001</m:t>
        </m:r>
      </m:oMath>
      <w:r>
        <w:t xml:space="preserve">;</w:t>
      </w:r>
      <w:r>
        <w:t xml:space="preserve"> </w:t>
      </w:r>
      <m:oMath>
        <m:sSub>
          <m:e>
            <m:r>
              <m:t>β</m:t>
            </m:r>
          </m:e>
          <m:sub>
            <m:r>
              <m:t>2</m:t>
            </m:r>
          </m:sub>
        </m:sSub>
        <m:r>
          <m:rPr>
            <m:sty m:val="p"/>
          </m:rPr>
          <m:t>=</m:t>
        </m:r>
        <m:r>
          <m:rPr>
            <m:sty m:val="p"/>
          </m:rPr>
          <m:t>−</m:t>
        </m:r>
        <m:r>
          <m:t>1</m:t>
        </m:r>
        <m:r>
          <m:rPr>
            <m:sty m:val="p"/>
          </m:rPr>
          <m:t>,</m:t>
        </m:r>
        <m:r>
          <m:t>53</m:t>
        </m:r>
      </m:oMath>
      <w:r>
        <w:t xml:space="preserve">,</w:t>
      </w:r>
      <w:r>
        <w:t xml:space="preserve"> </w:t>
      </w:r>
      <m:oMath>
        <m:r>
          <m:t>p</m:t>
        </m:r>
        <m:r>
          <m:rPr>
            <m:sty m:val="p"/>
          </m:rPr>
          <m:t>&lt;</m:t>
        </m:r>
        <m:r>
          <m:rPr>
            <m:sty m:val="p"/>
          </m:rPr>
          <m:t>,</m:t>
        </m:r>
        <m:r>
          <m:t>001</m:t>
        </m:r>
      </m:oMath>
      <w:r>
        <w:t xml:space="preserve">) và năm 2024 (</w:t>
      </w:r>
      <m:oMath>
        <m:sSub>
          <m:e>
            <m:r>
              <m:t>β</m:t>
            </m:r>
          </m:e>
          <m:sub>
            <m:r>
              <m:t>1</m:t>
            </m:r>
          </m:sub>
        </m:sSub>
        <m:r>
          <m:rPr>
            <m:sty m:val="p"/>
          </m:rPr>
          <m:t>=</m:t>
        </m:r>
        <m:r>
          <m:rPr>
            <m:sty m:val="p"/>
          </m:rPr>
          <m:t>+</m:t>
        </m:r>
        <m:r>
          <m:t>1</m:t>
        </m:r>
        <m:r>
          <m:rPr>
            <m:sty m:val="p"/>
          </m:rPr>
          <m:t>,</m:t>
        </m:r>
        <m:r>
          <m:t>19</m:t>
        </m:r>
      </m:oMath>
      <w:r>
        <w:t xml:space="preserve">,</w:t>
      </w:r>
      <w:r>
        <w:t xml:space="preserve"> </w:t>
      </w:r>
      <m:oMath>
        <m:r>
          <m:t>p</m:t>
        </m:r>
        <m:r>
          <m:rPr>
            <m:sty m:val="p"/>
          </m:rPr>
          <m:t>=</m:t>
        </m:r>
        <m:r>
          <m:rPr>
            <m:sty m:val="p"/>
          </m:rPr>
          <m:t>,</m:t>
        </m:r>
        <m:r>
          <m:t>010</m:t>
        </m:r>
      </m:oMath>
      <w:r>
        <w:t xml:space="preserve">;</w:t>
      </w:r>
      <w:r>
        <w:t xml:space="preserve"> </w:t>
      </w:r>
      <m:oMath>
        <m:sSub>
          <m:e>
            <m:r>
              <m:t>β</m:t>
            </m:r>
          </m:e>
          <m:sub>
            <m:r>
              <m:t>2</m:t>
            </m:r>
          </m:sub>
        </m:sSub>
        <m:r>
          <m:rPr>
            <m:sty m:val="p"/>
          </m:rPr>
          <m:t>=</m:t>
        </m:r>
        <m:r>
          <m:rPr>
            <m:sty m:val="p"/>
          </m:rPr>
          <m:t>−</m:t>
        </m:r>
        <m:r>
          <m:t>1</m:t>
        </m:r>
        <m:r>
          <m:rPr>
            <m:sty m:val="p"/>
          </m:rPr>
          <m:t>,</m:t>
        </m:r>
        <m:r>
          <m:t>58</m:t>
        </m:r>
      </m:oMath>
      <w:r>
        <w:t xml:space="preserve">,</w:t>
      </w:r>
      <w:r>
        <w:t xml:space="preserve"> </w:t>
      </w:r>
      <m:oMath>
        <m:r>
          <m:t>p</m:t>
        </m:r>
        <m:r>
          <m:rPr>
            <m:sty m:val="p"/>
          </m:rPr>
          <m:t>=</m:t>
        </m:r>
        <m:r>
          <m:rPr>
            <m:sty m:val="p"/>
          </m:rPr>
          <m:t>,</m:t>
        </m:r>
        <m:r>
          <m:t>002</m:t>
        </m:r>
      </m:oMath>
      <w:r>
        <w:t xml:space="preserve">). Mô hình gộp cho</w:t>
      </w:r>
      <w:r>
        <w:t xml:space="preserve"> </w:t>
      </w:r>
      <m:oMath>
        <m:sSub>
          <m:e>
            <m:r>
              <m:t>β</m:t>
            </m:r>
          </m:e>
          <m:sub>
            <m:r>
              <m:t>1</m:t>
            </m:r>
          </m:sub>
        </m:sSub>
        <m:r>
          <m:rPr>
            <m:sty m:val="p"/>
          </m:rPr>
          <m:t>=</m:t>
        </m:r>
        <m:r>
          <m:rPr>
            <m:sty m:val="p"/>
          </m:rPr>
          <m:t>+</m:t>
        </m:r>
        <m:r>
          <m:t>1</m:t>
        </m:r>
        <m:r>
          <m:rPr>
            <m:sty m:val="p"/>
          </m:rPr>
          <m:t>,</m:t>
        </m:r>
        <m:r>
          <m:t>24</m:t>
        </m:r>
      </m:oMath>
      <w:r>
        <w:t xml:space="preserve"> </w:t>
      </w:r>
      <w:r>
        <w:t xml:space="preserve">(</w:t>
      </w:r>
      <m:oMath>
        <m:r>
          <m:t>p</m:t>
        </m:r>
        <m:r>
          <m:rPr>
            <m:sty m:val="p"/>
          </m:rPr>
          <m:t>&lt;</m:t>
        </m:r>
        <m:r>
          <m:rPr>
            <m:sty m:val="p"/>
          </m:rPr>
          <m:t>,</m:t>
        </m:r>
        <m:r>
          <m:t>001</m:t>
        </m:r>
      </m:oMath>
      <w:r>
        <w:t xml:space="preserve">) và</w:t>
      </w:r>
      <w:r>
        <w:t xml:space="preserve"> </w:t>
      </w:r>
      <m:oMath>
        <m:sSub>
          <m:e>
            <m:r>
              <m:t>β</m:t>
            </m:r>
          </m:e>
          <m:sub>
            <m:r>
              <m:t>2</m:t>
            </m:r>
          </m:sub>
        </m:sSub>
        <m:r>
          <m:rPr>
            <m:sty m:val="p"/>
          </m:rPr>
          <m:t>=</m:t>
        </m:r>
        <m:r>
          <m:rPr>
            <m:sty m:val="p"/>
          </m:rPr>
          <m:t>−</m:t>
        </m:r>
        <m:r>
          <m:t>1</m:t>
        </m:r>
        <m:r>
          <m:rPr>
            <m:sty m:val="p"/>
          </m:rPr>
          <m:t>,</m:t>
        </m:r>
        <m:r>
          <m:t>55</m:t>
        </m:r>
      </m:oMath>
      <w:r>
        <w:t xml:space="preserve"> </w:t>
      </w:r>
      <w:r>
        <w:t xml:space="preserve">(</w:t>
      </w:r>
      <m:oMath>
        <m:r>
          <m:t>p</m:t>
        </m:r>
        <m:r>
          <m:rPr>
            <m:sty m:val="p"/>
          </m:rPr>
          <m:t>&lt;</m:t>
        </m:r>
        <m:r>
          <m:rPr>
            <m:sty m:val="p"/>
          </m:rPr>
          <m:t>,</m:t>
        </m:r>
        <m:r>
          <m:t>001</m:t>
        </m:r>
      </m:oMath>
      <w:r>
        <w:t xml:space="preserve">). Cả bốn điều kiện hình thức của Haans và cộng sự (2016) đều được thỏa mãn trong cả hai đợt.</w:t>
      </w:r>
    </w:p>
    <w:p>
      <w:pPr>
        <w:pStyle w:val="BodyText"/>
      </w:pPr>
      <w:r>
        <w:t xml:space="preserve">Điểm uốn được ước lượng tại 49,37% FSTS năm 2012 (95% CI: 43,1–55,7%), 47,19% FSTS năm 2024 (95% CI: 40,8–53,6%) và 48,78% FSTS trên mẫu gộp (95% CI: 44,2–53,4%). Các con số này cho thấy doanh nghiệp Trung Quốc đạt hiệu quả tối ưu khi cường độ quốc tế hóa ở mức gần 49%, một mức độ tập trung quốc tế vừa phải, trong khi thị trường nội địa khổng lồ vẫn mở ra cơ hội tăng trưởng song song.</w:t>
      </w:r>
    </w:p>
    <w:p>
      <w:pPr>
        <w:pStyle w:val="BodyText"/>
      </w:pPr>
      <w:r>
        <w:t xml:space="preserve">Luận án kiểm định tính ổn định theo thời gian của điểm uốn qua thập kỷ 2012–2024, giai đoạn Trung Quốc chứng kiến nhiều thay đổi chính sách thương mại, căng thẳng địa chính trị và chuyển đổi số mạnh mẽ. Kiểm định Paternoster về sự khác biệt hệ số giữa hai đợt cho kết quả không có ý nghĩa thống kê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hệ số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Khoảng tin cậy của điểm uốn hai đợt giao nhau đáng kể, xác nhận điểm uốn ổn định qua thời gian: dịch chuyển từ 49,37% xuống 47,19% là không đáng kể về mặt thống kê. Kiểm định tương tác thời gian trong mô hình điều tiết ba chiều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cũng không có ý nghĩa, nghĩa là hình dạng tổng thể của quan hệ phi tuyến không biến đổi đáng kể. Phát hiện này cho thấy ở một bối cảnh thu nhập trung bình cao như Trung Quốc, cơ chế căn bản của quan hệ I-P giữ được tính ổn định đáng kể, có thể phản ánh sự bù trừ giữa chi phí thích ứng tăng lên do chính sách thương mại khó đoán và năng lực tổ chức ngày càng trưởng thành của doanh nghiệp xuất khẩu Trung Quốc.</w:t>
      </w:r>
    </w:p>
    <w:p>
      <w:pPr>
        <w:pStyle w:val="BodyText"/>
      </w:pPr>
      <w:r>
        <w:t xml:space="preserve">Về vai trò điều tiết, tương tác FSTS×TCI không đạt ý nghĩa thống kê (kiểm định liên hợp</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cận ngưỡng và không vượt qua hiệu chỉnh Bonferroni ở</w:t>
      </w:r>
      <w:r>
        <w:t xml:space="preserve"> </w:t>
      </w:r>
      <m:oMath>
        <m:sSup>
          <m:e>
            <m:r>
              <m:t>α</m:t>
            </m:r>
          </m:e>
          <m:sup>
            <m:r>
              <m:rPr>
                <m:sty m:val="p"/>
              </m:rPr>
              <m:t>*</m:t>
            </m:r>
          </m:sup>
        </m:sSup>
        <m:r>
          <m:rPr>
            <m:sty m:val="p"/>
          </m:rPr>
          <m:t>=</m:t>
        </m:r>
        <m:r>
          <m:t>0</m:t>
        </m:r>
        <m:r>
          <m:rPr>
            <m:sty m:val="p"/>
          </m:rPr>
          <m:t>,</m:t>
        </m:r>
        <m:r>
          <m:t>017</m:t>
        </m:r>
      </m:oMath>
      <w:r>
        <w:t xml:space="preserve">), cùng với tương tác conditioned theo thời gian cũng không có ý nghĩa (</w:t>
      </w:r>
      <m:oMath>
        <m:r>
          <m:t>F</m:t>
        </m:r>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Tuy vậy, hiệu ứng trực tiếp của TCI dương và có ý nghĩa trong cả hai đợt (</w:t>
      </w:r>
      <m:oMath>
        <m:sSub>
          <m:e>
            <m:r>
              <m:t>β</m:t>
            </m:r>
          </m:e>
          <m:sub>
            <m:r>
              <m:t>z</m:t>
            </m:r>
          </m:sub>
        </m:sSub>
        <m:r>
          <m:rPr>
            <m:sty m:val="p"/>
          </m:rPr>
          <m:t>=</m:t>
        </m:r>
        <m:r>
          <m:rPr>
            <m:sty m:val="p"/>
          </m:rPr>
          <m:t>+</m:t>
        </m:r>
        <m:r>
          <m:t>0</m:t>
        </m:r>
        <m:r>
          <m:rPr>
            <m:sty m:val="p"/>
          </m:rPr>
          <m:t>,</m:t>
        </m:r>
        <m:r>
          <m:t>28</m:t>
        </m:r>
      </m:oMath>
      <w:r>
        <w:t xml:space="preserve"> </w:t>
      </w:r>
      <w:r>
        <w:t xml:space="preserve">năm 2012,</w:t>
      </w:r>
      <w:r>
        <w:t xml:space="preserve"> </w:t>
      </w:r>
      <m:oMath>
        <m:r>
          <m:t>p</m:t>
        </m:r>
        <m:r>
          <m:rPr>
            <m:sty m:val="p"/>
          </m:rPr>
          <m:t>&lt;</m:t>
        </m:r>
        <m:r>
          <m:rPr>
            <m:sty m:val="p"/>
          </m:rPr>
          <m:t>,</m:t>
        </m:r>
        <m:r>
          <m:t>001</m:t>
        </m:r>
      </m:oMath>
      <w:r>
        <w:t xml:space="preserve">;</w:t>
      </w:r>
      <w:r>
        <w:t xml:space="preserve"> </w:t>
      </w:r>
      <m:oMath>
        <m:r>
          <m:rPr>
            <m:sty m:val="p"/>
          </m:rPr>
          <m:t>+</m:t>
        </m:r>
        <m:r>
          <m:t>0</m:t>
        </m:r>
        <m:r>
          <m:rPr>
            <m:sty m:val="p"/>
          </m:rPr>
          <m:t>,</m:t>
        </m:r>
        <m:r>
          <m:t>43</m:t>
        </m:r>
      </m:oMath>
      <w:r>
        <w:t xml:space="preserve"> </w:t>
      </w:r>
      <w:r>
        <w:t xml:space="preserve">năm 2024,</w:t>
      </w:r>
      <w:r>
        <w:t xml:space="preserve"> </w:t>
      </w:r>
      <m:oMath>
        <m:r>
          <m:t>p</m:t>
        </m:r>
        <m:r>
          <m:rPr>
            <m:sty m:val="p"/>
          </m:rPr>
          <m:t>&lt;</m:t>
        </m:r>
        <m:r>
          <m:rPr>
            <m:sty m:val="p"/>
          </m:rPr>
          <m:t>,</m:t>
        </m:r>
        <m:r>
          <m:t>001</m:t>
        </m:r>
      </m:oMath>
      <w:r>
        <w:t xml:space="preserve">), xác nhận TCI là một yếu tố nâng mặt bằng năng suất chứ không phải yếu tố điều tiết đường cong tại Trung Quốc. DAI trực tiếp cũng dương và có ý nghĩa trong cả hai đợt (</w:t>
      </w:r>
      <m:oMath>
        <m:sSub>
          <m:e>
            <m:r>
              <m:t>β</m:t>
            </m:r>
          </m:e>
          <m:sub>
            <m:r>
              <m:t>z</m:t>
            </m:r>
          </m:sub>
        </m:sSub>
        <m:r>
          <m:rPr>
            <m:sty m:val="p"/>
          </m:rPr>
          <m:t>≈</m:t>
        </m:r>
        <m:r>
          <m:rPr>
            <m:sty m:val="p"/>
          </m:rPr>
          <m:t>+</m:t>
        </m:r>
        <m:r>
          <m:t>0</m:t>
        </m:r>
        <m:r>
          <m:rPr>
            <m:sty m:val="p"/>
          </m:rPr>
          <m:t>,</m:t>
        </m:r>
        <m:r>
          <m:t>10</m:t>
        </m:r>
      </m:oMath>
      <w:r>
        <w:t xml:space="preserve"> </w:t>
      </w:r>
      <w:r>
        <w:t xml:space="preserve">năm 2012,</w:t>
      </w:r>
      <w:r>
        <w:t xml:space="preserve"> </w:t>
      </w:r>
      <m:oMath>
        <m:r>
          <m:t>p</m:t>
        </m:r>
        <m:r>
          <m:rPr>
            <m:sty m:val="p"/>
          </m:rPr>
          <m:t>=</m:t>
        </m:r>
        <m:r>
          <m:rPr>
            <m:sty m:val="p"/>
          </m:rPr>
          <m:t>,</m:t>
        </m:r>
        <m:r>
          <m:t>002</m:t>
        </m:r>
      </m:oMath>
      <w:r>
        <w:t xml:space="preserve">;</w:t>
      </w:r>
      <w:r>
        <w:t xml:space="preserve"> </w:t>
      </w:r>
      <m:oMath>
        <m:r>
          <m:rPr>
            <m:sty m:val="p"/>
          </m:rPr>
          <m:t>+</m:t>
        </m:r>
        <m:r>
          <m:t>0</m:t>
        </m:r>
        <m:r>
          <m:rPr>
            <m:sty m:val="p"/>
          </m:rPr>
          <m:t>,</m:t>
        </m:r>
        <m:r>
          <m:t>12</m:t>
        </m:r>
      </m:oMath>
      <w:r>
        <w:t xml:space="preserve"> </w:t>
      </w:r>
      <w:r>
        <w:t xml:space="preserve">năm 2024,</w:t>
      </w:r>
      <w:r>
        <w:t xml:space="preserve"> </w:t>
      </w:r>
      <m:oMath>
        <m:r>
          <m:t>p</m:t>
        </m:r>
        <m:r>
          <m:rPr>
            <m:sty m:val="p"/>
          </m:rPr>
          <m:t>&lt;</m:t>
        </m:r>
        <m:r>
          <m:rPr>
            <m:sty m:val="p"/>
          </m:rPr>
          <m:t>,</m:t>
        </m:r>
        <m:r>
          <m:t>001</m:t>
        </m:r>
      </m:oMath>
      <w:r>
        <w:t xml:space="preserve">) nhưng không cho thấy điều tiết đường cong có ý nghĩa. Việc các hiệu ứng điều tiết tại Trung Quốc không có ý nghĩa có thể phản ánh thực tế rằng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124"/>
    <w:bookmarkEnd w:id="125"/>
    <w:bookmarkStart w:id="129" w:name="X7dc1f4b6942ab8cbfe81c82f5ce732ad4c75229"/>
    <w:p>
      <w:pPr>
        <w:pStyle w:val="Heading2"/>
      </w:pPr>
      <w:r>
        <w:t xml:space="preserve">4.5 Trường hợp biên: quốc đảo nhỏ đang phát triển Thái Bình Dương (SIDS)</w:t>
      </w:r>
    </w:p>
    <w:bookmarkStart w:id="126" w:name="đặc-điểm-mẫu-sids"/>
    <w:p>
      <w:pPr>
        <w:pStyle w:val="Heading3"/>
      </w:pPr>
      <w:r>
        <w:t xml:space="preserve">4.5.1 Đặc điểm mẫu SIDS</w:t>
      </w:r>
    </w:p>
    <w:p>
      <w:pPr>
        <w:pStyle w:val="FirstParagraph"/>
      </w:pPr>
      <w:r>
        <w:t xml:space="preserve">Phân tích phân tích SIDS Thái Bình Dương tập trung vào chín nền kinh tế Quốc đảo nhỏ đang phát triển (Small Islands Developing States, SIDS) Thái Bình Dương (Nhóm VI) với tổng</w:t>
      </w:r>
      <w:r>
        <w:t xml:space="preserve"> </w:t>
      </w:r>
      <m:oMath>
        <m:r>
          <m:t>N</m:t>
        </m:r>
        <m:r>
          <m:rPr>
            <m:sty m:val="p"/>
          </m:rPr>
          <m:t>=</m:t>
        </m:r>
        <m:r>
          <m:t>1.469</m:t>
        </m:r>
      </m:oMath>
      <w:r>
        <w:t xml:space="preserve"> </w:t>
      </w:r>
      <w:r>
        <w:t xml:space="preserve">doanh nghiệp, trong đó chỉ có</w:t>
      </w:r>
      <w:r>
        <w:t xml:space="preserve"> </w:t>
      </w:r>
      <m:oMath>
        <m:sSub>
          <m:e>
            <m:r>
              <m:t>N</m:t>
            </m:r>
          </m:e>
          <m:sub>
            <m:r>
              <m:rPr>
                <m:nor/>
                <m:sty m:val="p"/>
              </m:rPr>
              <m:t>xuất khẩu</m:t>
            </m:r>
          </m:sub>
        </m:sSub>
        <m:r>
          <m:rPr>
            <m:sty m:val="p"/>
          </m:rPr>
          <m:t>=</m:t>
        </m:r>
        <m:r>
          <m:t>187</m:t>
        </m:r>
      </m:oMath>
      <w:r>
        <w:t xml:space="preserve"> </w:t>
      </w:r>
      <w:r>
        <w:t xml:space="preserve">doanh nghiệp xuất khẩu, chiếm 12,7% mẫu. Tỷ lệ doanh thu xuất khẩu trung bình rất thấp, với FSTS trung bình bằng 0,060, tức 6,0%. Hiệu ứng cố định quốc gia hấp thụ phần lớn phương sai:</w:t>
      </w:r>
      <w:r>
        <w:t xml:space="preserve"> </w:t>
      </w:r>
      <m:oMath>
        <m:sSup>
          <m:e>
            <m:r>
              <m:t>R</m:t>
            </m:r>
          </m:e>
          <m:sup>
            <m:r>
              <m:t>2</m:t>
            </m:r>
          </m:sup>
        </m:sSup>
      </m:oMath>
      <w:r>
        <w:t xml:space="preserve"> </w:t>
      </w:r>
      <w:r>
        <w:t xml:space="preserve">tăng từ 0,511 (chỉ hiệu ứng cố định năm) lên 0,799 (hiệu ứng cố định quốc gia và năm), xác nhận 95% phương sai năng suất được giải thích nằm giữa các quốc gia, phù hợp với mức độ dị biệt cực lớn giữa các đảo về chất lượng thể chế, độ xa xôi địa lý và cấu trúc kinh tế. Cấu trúc mẫu này phản ánh thực tế kinh tế của SIDS: thị trường nội địa nhỏ khiến xuất khẩu không phải là lựa chọn chiến lược chủ động mà thường là phản ứng trước áp lực khi cầu nội địa bị giới hạn.</w:t>
      </w:r>
    </w:p>
    <w:bookmarkEnd w:id="126"/>
    <w:bookmarkStart w:id="127" w:name="Xa4cc7b4119a730c0567e9dfd632a5ad630da69d"/>
    <w:p>
      <w:pPr>
        <w:pStyle w:val="Heading3"/>
      </w:pPr>
      <w:r>
        <w:t xml:space="preserve">4.5.2 Hiệu ứng âm đơn điệu và gánh nặng quốc tế hóa bắt buộc</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t</m:t>
          </m:r>
          <m:r>
            <m:rPr>
              <m:sty m:val="p"/>
            </m:rPr>
            <m:t>=</m:t>
          </m:r>
          <m:r>
            <m:rPr>
              <m:sty m:val="p"/>
            </m:rPr>
            <m:t>−</m:t>
          </m:r>
          <m:r>
            <m:t>2</m:t>
          </m:r>
          <m:r>
            <m:rPr>
              <m:sty m:val="p"/>
            </m:rPr>
            <m:t>,</m:t>
          </m:r>
          <m:r>
            <m:t>152</m:t>
          </m:r>
          <m:r>
            <m:rPr>
              <m:sty m:val="p"/>
            </m:rPr>
            <m:t>,</m:t>
          </m:r>
          <m:r>
            <m:t> </m:t>
          </m:r>
          <m:r>
            <m:t>p</m:t>
          </m:r>
          <m:r>
            <m:rPr>
              <m:sty m:val="p"/>
            </m:rPr>
            <m:t>=</m:t>
          </m:r>
          <m:r>
            <m:rPr>
              <m:sty m:val="p"/>
            </m:rPr>
            <m:t>,</m:t>
          </m:r>
          <m:r>
            <m:t>032</m:t>
          </m:r>
        </m:oMath>
      </m:oMathPara>
    </w:p>
    <w:p>
      <w:pPr>
        <w:pStyle w:val="FirstParagraph"/>
      </w:pPr>
      <w:r>
        <w:t xml:space="preserve">Hệ số hồi quy âm và có ý nghĩa thống kê ở mức 5%, nghĩa là tại các nền kinh tế đảo nhỏ, quốc tế hóa càng cao thì hiệu quả hoạt động doanh nghiệp càng thấp hơn, tức một quan hệ âm đơn điệu. Một bước tăng từ không xuất khẩu sang định hướng xuất khẩu hoàn toàn gắn với năng suất lao động thấp hơn khoảng 40,4%.</w:t>
      </w:r>
    </w:p>
    <w:p>
      <w:pPr>
        <w:pStyle w:val="BodyText"/>
      </w:pPr>
      <w:r>
        <w:t xml:space="preserve">Tính vững của kết quả được kiểm tra qua bốn đặc tả. Khi chỉ giữ hiệu ứng cố định năm (bỏ hiệu ứng cố định quốc gia), hệ số âm còn mạnh hơn:</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236</m:t>
        </m:r>
      </m:oMath>
      <w:r>
        <w:t xml:space="preserve"> </w:t>
      </w:r>
      <w:r>
        <w:t xml:space="preserve">(</w:t>
      </w:r>
      <m:oMath>
        <m:r>
          <m:t>S</m:t>
        </m:r>
        <m:r>
          <m:t>E</m:t>
        </m:r>
        <m:r>
          <m:rPr>
            <m:sty m:val="p"/>
          </m:rPr>
          <m:t>=</m:t>
        </m:r>
        <m:r>
          <m:t>0</m:t>
        </m:r>
        <m:r>
          <m:rPr>
            <m:sty m:val="p"/>
          </m:rPr>
          <m:t>,</m:t>
        </m:r>
        <m:r>
          <m:t>269</m:t>
        </m:r>
      </m:oMath>
      <w:r>
        <w:t xml:space="preserve">,</w:t>
      </w:r>
      <w:r>
        <w:t xml:space="preserve"> </w:t>
      </w:r>
      <m:oMath>
        <m:r>
          <m:t>p</m:t>
        </m:r>
        <m:r>
          <m:rPr>
            <m:sty m:val="p"/>
          </m:rPr>
          <m:t>&lt;</m:t>
        </m:r>
        <m:r>
          <m:rPr>
            <m:sty m:val="p"/>
          </m:rPr>
          <m:t>,</m:t>
        </m:r>
        <m:r>
          <m:t>001</m:t>
        </m:r>
      </m:oMath>
      <w:r>
        <w:t xml:space="preserve">). Hồi quy hai biến không có biến kiểm soát cho</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596</m:t>
        </m:r>
      </m:oMath>
      <w:r>
        <w:t xml:space="preserve"> </w:t>
      </w:r>
      <w:r>
        <w:t xml:space="preserve">(</w:t>
      </w:r>
      <m:oMath>
        <m:r>
          <m:t>S</m:t>
        </m:r>
        <m:r>
          <m:t>E</m:t>
        </m:r>
        <m:r>
          <m:rPr>
            <m:sty m:val="p"/>
          </m:rPr>
          <m:t>=</m:t>
        </m:r>
        <m:r>
          <m:t>0</m:t>
        </m:r>
        <m:r>
          <m:rPr>
            <m:sty m:val="p"/>
          </m:rPr>
          <m:t>,</m:t>
        </m:r>
        <m:r>
          <m:t>263</m:t>
        </m:r>
      </m:oMath>
      <w:r>
        <w:t xml:space="preserve">,</w:t>
      </w:r>
      <w:r>
        <w:t xml:space="preserve"> </w:t>
      </w:r>
      <m:oMath>
        <m:r>
          <m:t>p</m:t>
        </m:r>
        <m:r>
          <m:rPr>
            <m:sty m:val="p"/>
          </m:rPr>
          <m:t>&lt;</m:t>
        </m:r>
        <m:r>
          <m:rPr>
            <m:sty m:val="p"/>
          </m:rPr>
          <m:t>,</m:t>
        </m:r>
        <m:r>
          <m:t>001</m:t>
        </m:r>
      </m:oMath>
      <w:r>
        <w:t xml:space="preserve">). Quan trọng nhất, trong mẫu chỉ gồm 187 doanh nghiệp xuất khẩu, hệ số âm vẫn được giữ:</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r>
            <m:t>027</m:t>
          </m:r>
        </m:oMath>
      </m:oMathPara>
    </w:p>
    <w:p>
      <w:pPr>
        <w:pStyle w:val="FirstParagraph"/>
      </w:pPr>
      <w:r>
        <w:t xml:space="preserve">Kết quả này có ý nghĩa then chốt: ngay trong nhóm doanh nghiệp đã xuất khẩu thành công, cường độ xuất khẩu cao hơn vẫn gắn với năng suất thấp hơn, loại trừ một lời giải thích đơn giản dựa trên chọn mẫu. Mô hình M2 bổ sung FSTS</w:t>
      </w:r>
      <m:oMath>
        <m:sSup>
          <m:e>
            <m:r>
              <m:t>​</m:t>
            </m:r>
          </m:e>
          <m:sup>
            <m:r>
              <m:t>2</m:t>
            </m:r>
          </m:sup>
        </m:sSup>
      </m:oMath>
      <w:r>
        <w:t xml:space="preserve"> </w:t>
      </w:r>
      <w:r>
        <w:t xml:space="preserve">không cho kết quả có ý nghĩa cho cả hai số hạng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r>
          <m:t>925</m:t>
        </m:r>
      </m:oMath>
      <w:r>
        <w:t xml:space="preserve">,</w:t>
      </w:r>
      <w:r>
        <w:t xml:space="preserve"> </w:t>
      </w:r>
      <m:oMath>
        <m:r>
          <m:t>p</m:t>
        </m:r>
        <m:r>
          <m:rPr>
            <m:sty m:val="p"/>
          </m:rPr>
          <m:t>=</m:t>
        </m:r>
        <m:r>
          <m:rPr>
            <m:sty m:val="p"/>
          </m:rPr>
          <m:t>,</m:t>
        </m:r>
        <m:r>
          <m:t>265</m:t>
        </m:r>
      </m:oMath>
      <w:r>
        <w:t xml:space="preserve">;</w:t>
      </w:r>
      <w:r>
        <w:t xml:space="preserve"> </w:t>
      </w:r>
      <m:oMath>
        <m:r>
          <m:t>β</m:t>
        </m:r>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649</m:t>
        </m:r>
      </m:oMath>
      <w:r>
        <w:t xml:space="preserve">,</w:t>
      </w:r>
      <w:r>
        <w:t xml:space="preserve"> </w:t>
      </w:r>
      <m:oMath>
        <m:r>
          <m:t>p</m:t>
        </m:r>
        <m:r>
          <m:rPr>
            <m:sty m:val="p"/>
          </m:rPr>
          <m:t>=</m:t>
        </m:r>
        <m:r>
          <m:rPr>
            <m:sty m:val="p"/>
          </m:rPr>
          <m:t>,</m:t>
        </m:r>
        <m:r>
          <m:t>508</m:t>
        </m:r>
      </m:oMath>
      <w:r>
        <w:t xml:space="preserve">), với kiểm định Lind–Mehlum</w:t>
      </w:r>
      <w:r>
        <w:t xml:space="preserve"> </w:t>
      </w:r>
      <m:oMath>
        <m:r>
          <m:t>p</m:t>
        </m:r>
        <m:r>
          <m:rPr>
            <m:sty m:val="p"/>
          </m:rPr>
          <m:t>=</m:t>
        </m:r>
        <m:r>
          <m:rPr>
            <m:sty m:val="p"/>
          </m:rPr>
          <m:t>,</m:t>
        </m:r>
        <m:r>
          <m:t>941</m:t>
        </m:r>
      </m:oMath>
      <w:r>
        <w:t xml:space="preserve"> </w:t>
      </w:r>
      <w:r>
        <w:t xml:space="preserve">không bác bỏ được tính âm đơn điệu. Cả bốn điều kiện cho đường cong U ngược đều thất bại, xác nhận quan hệ là suy giảm đơn điệu, không có điểm uốn trong phạm vi dữ liệu.</w:t>
      </w:r>
    </w:p>
    <w:p>
      <w:pPr>
        <w:pStyle w:val="BodyText"/>
      </w:pPr>
      <w:r>
        <w:t xml:space="preserve">Hai năng lực doanh nghiệp cũng không điều tiết được quan hệ này. Trong mô hình M3, cả TCI (</w:t>
      </w:r>
      <m:oMath>
        <m:r>
          <m:t>β</m:t>
        </m:r>
        <m:r>
          <m:rPr>
            <m:sty m:val="p"/>
          </m:rPr>
          <m:t>=</m:t>
        </m:r>
        <m:r>
          <m:rPr>
            <m:sty m:val="p"/>
          </m:rPr>
          <m:t>+</m:t>
        </m:r>
        <m:r>
          <m:t>0</m:t>
        </m:r>
        <m:r>
          <m:rPr>
            <m:sty m:val="p"/>
          </m:rPr>
          <m:t>,</m:t>
        </m:r>
        <m:r>
          <m:t>058</m:t>
        </m:r>
      </m:oMath>
      <w:r>
        <w:t xml:space="preserve">,</w:t>
      </w:r>
      <w:r>
        <w:t xml:space="preserve"> </w:t>
      </w:r>
      <m:oMath>
        <m:r>
          <m:t>S</m:t>
        </m:r>
        <m:r>
          <m:t>E</m:t>
        </m:r>
        <m:r>
          <m:rPr>
            <m:sty m:val="p"/>
          </m:rPr>
          <m:t>=</m:t>
        </m:r>
        <m:r>
          <m:t>0</m:t>
        </m:r>
        <m:r>
          <m:rPr>
            <m:sty m:val="p"/>
          </m:rPr>
          <m:t>,</m:t>
        </m:r>
        <m:r>
          <m:t>085</m:t>
        </m:r>
      </m:oMath>
      <w:r>
        <w:t xml:space="preserve">,</w:t>
      </w:r>
      <w:r>
        <w:t xml:space="preserve"> </w:t>
      </w:r>
      <m:oMath>
        <m:r>
          <m:t>p</m:t>
        </m:r>
        <m:r>
          <m:rPr>
            <m:sty m:val="p"/>
          </m:rPr>
          <m:t>=</m:t>
        </m:r>
        <m:r>
          <m:rPr>
            <m:sty m:val="p"/>
          </m:rPr>
          <m:t>,</m:t>
        </m:r>
        <m:r>
          <m:t>495</m:t>
        </m:r>
      </m:oMath>
      <w:r>
        <w:t xml:space="preserve">) lẫn DAI (</w:t>
      </w:r>
      <m:oMath>
        <m:r>
          <m:t>β</m:t>
        </m:r>
        <m:r>
          <m:rPr>
            <m:sty m:val="p"/>
          </m:rPr>
          <m:t>=</m:t>
        </m:r>
        <m:r>
          <m:rPr>
            <m:sty m:val="p"/>
          </m:rPr>
          <m:t>+</m:t>
        </m:r>
        <m:r>
          <m:t>0</m:t>
        </m:r>
        <m:r>
          <m:rPr>
            <m:sty m:val="p"/>
          </m:rPr>
          <m:t>,</m:t>
        </m:r>
        <m:r>
          <m:t>062</m:t>
        </m:r>
      </m:oMath>
      <w:r>
        <w:t xml:space="preserve">,</w:t>
      </w:r>
      <w:r>
        <w:t xml:space="preserve"> </w:t>
      </w:r>
      <m:oMath>
        <m:r>
          <m:t>S</m:t>
        </m:r>
        <m:r>
          <m:t>E</m:t>
        </m:r>
        <m:r>
          <m:rPr>
            <m:sty m:val="p"/>
          </m:rPr>
          <m:t>=</m:t>
        </m:r>
        <m:r>
          <m:t>0</m:t>
        </m:r>
        <m:r>
          <m:rPr>
            <m:sty m:val="p"/>
          </m:rPr>
          <m:t>,</m:t>
        </m:r>
        <m:r>
          <m:t>073</m:t>
        </m:r>
      </m:oMath>
      <w:r>
        <w:t xml:space="preserve">,</w:t>
      </w:r>
      <w:r>
        <w:t xml:space="preserve"> </w:t>
      </w:r>
      <m:oMath>
        <m:r>
          <m:t>p</m:t>
        </m:r>
        <m:r>
          <m:rPr>
            <m:sty m:val="p"/>
          </m:rPr>
          <m:t>=</m:t>
        </m:r>
        <m:r>
          <m:rPr>
            <m:sty m:val="p"/>
          </m:rPr>
          <m:t>,</m:t>
        </m:r>
        <m:r>
          <m:t>402</m:t>
        </m:r>
      </m:oMath>
      <w:r>
        <w:t xml:space="preserve">) đều không có ý nghĩa thống kê. Các điểm ước lượng dương nhưng nhỏ này gợi ý năng lực có thể nâng mặt bằng năng suất nói chung nhưng không thể đảo ngược tính âm cấu trúc của quan hệ FSTS–hiệu quả mà hiện tượng này mô tả.</w:t>
      </w:r>
    </w:p>
    <w:bookmarkEnd w:id="127"/>
    <w:bookmarkStart w:id="128" w:name="cơ-chế-gánh-nặng-quốc-tế-hóa-bắt-buộc"/>
    <w:p>
      <w:pPr>
        <w:pStyle w:val="Heading3"/>
      </w:pPr>
      <w:r>
        <w:t xml:space="preserve">4.5.3 Cơ chế gánh nặng quốc tế hóa bắt buộc</w:t>
      </w:r>
    </w:p>
    <w:p>
      <w:pPr>
        <w:pStyle w:val="FirstParagraph"/>
      </w:pPr>
      <w:r>
        <w:t xml:space="preserve">Luận án đặt tên cho hiện tượng này là gánh nặng quốc tế hóa bắt buộc (forced internationalization penalty), một cấu trúc lý thuyết mới chưa từng được định danh trong tài liệu nghiên cứu kinh doanh quốc tế. Cơ chế giải thích gồm ba yếu tố cấu trúc đặc thù của các nền kinh tế đảo nhỏ. Thị trường nội địa quá nhỏ buộc doanh nghiệp xuất khẩu không phải vì có lợi thế cạnh tranh mà vì cầu nội địa không đủ để duy trì hoạt động, tức quốc tế hóa bắt buộc chứ không phải quốc tế hóa chiến lược. Chi phí hậu cần và tiếp cận thị trường cực cao do vị trí địa lý xa xôi và phân tán, làm chi phí giao dịch xuyên biên giới không tương xứng với giá trị hàng hóa có thể xuất khẩu, có thể khuếch đại chi phí kinh doanh của doanh thu xuất khẩu thêm 30–210%. Sự thiếu hụt hỗ trợ thể chế cùng năng lực xuất khẩu, thể hiện qua khoảng trống thể chế toàn diện với việc thiếu trung gian tài chính thương mại, thực thi hợp đồng kém và hạ tầng tiêu chuẩn hạn chế, khiến doanh nghiệp không thể chiếm dụng các lợi ích học hỏi và quy mô mà lý thuyết quốc tế hóa hứa hẹn.</w:t>
      </w:r>
    </w:p>
    <w:p>
      <w:pPr>
        <w:pStyle w:val="BodyText"/>
      </w:pPr>
      <w:r>
        <w:t xml:space="preserve">Kết quả gánh nặng quốc tế hóa bắt buộc là đóng góp lý thuyết gốc của luận án, lần đầu tiên được ghi nhận và đặt tên trong tài liệu nghiên cứu về quan hệ giữa quốc tế hóa và hiệu quả hoạt động doanh nghiệp cho khu vực Thái Bình Dương. Về mặt lý thuyết, hiện tượng này tái định khung đường cong U ngược từ một quy luật thực nghiệm phổ quát thành một quan hệ có điều kiện: nó tồn tại khi và bởi vì các tiền đề cấu trúc được thỏa mãn. Khi điều kiện thể chế vượt một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vi phạm tiền đề</w:t>
      </w:r>
      <w:r>
        <w:t xml:space="preserve">”</w:t>
      </w:r>
      <w:r>
        <w:t xml:space="preserve">, dấu của quan hệ I-P đảo chiều chứ không chỉ thay đổi độ lớn.</w:t>
      </w:r>
    </w:p>
    <w:p>
      <w:r>
        <w:pict>
          <v:rect style="width:0;height:1.5pt" o:hralign="center" o:hrstd="t" o:hr="t"/>
        </w:pict>
      </w:r>
    </w:p>
    <w:bookmarkEnd w:id="128"/>
    <w:bookmarkEnd w:id="129"/>
    <w:bookmarkStart w:id="134" w:name="thảo-luận-tổng-hợp"/>
    <w:p>
      <w:pPr>
        <w:pStyle w:val="Heading2"/>
      </w:pPr>
      <w:r>
        <w:t xml:space="preserve">4.6 Thảo luận tổng hợp</w:t>
      </w:r>
    </w:p>
    <w:bookmarkStart w:id="130" w:name="điểm-tối-ưu-được-dịch-chuyển"/>
    <w:p>
      <w:pPr>
        <w:pStyle w:val="Heading3"/>
      </w:pPr>
      <w:r>
        <w:t xml:space="preserve">4.6.1 Điểm tối ưu được dịch chuyển</w:t>
      </w:r>
    </w:p>
    <w:p>
      <w:pPr>
        <w:pStyle w:val="FirstParagraph"/>
      </w:pPr>
      <w:r>
        <w:t xml:space="preserve">Tổng hợp bằng chứng từ phân tích tổng hợp (phân tích tổng hợp) và toàn mẫu sơ cấp (phân tích đa quốc gia 45 nền kinh tế), cùng ba nghiên cứu đơn quốc gia, dẫn đến luận điểm trung tâm: hình dạng của quan hệ I-P mang tính phổ quát, nhưng độ cong và vị trí điểm tối ưu của nó phụ thuộc vào bối cảnh thể chế. Đường cong U ngược tồn tại nhất quán qua các bối cảnh có thể chế đủ mạnh, nhưng độ cong của nó không phải là một tham số cấu trúc cố định. Chế độ thể chế chi phối</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chế độ cận biên và dễ tổn thương, và phẳng dần về gần tuyến tính ở chế độ tiên tiến.</w:t>
      </w:r>
    </w:p>
    <w:p>
      <w:pPr>
        <w:pStyle w:val="BodyText"/>
      </w:pPr>
      <w:r>
        <w:t xml:space="preserve">Bằng chứng định lượng về tính phụ thuộc bối cảnh này khá rõ ràng. Trên ba nghiên cứu đơn quốc gia, điểm uốn đi từ khoảng 82% FSTS tại Singapore (Nhóm I, tiên tiến đổi mới) xuống khoảng 48,78% tại Trung Quốc (Nhóm III, thu nhập trung bình cao) rồi xuống 39,7% tại Việt Nam (Nhóm IV, chuyển đổi thu nhập trung bình thấp). Trong toàn mẫu đa quốc gia, điểm uốn theo nhóm là không đồng nhất (dao động trong dải khoảng 16–50% FSTS), cụm quanh ~40% và</w:t>
      </w:r>
      <w:r>
        <w:t xml:space="preserve"> </w:t>
      </w:r>
      <w:r>
        <w:rPr>
          <w:bCs/>
          <w:b/>
        </w:rPr>
        <w:t xml:space="preserve">không</w:t>
      </w:r>
      <w:r>
        <w:t xml:space="preserve"> </w:t>
      </w:r>
      <w:r>
        <w:t xml:space="preserve">dịch chuyển đơn điệu theo chất lượng thể chế; điều dịch chuyển có hệ thống là</w:t>
      </w:r>
      <w:r>
        <w:t xml:space="preserve"> </w:t>
      </w:r>
      <w:r>
        <w:rPr>
          <w:bCs/>
          <w:b/>
        </w:rPr>
        <w:t xml:space="preserve">độ cong (concavity / biên độ)</w:t>
      </w:r>
      <w:r>
        <w:t xml:space="preserve"> </w:t>
      </w:r>
      <w:r>
        <w:t xml:space="preserve">của hình chữ U ngược, sâu dần khi thể chế suy giảm và phẳng dần về gần tuyến tính ở chế độ tiên tiến. Như vậy, tính không đồng nhất của độ cong và vị trí điểm tối ưu hòa giải mâu thuẫn bề ngoài giữa các nghiên cứu báo cáo quan hệ tuyến tính dương, U ngược, và không có ý nghĩa: đó là những quan sát về cùng một họ đường cong được lấy mẫu ở các địa điểm thể chế khác nhau. Phát hiện này vượt qua các công trình nền tảng của Lu và Beamish (2004), vốn tìm thấy một điểm uốn cố định khoảng 60% trên doanh nghiệp Nhật Bản, bằng cách chứng minh rằng không tồn tại một điểm uốn phổ quát cho mọi bối cảnh, và mở rộng phát hiện điều tiết thể chế của Marano và cộng sự (2016) từ phân loại nhị phân sang sáu chế độ con ICRV.</w:t>
      </w:r>
    </w:p>
    <w:bookmarkEnd w:id="130"/>
    <w:bookmarkStart w:id="131" w:name="năng-lực-số-thay-thế-thể-chế"/>
    <w:p>
      <w:pPr>
        <w:pStyle w:val="Heading3"/>
      </w:pPr>
      <w:r>
        <w:t xml:space="preserve">4.6.2 Năng lực số thay thế thể chế</w:t>
      </w:r>
    </w:p>
    <w:p>
      <w:pPr>
        <w:pStyle w:val="FirstParagraph"/>
      </w:pPr>
      <w:r>
        <w:t xml:space="preserve">Sự phân biệt giữa TCI và DAI là một phát hiện liên thông quan trọng. TCI hoạt động như một năng lực nền tảng phổ quát: hiệu ứng nâng mặt bằng năng suất dương tại tất cả các mẫu, gồm Việt Nam, Trung Quốc và toàn mẫu đa quốc gia với mức tăng khoảng 41% trên mỗi đơn vị độ lệch chuẩn. Vai trò uốn đường cong của TCI lại đặc thù theo bối cảnh, chỉ rõ nét tại Việt Nam, phản ánh việc TCI là nguồn lực có giá trị, hiếm, khó sao chép, đồng thời hun đúc năng lực hấp thụ giúp doanh nghiệp học hỏi tốt hơn trong quá trình quốc tế hóa.</w:t>
      </w:r>
    </w:p>
    <w:p>
      <w:pPr>
        <w:pStyle w:val="BodyText"/>
      </w:pPr>
      <w:r>
        <w:t xml:space="preserve">DAI cho một khuôn mẫu khác biệt và mang tính tình huống. Trên toàn mẫu đa quốc gia, DAI có hiệu ứng nâng mặt bằng phổ quát (</w:t>
      </w:r>
      <m:oMath>
        <m:r>
          <m:t>β</m:t>
        </m:r>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và cả hai tương tác điều tiết đường cong đều có ý nghĩa. Đáng chú ý nhất, tương tác DAI×ICRV (</w:t>
      </w:r>
      <m:oMath>
        <m:r>
          <m:t>p</m:t>
        </m:r>
        <m:r>
          <m:rPr>
            <m:sty m:val="p"/>
          </m:rPr>
          <m:t>=</m:t>
        </m:r>
        <m:r>
          <m:rPr>
            <m:sty m:val="p"/>
          </m:rPr>
          <m:t>,</m:t>
        </m:r>
        <m:r>
          <m:t>049</m:t>
        </m:r>
      </m:oMath>
      <w:r>
        <w:t xml:space="preserve">) cho thấy hiệu ứng điều tiết của DAI mạnh hơn ở các môi trường thể chế yếu hơn, tức năng lực số bù đắp cho thiếu hụt thể chế chứ không khuếch đại lợi thế thể chế sẵn có. Đây là cơ chế thay thế số cho thể chế: ở nơi hạ tầng thể chế chưa đủ hỗ trợ doanh nghiệp xuất khẩu, hạ tầng số đảm nhận một phần các chức năng thực thi hợp đồng, cung cấp thông tin thị trường và phối hợp mà thể chế mạnh lẽ ra cung cấp. Kết quả này,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bookmarkEnd w:id="131"/>
    <w:bookmarkStart w:id="132" w:name="X89b4e3019be9a5bfe4fd000ed89d8415c285310"/>
    <w:p>
      <w:pPr>
        <w:pStyle w:val="Heading3"/>
      </w:pPr>
      <w:r>
        <w:t xml:space="preserve">4.6.3 Vai trò của TCI và DAI nhìn theo bối cảnh</w:t>
      </w:r>
    </w:p>
    <w:p>
      <w:pPr>
        <w:pStyle w:val="FirstParagraph"/>
      </w:pPr>
      <w:r>
        <w:t xml:space="preserve">Bằng chứng cấp quốc gia làm rõ thêm cơ chế của hai năng lực. Tại Singapore, nơi hạ tầng số đã bão hòa ở Tier 1–2, DAI phát huy dưới dạng tương tác bậc hai dương mạnh (</w:t>
      </w:r>
      <m:oMath>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một bổ trợ tạo quy mô chỉ hiện rõ ở đuôi xuất khẩu cao. Tại Việt Nam, kết quả DAI không có ý nghĩa phản ánh hạn chế đo lường, do dữ liệu chỉ có Tier-1, hơn là một sự bác bỏ vai trò của DAI. Tại Trung Quốc, cả TCI và DAI đều nâng mặt bằng năng suất nhưng không điều tiết đường cong, có thể do phương sai năng lực bị nén lại trong mẫu doanh nghiệp xuất khẩu tương đối đồng nhất. Tại SIDS, cả hai năng lực đều không phát huy tác dụng, một biểu hiện của trường hợp khi cả ba tầng của khung CDCM, gồm thể chế, năng lực và quản trị, đều ở mức thấp.</w:t>
      </w:r>
    </w:p>
    <w:p>
      <w:pPr>
        <w:pStyle w:val="BodyText"/>
      </w:pPr>
      <w:r>
        <w:t xml:space="preserve">Như vậy, bức tranh liên thông cho thấy TCI là năng lực nền tảng với hiệu ứng nâng mặt bằng nhất quán, còn DAI là nguồn lực tình huống mà cơ chế và độ lớn của việc điều tiết đường cong phụ thuộc bối cảnh ICRV và mức độ phong phú của thước đo. Mọi thước đo DAI trong luận án đều mang tính chỉ số chấp nhận số tĩnh, không phải năng lực số động, do dữ liệu WBES không đủ thang đo để nắm bắt tính động. Đây là một giới hạn về độ trung thực khái niệm mà các nghiên cứu tương lai cần khắc phục.</w:t>
      </w:r>
    </w:p>
    <w:bookmarkEnd w:id="132"/>
    <w:bookmarkStart w:id="133" w:name="tổng-hợp-kết-quả-theo-hệ-giả-thuyết"/>
    <w:p>
      <w:pPr>
        <w:pStyle w:val="Heading3"/>
      </w:pPr>
      <w:r>
        <w:t xml:space="preserve">4.6.4 Tổng hợp kết quả theo hệ giả thuyết</w:t>
      </w:r>
    </w:p>
    <w:p>
      <w:pPr>
        <w:pStyle w:val="FirstParagraph"/>
      </w:pPr>
      <w:r>
        <w:rPr>
          <w:bCs/>
          <w:b/>
        </w:rPr>
        <w:t xml:space="preserve">Bảng 4.6.</w:t>
      </w:r>
      <w:r>
        <w:t xml:space="preserve"> </w:t>
      </w:r>
      <w:r>
        <w:rPr>
          <w:iCs/>
          <w:i/>
        </w:rPr>
        <w:t xml:space="preserve">Tổng hợp kết quả kiểm định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U ngược)</w:t>
            </w:r>
          </w:p>
        </w:tc>
        <w:tc>
          <w:tcPr/>
          <w:p>
            <w:pPr>
              <w:pStyle w:val="Compact"/>
              <w:jc w:val="left"/>
            </w:pPr>
            <w:r>
              <w:t xml:space="preserve">Quan hệ I-P có dạng U ngược</w:t>
            </w:r>
          </w:p>
        </w:tc>
        <w:tc>
          <w:tcPr/>
          <w:p>
            <w:pPr>
              <w:pStyle w:val="Compact"/>
              <w:jc w:val="left"/>
            </w:pPr>
            <w:r>
              <w:t xml:space="preserve">Xác nhận tại Trung Quốc, Việt Nam và toàn mẫu đa quốc gia (TP</w:t>
            </w:r>
            <w:r>
              <w:t xml:space="preserve"> </w:t>
            </w:r>
            <m:oMath>
              <m:r>
                <m:rPr>
                  <m:sty m:val="p"/>
                </m:rPr>
                <m:t>≈</m:t>
              </m:r>
            </m:oMath>
            <w:r>
              <w:t xml:space="preserve"> </w:t>
            </w:r>
            <w:r>
              <w:t xml:space="preserve">36%); cận ngưỡng tại Singapore; ngoại trừ SIDS</w:t>
            </w:r>
          </w:p>
        </w:tc>
      </w:tr>
      <w:tr>
        <w:tc>
          <w:tcPr/>
          <w:p>
            <w:pPr>
              <w:pStyle w:val="Compact"/>
              <w:jc w:val="left"/>
            </w:pPr>
            <w:r>
              <w:t xml:space="preserve">H2 (TCI điều tiết dương)</w:t>
            </w:r>
          </w:p>
        </w:tc>
        <w:tc>
          <w:tcPr/>
          <w:p>
            <w:pPr>
              <w:pStyle w:val="Compact"/>
              <w:jc w:val="left"/>
            </w:pPr>
            <w:r>
              <w:t xml:space="preserve">TCI khuếch đại quan hệ I-P</w:t>
            </w:r>
          </w:p>
        </w:tc>
        <w:tc>
          <w:tcPr/>
          <w:p>
            <w:pPr>
              <w:pStyle w:val="Compact"/>
              <w:jc w:val="left"/>
            </w:pPr>
            <w:r>
              <w:t xml:space="preserve">Xác nhận một phần: TCI nâng mặt bằng năng suất ở mọi bối cảnh (+41%/SD trong phân tích đa quốc gia); uốn đường cong xác nhận tại Việt Nam nhưng không có ý nghĩa tại toàn mẫu đa quốc gia</w:t>
            </w:r>
          </w:p>
        </w:tc>
      </w:tr>
      <w:tr>
        <w:tc>
          <w:tcPr/>
          <w:p>
            <w:pPr>
              <w:pStyle w:val="Compact"/>
              <w:jc w:val="left"/>
            </w:pPr>
            <w:r>
              <w:t xml:space="preserve">H3 (DAI điều tiết)</w:t>
            </w:r>
          </w:p>
        </w:tc>
        <w:tc>
          <w:tcPr/>
          <w:p>
            <w:pPr>
              <w:pStyle w:val="Compact"/>
              <w:jc w:val="left"/>
            </w:pPr>
            <w:r>
              <w:t xml:space="preserve">DAI thay đổi độ dốc quan hệ I-P</w:t>
            </w:r>
          </w:p>
        </w:tc>
        <w:tc>
          <w:tcPr/>
          <w:p>
            <w:pPr>
              <w:pStyle w:val="Compact"/>
              <w:jc w:val="left"/>
            </w:pPr>
            <w:r>
              <w:t xml:space="preserve">Xác nhận: DAI nâng mặt bằng phổ quát (</w:t>
            </w:r>
            <m:oMath>
              <m:r>
                <m:t>β</m:t>
              </m:r>
              <m:r>
                <m:rPr>
                  <m:sty m:val="p"/>
                </m:rPr>
                <m:t>=</m:t>
              </m:r>
              <m:r>
                <m:rPr>
                  <m:sty m:val="p"/>
                </m:rPr>
                <m:t>+</m:t>
              </m:r>
              <m:r>
                <m:t>0</m:t>
              </m:r>
              <m:r>
                <m:rPr>
                  <m:sty m:val="p"/>
                </m:rPr>
                <m:t>,</m:t>
              </m:r>
              <m:r>
                <m:t>172</m:t>
              </m:r>
            </m:oMath>
            <w:r>
              <w:t xml:space="preserve">) và cả hai tương tác đường cong có ý nghĩa trong phân tích đa quốc gia; DAI×ICRV</w:t>
            </w:r>
            <w:r>
              <w:t xml:space="preserve"> </w:t>
            </w:r>
            <m:oMath>
              <m:r>
                <m:t>p</m:t>
              </m:r>
              <m:r>
                <m:rPr>
                  <m:sty m:val="p"/>
                </m:rPr>
                <m:t>=</m:t>
              </m:r>
              <m:r>
                <m:rPr>
                  <m:sty m:val="p"/>
                </m:rPr>
                <m:t>,</m:t>
              </m:r>
              <m:r>
                <m:t>049</m:t>
              </m:r>
            </m:oMath>
            <w:r>
              <w:t xml:space="preserve">, mạnh nhất khi thể chế yếu; tại Singapore FSTS</w:t>
            </w:r>
            <m:oMath>
              <m:sSup>
                <m:e>
                  <m:r>
                    <m:t>​</m:t>
                  </m:r>
                </m:e>
                <m:sup>
                  <m:r>
                    <m:t>2</m:t>
                  </m:r>
                </m:sup>
              </m:sSup>
            </m:oMath>
            <w:r>
              <w:t xml:space="preserve">×DAI</w:t>
            </w:r>
            <w:r>
              <w:t xml:space="preserve"> </w:t>
            </w:r>
            <m:oMath>
              <m:r>
                <m:rPr>
                  <m:sty m:val="p"/>
                </m:rPr>
                <m:t>=</m:t>
              </m:r>
              <m:r>
                <m:rPr>
                  <m:sty m:val="p"/>
                </m:rPr>
                <m:t>+</m:t>
              </m:r>
              <m:r>
                <m:t>3</m:t>
              </m:r>
              <m:r>
                <m:rPr>
                  <m:sty m:val="p"/>
                </m:rPr>
                <m:t>,</m:t>
              </m:r>
              <m:r>
                <m:t>119</m:t>
              </m:r>
            </m:oMath>
            <w:r>
              <w:t xml:space="preserve">; không có ý nghĩa tại Việt Nam do hạn chế đo lường Tier-1</w:t>
            </w:r>
          </w:p>
        </w:tc>
      </w:tr>
      <w:tr>
        <w:tc>
          <w:tcPr/>
          <w:p>
            <w:pPr>
              <w:pStyle w:val="Compact"/>
              <w:jc w:val="left"/>
            </w:pPr>
            <w:r>
              <w:t xml:space="preserve">H4 (kiểm soát quản trị nội sinh)</w:t>
            </w:r>
          </w:p>
        </w:tc>
        <w:tc>
          <w:tcPr/>
          <w:p>
            <w:pPr>
              <w:pStyle w:val="Compact"/>
              <w:jc w:val="left"/>
            </w:pPr>
            <w:r>
              <w:t xml:space="preserve">Kinh nghiệm và giới tính nhà quản trị nâng mặt bằng (kiểm soát, không điều tiết độ cong)</w:t>
            </w:r>
          </w:p>
        </w:tc>
        <w:tc>
          <w:tcPr/>
          <w:p>
            <w:pPr>
              <w:pStyle w:val="Compact"/>
              <w:jc w:val="left"/>
            </w:pPr>
            <w:r>
              <w:t xml:space="preserve">Hiệu ứng mức trong phân tích đa quốc gia: nhà quản trị nữ</w:t>
            </w:r>
            <w:r>
              <w:t xml:space="preserve"> </w:t>
            </w:r>
            <m:oMath>
              <m:r>
                <m:t>β</m:t>
              </m:r>
              <m:r>
                <m:rPr>
                  <m:sty m:val="p"/>
                </m:rPr>
                <m:t>=</m:t>
              </m:r>
              <m:r>
                <m:rPr>
                  <m:sty m:val="p"/>
                </m:rPr>
                <m:t>+</m:t>
              </m:r>
              <m:r>
                <m:t>0</m:t>
              </m:r>
              <m:r>
                <m:rPr>
                  <m:sty m:val="p"/>
                </m:rPr>
                <m:t>,</m:t>
              </m:r>
              <m:r>
                <m:t>202</m:t>
              </m:r>
            </m:oMath>
            <w:r>
              <w:t xml:space="preserve"> </w:t>
            </w:r>
            <w:r>
              <w:t xml:space="preserve">(</w:t>
            </w:r>
            <m:oMath>
              <m:r>
                <m:t>p</m:t>
              </m:r>
              <m:r>
                <m:rPr>
                  <m:sty m:val="p"/>
                </m:rPr>
                <m:t>&lt;</m:t>
              </m:r>
              <m:r>
                <m:rPr>
                  <m:sty m:val="p"/>
                </m:rPr>
                <m:t>,</m:t>
              </m:r>
              <m:r>
                <m:t>001</m:t>
              </m:r>
            </m:oMath>
            <w:r>
              <w:t xml:space="preserve">), kinh nghiệm</w:t>
            </w:r>
            <w:r>
              <w:t xml:space="preserve"> </w:t>
            </w:r>
            <m:oMath>
              <m:r>
                <m:t>β</m:t>
              </m:r>
              <m:r>
                <m:rPr>
                  <m:sty m:val="p"/>
                </m:rPr>
                <m:t>=</m:t>
              </m:r>
              <m:r>
                <m:rPr>
                  <m:sty m:val="p"/>
                </m:rPr>
                <m:t>+</m:t>
              </m:r>
              <m:r>
                <m:t>0</m:t>
              </m:r>
              <m:r>
                <m:rPr>
                  <m:sty m:val="p"/>
                </m:rPr>
                <m:t>,</m:t>
              </m:r>
              <m:r>
                <m:t>018</m:t>
              </m:r>
            </m:oMath>
            <w:r>
              <w:t xml:space="preserve"> </w:t>
            </w:r>
            <w:r>
              <w:t xml:space="preserve">(</w:t>
            </w:r>
            <m:oMath>
              <m:r>
                <m:t>p</m:t>
              </m:r>
              <m:r>
                <m:rPr>
                  <m:sty m:val="p"/>
                </m:rPr>
                <m:t>&lt;</m:t>
              </m:r>
              <m:r>
                <m:rPr>
                  <m:sty m:val="p"/>
                </m:rPr>
                <m:t>,</m:t>
              </m:r>
              <m:r>
                <m:t>001</m:t>
              </m:r>
            </m:oMath>
            <w:r>
              <w:t xml:space="preserve">); tương tác FSTS×kinh nghiệm không có ý nghĩa (</w:t>
            </w:r>
            <m:oMath>
              <m:r>
                <m:t>p</m:t>
              </m:r>
              <m:r>
                <m:rPr>
                  <m:sty m:val="p"/>
                </m:rPr>
                <m:t>=</m:t>
              </m:r>
              <m:r>
                <m:rPr>
                  <m:sty m:val="p"/>
                </m:rPr>
                <m:t>,</m:t>
              </m:r>
              <m:r>
                <m:t>26</m:t>
              </m:r>
            </m:oMath>
            <w:r>
              <w:t xml:space="preserve"> </w:t>
            </w:r>
            <w:r>
              <w:t xml:space="preserve">tại M11), là chẩn đoán phụ trợ chứ không phải điều tiết trọng tâm</w:t>
            </w:r>
          </w:p>
        </w:tc>
      </w:tr>
      <w:tr>
        <w:tc>
          <w:tcPr/>
          <w:p>
            <w:pPr>
              <w:pStyle w:val="Compact"/>
              <w:jc w:val="left"/>
            </w:pPr>
            <w:r>
              <w:t xml:space="preserve">H5 (Dải biến thiên ICRV)</w:t>
            </w:r>
          </w:p>
        </w:tc>
        <w:tc>
          <w:tcPr/>
          <w:p>
            <w:pPr>
              <w:pStyle w:val="Compact"/>
              <w:jc w:val="left"/>
            </w:pPr>
            <w:r>
              <w:t xml:space="preserve">Thể chế điều tiết dải biến thiên I-P</w:t>
            </w:r>
          </w:p>
        </w:tc>
        <w:tc>
          <w:tcPr/>
          <w:p>
            <w:pPr>
              <w:pStyle w:val="Compact"/>
              <w:jc w:val="left"/>
            </w:pPr>
            <w:r>
              <w:t xml:space="preserve">Xác nhận:</w:t>
            </w:r>
            <w:r>
              <w:t xml:space="preserve"> </w:t>
            </w:r>
            <m:oMath>
              <m:sSub>
                <m:e>
                  <m:r>
                    <m:t>Q</m:t>
                  </m:r>
                </m:e>
                <m:sub>
                  <m:r>
                    <m:t>M</m:t>
                  </m:r>
                </m:sub>
              </m:sSub>
              <m:r>
                <m:rPr>
                  <m:sty m:val="p"/>
                </m:rPr>
                <m:t>=</m:t>
              </m:r>
              <m:r>
                <m:t>17</m:t>
              </m:r>
              <m:r>
                <m:rPr>
                  <m:sty m:val="p"/>
                </m:rPr>
                <m:t>,</m:t>
              </m:r>
              <m:r>
                <m:t>35</m:t>
              </m:r>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 từ phân tích tổng hợp và tương tác M10 từ phân tích đa quốc gia (FSTS×ICRV</w:t>
            </w:r>
            <w:r>
              <w:t xml:space="preserve"> </w:t>
            </w:r>
            <m:oMath>
              <m:r>
                <m:t>β</m:t>
              </m:r>
              <m:r>
                <m:rPr>
                  <m:sty m:val="p"/>
                </m:rPr>
                <m:t>=</m:t>
              </m:r>
              <m:r>
                <m:rPr>
                  <m:sty m:val="p"/>
                </m:rPr>
                <m:t>+</m:t>
              </m:r>
              <m:r>
                <m:t>1</m:t>
              </m:r>
              <m:r>
                <m:rPr>
                  <m:sty m:val="p"/>
                </m:rPr>
                <m:t>,</m:t>
              </m:r>
              <m:r>
                <m:t>85</m:t>
              </m:r>
            </m:oMath>
            <w:r>
              <w:t xml:space="preserve">; FSTS</w:t>
            </w:r>
            <m:oMath>
              <m:sSup>
                <m:e>
                  <m:r>
                    <m:t>​</m:t>
                  </m:r>
                </m:e>
                <m:sup>
                  <m:r>
                    <m:t>2</m:t>
                  </m:r>
                </m:sup>
              </m:sSup>
            </m:oMath>
            <w:r>
              <w:t xml:space="preserve">×ICRV</w:t>
            </w:r>
            <w:r>
              <w:t xml:space="preserve"> </w:t>
            </w:r>
            <m:oMath>
              <m:r>
                <m:t>β</m:t>
              </m:r>
              <m:r>
                <m:rPr>
                  <m:sty m:val="p"/>
                </m:rPr>
                <m:t>=</m:t>
              </m:r>
              <m:r>
                <m:rPr>
                  <m:sty m:val="p"/>
                </m:rPr>
                <m:t>−</m:t>
              </m:r>
              <m:r>
                <m:t>2</m:t>
              </m:r>
              <m:r>
                <m:rPr>
                  <m:sty m:val="p"/>
                </m:rPr>
                <m:t>,</m:t>
              </m:r>
              <m:r>
                <m:t>93</m:t>
              </m:r>
            </m:oMath>
            <w:r>
              <w:t xml:space="preserve">; đều</w:t>
            </w:r>
            <w:r>
              <w:t xml:space="preserve"> </w:t>
            </w:r>
            <m:oMath>
              <m:r>
                <m:t>p</m:t>
              </m:r>
              <m:r>
                <m:rPr>
                  <m:sty m:val="p"/>
                </m:rPr>
                <m:t>&lt;</m:t>
              </m:r>
              <m:r>
                <m:rPr>
                  <m:sty m:val="p"/>
                </m:rPr>
                <m:t>,</m:t>
              </m:r>
              <m:r>
                <m:t>001</m:t>
              </m:r>
            </m:oMath>
            <w:r>
              <w:t xml:space="preserve">); cơ chế là độ cong/biên độ (sâu dần khi thể chế suy giảm), không phải dịch chuyển điểm uốn đơn điệu</w:t>
            </w:r>
          </w:p>
        </w:tc>
      </w:tr>
      <w:tr>
        <w:tc>
          <w:tcPr/>
          <w:p>
            <w:pPr>
              <w:pStyle w:val="Compact"/>
              <w:jc w:val="left"/>
            </w:pPr>
            <w:r>
              <w:t xml:space="preserve">H6 (Dị biệt theo thời gian)</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m:oMath>
              <m:r>
                <m:t>2</m:t>
              </m:r>
              <m:r>
                <m:rPr>
                  <m:sty m:val="p"/>
                </m:rPr>
                <m:t>,</m:t>
              </m:r>
              <m:r>
                <m:t>24</m:t>
              </m:r>
            </m:oMath>
            <w:r>
              <w:t xml:space="preserve">,</w:t>
            </w:r>
            <w:r>
              <w:t xml:space="preserve"> </w:t>
            </w:r>
            <m:oMath>
              <m:r>
                <m:t>p</m:t>
              </m:r>
              <m:r>
                <m:rPr>
                  <m:sty m:val="p"/>
                </m:rPr>
                <m:t>=</m:t>
              </m:r>
              <m:r>
                <m:rPr>
                  <m:sty m:val="p"/>
                </m:rPr>
                <m:t>,</m:t>
              </m:r>
              <m:r>
                <m:t>176</m:t>
              </m:r>
            </m:oMath>
            <w:r>
              <w:t xml:space="preserve">/</w:t>
            </w:r>
            <m:oMath>
              <m:r>
                <m:rPr>
                  <m:sty m:val="p"/>
                </m:rPr>
                <m:t>,</m:t>
              </m:r>
              <m:r>
                <m:t>107</m:t>
              </m:r>
            </m:oMath>
            <w:r>
              <w:t xml:space="preserve">); điểm uốn dịch chuyển tại Việt Nam giữa 2009 và 2015 (</w:t>
            </w:r>
            <m:oMath>
              <m:r>
                <m:t>z</m:t>
              </m:r>
              <m:r>
                <m:rPr>
                  <m:sty m:val="p"/>
                </m:rPr>
                <m:t>=</m:t>
              </m:r>
              <m:r>
                <m:t>3</m:t>
              </m:r>
              <m:r>
                <m:rPr>
                  <m:sty m:val="p"/>
                </m:rPr>
                <m:t>,</m:t>
              </m:r>
              <m:r>
                <m:t>353</m:t>
              </m:r>
            </m:oMath>
            <w:r>
              <w:t xml:space="preserve">)</w:t>
            </w:r>
          </w:p>
        </w:tc>
      </w:tr>
      <w:tr>
        <w:tc>
          <w:tcPr/>
          <w:p>
            <w:pPr>
              <w:pStyle w:val="Compact"/>
              <w:jc w:val="left"/>
            </w:pPr>
            <w:r>
              <w:t xml:space="preserve">H1b (Chi phí QTH bắt buộc, SIDS)</w:t>
            </w:r>
          </w:p>
        </w:tc>
        <w:tc>
          <w:tcPr/>
          <w:p>
            <w:pPr>
              <w:pStyle w:val="Compact"/>
              <w:jc w:val="left"/>
            </w:pPr>
            <w:r>
              <w:t xml:space="preserve">Quan hệ âm đơn điệu tại SIDS</w:t>
            </w:r>
          </w:p>
        </w:tc>
        <w:tc>
          <w:tcPr/>
          <w:p>
            <w:pPr>
              <w:pStyle w:val="Compact"/>
              <w:jc w:val="left"/>
            </w:pPr>
            <w:r>
              <w:t xml:space="preserve">Xác nhận mạnh:</w:t>
            </w:r>
            <w:r>
              <w:t xml:space="preserve"> </w:t>
            </w:r>
            <m:oMath>
              <m:r>
                <m:t>β</m:t>
              </m:r>
              <m:r>
                <m:rPr>
                  <m:sty m:val="p"/>
                </m:rPr>
                <m:t>=</m:t>
              </m:r>
              <m:r>
                <m:rPr>
                  <m:sty m:val="p"/>
                </m:rPr>
                <m:t>−</m:t>
              </m:r>
              <m:r>
                <m:t>0</m:t>
              </m:r>
              <m:r>
                <m:rPr>
                  <m:sty m:val="p"/>
                </m:rPr>
                <m:t>,</m:t>
              </m:r>
              <m:r>
                <m:t>404</m:t>
              </m:r>
            </m:oMath>
            <w:r>
              <w:t xml:space="preserve"> </w:t>
            </w:r>
            <w:r>
              <w:t xml:space="preserve">đến</w:t>
            </w:r>
            <w:r>
              <w:t xml:space="preserve"> </w:t>
            </w:r>
            <m:oMath>
              <m:r>
                <m:rPr>
                  <m:sty m:val="p"/>
                </m:rPr>
                <m:t>−</m:t>
              </m:r>
              <m:r>
                <m:t>1</m:t>
              </m:r>
              <m:r>
                <m:rPr>
                  <m:sty m:val="p"/>
                </m:rPr>
                <m:t>,</m:t>
              </m:r>
              <m:r>
                <m:t>596</m:t>
              </m:r>
            </m:oMath>
            <w:r>
              <w:t xml:space="preserve"> </w:t>
            </w:r>
            <w:r>
              <w:t xml:space="preserve">tùy đặc tả</w:t>
            </w:r>
          </w:p>
        </w:tc>
      </w:tr>
    </w:tbl>
    <w:p>
      <w:r>
        <w:pict>
          <v:rect style="width:0;height:1.5pt" o:hralign="center" o:hrstd="t" o:hr="t"/>
        </w:pict>
      </w:r>
    </w:p>
    <w:bookmarkEnd w:id="133"/>
    <w:bookmarkEnd w:id="134"/>
    <w:bookmarkStart w:id="135" w:name="kiểm-định-độ-vững-1"/>
    <w:p>
      <w:pPr>
        <w:pStyle w:val="Heading2"/>
      </w:pPr>
      <w:r>
        <w:t xml:space="preserve">4.7 Kiểm định độ vững</w:t>
      </w:r>
    </w:p>
    <w:p>
      <w:pPr>
        <w:pStyle w:val="FirstParagraph"/>
      </w:pPr>
      <w:r>
        <w:t xml:space="preserve">Các phát hiện trọng tâm của luận án được kiểm chứng qua nhiều họ kiểm tra độ vững (robustness check) ở từng nghiên cứu thành phần.</w:t>
      </w:r>
    </w:p>
    <w:p>
      <w:pPr>
        <w:pStyle w:val="BodyText"/>
      </w:pPr>
      <w:r>
        <w:t xml:space="preserve">Đối với phân tích tổng hợp phân tích tổng hợp, hiệu ứng gộp</w:t>
      </w:r>
      <w:r>
        <w:t xml:space="preserve"> </w:t>
      </w:r>
      <m:oMath>
        <m:r>
          <m:t>r</m:t>
        </m:r>
        <m:r>
          <m:rPr>
            <m:sty m:val="p"/>
          </m:rPr>
          <m:t>=</m:t>
        </m:r>
        <m:r>
          <m:t>0</m:t>
        </m:r>
        <m:r>
          <m:rPr>
            <m:sty m:val="p"/>
          </m:rPr>
          <m:t>,</m:t>
        </m:r>
        <m:r>
          <m:t>074</m:t>
        </m:r>
      </m:oMath>
      <w:r>
        <w:t xml:space="preserve"> </w:t>
      </w:r>
      <w:r>
        <w:t xml:space="preserve">vững qua mọi kiểm tra nhạy cảm. Khi chỉ giữ các tương quan đã xác nhận (loại bỏ giá trị ước lượng),</w:t>
      </w:r>
      <w:r>
        <w:t xml:space="preserve"> </w:t>
      </w:r>
      <m:oMath>
        <m:acc>
          <m:accPr>
            <m:chr m:val="‾"/>
          </m:accPr>
          <m:e>
            <m:r>
              <m:t>r</m:t>
            </m:r>
          </m:e>
        </m:acc>
        <m:r>
          <m:rPr>
            <m:sty m:val="p"/>
          </m:rPr>
          <m:t>=</m:t>
        </m:r>
        <m:r>
          <m:t>0</m:t>
        </m:r>
        <m:r>
          <m:rPr>
            <m:sty m:val="p"/>
          </m:rPr>
          <m:t>,</m:t>
        </m:r>
        <m:r>
          <m:t>077</m:t>
        </m:r>
      </m:oMath>
      <w:r>
        <w:t xml:space="preserve"> </w:t>
      </w:r>
      <w:r>
        <w:t xml:space="preserve">(</w:t>
      </w:r>
      <m:oMath>
        <m:r>
          <m:t>K</m:t>
        </m:r>
        <m:r>
          <m:rPr>
            <m:sty m:val="p"/>
          </m:rPr>
          <m:t>=</m:t>
        </m:r>
        <m:r>
          <m:t>241</m:t>
        </m:r>
      </m:oMath>
      <w:r>
        <w:t xml:space="preserve">); khi loại bỏ nghiên cứu</w:t>
      </w:r>
      <w:r>
        <w:t xml:space="preserve"> </w:t>
      </w:r>
      <m:oMath>
        <m:r>
          <m:t>n</m:t>
        </m:r>
        <m:r>
          <m:rPr>
            <m:sty m:val="p"/>
          </m:rPr>
          <m:t>&lt;</m:t>
        </m:r>
        <m:r>
          <m:t>30</m:t>
        </m:r>
      </m:oMath>
      <w:r>
        <w:t xml:space="preserve">,</w:t>
      </w:r>
      <w:r>
        <w:t xml:space="preserve"> </w:t>
      </w:r>
      <m:oMath>
        <m:acc>
          <m:accPr>
            <m:chr m:val="‾"/>
          </m:accPr>
          <m:e>
            <m:r>
              <m:t>r</m:t>
            </m:r>
          </m:e>
        </m:acc>
        <m:r>
          <m:rPr>
            <m:sty m:val="p"/>
          </m:rPr>
          <m:t>=</m:t>
        </m:r>
        <m:r>
          <m:t>0</m:t>
        </m:r>
        <m:r>
          <m:rPr>
            <m:sty m:val="p"/>
          </m:rPr>
          <m:t>,</m:t>
        </m:r>
        <m:r>
          <m:t>074</m:t>
        </m:r>
      </m:oMath>
      <w:r>
        <w:t xml:space="preserve"> </w:t>
      </w:r>
      <w:r>
        <w:t xml:space="preserve">(</w:t>
      </w:r>
      <m:oMath>
        <m:r>
          <m:t>K</m:t>
        </m:r>
        <m:r>
          <m:rPr>
            <m:sty m:val="p"/>
          </m:rPr>
          <m:t>=</m:t>
        </m:r>
        <m:r>
          <m:t>286</m:t>
        </m:r>
      </m:oMath>
      <w:r>
        <w:t xml:space="preserve">); khi chỉ giữ hiệu quả kế toán,</w:t>
      </w:r>
      <w:r>
        <w:t xml:space="preserve"> </w:t>
      </w:r>
      <m:oMath>
        <m:acc>
          <m:accPr>
            <m:chr m:val="‾"/>
          </m:accPr>
          <m:e>
            <m:r>
              <m:t>r</m:t>
            </m:r>
          </m:e>
        </m:acc>
        <m:r>
          <m:rPr>
            <m:sty m:val="p"/>
          </m:rPr>
          <m:t>=</m:t>
        </m:r>
        <m:r>
          <m:t>0</m:t>
        </m:r>
        <m:r>
          <m:rPr>
            <m:sty m:val="p"/>
          </m:rPr>
          <m:t>,</m:t>
        </m:r>
        <m:r>
          <m:t>075</m:t>
        </m:r>
      </m:oMath>
      <w:r>
        <w:t xml:space="preserve"> </w:t>
      </w:r>
      <w:r>
        <w:t xml:space="preserve">(</w:t>
      </w:r>
      <m:oMath>
        <m:r>
          <m:t>K</m:t>
        </m:r>
        <m:r>
          <m:rPr>
            <m:sty m:val="p"/>
          </m:rPr>
          <m:t>=</m:t>
        </m:r>
        <m:r>
          <m:t>247</m:t>
        </m:r>
      </m:oMath>
      <w:r>
        <w:t xml:space="preserve">). Kiểm tra thận trọng nhất là chỉ giữ thước đo quốc tế hóa theo FSTS, cho</w:t>
      </w:r>
      <w:r>
        <w:t xml:space="preserve"> </w:t>
      </w:r>
      <m:oMath>
        <m:acc>
          <m:accPr>
            <m:chr m:val="‾"/>
          </m:accPr>
          <m:e>
            <m:r>
              <m:t>r</m:t>
            </m:r>
          </m:e>
        </m:acc>
        <m:r>
          <m:rPr>
            <m:sty m:val="p"/>
          </m:rPr>
          <m:t>=</m:t>
        </m:r>
        <m:r>
          <m:t>0</m:t>
        </m:r>
        <m:r>
          <m:rPr>
            <m:sty m:val="p"/>
          </m:rPr>
          <m:t>,</m:t>
        </m:r>
        <m:r>
          <m:t>061</m:t>
        </m:r>
      </m:oMath>
      <w:r>
        <w:t xml:space="preserve"> </w:t>
      </w:r>
      <w:r>
        <w:t xml:space="preserve">(</w:t>
      </w:r>
      <m:oMath>
        <m:r>
          <m:t>K</m:t>
        </m:r>
        <m:r>
          <m:rPr>
            <m:sty m:val="p"/>
          </m:rPr>
          <m:t>=</m:t>
        </m:r>
        <m:r>
          <m:t>138</m:t>
        </m:r>
      </m:oMath>
      <w:r>
        <w:t xml:space="preserve">), vẫn dương và có ý nghĩa. Ước lượng hai tầng theo phương pháp DerSimonian–Laird cho điểm ước lượng đồng nhất (0,074), xác nhận cấu trúc ba tầng tăng độ chính xác mà không gây sai lệch. Phân tích bỏ một nghiên cứu (leave-one-out) cho dải [0,071; 0,075], không có nghiên cứu đơn lẻ nào làm đổi chiều kết quả.</w:t>
      </w:r>
    </w:p>
    <w:p>
      <w:pPr>
        <w:pStyle w:val="BodyText"/>
      </w:pPr>
      <w:r>
        <w:t xml:space="preserve">Đối với toàn mẫu đa quốc gia, điểm uốn dao động nhất quán trong dải hẹp 34,1–39,5% qua mọi đặc tả M2–M9 và được xác nhận lại trong mô hình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 Tính bền vững của đường cong U ngược dưới hiệu ứng cố định quốc gia và năm, vốn hấp thụ phương sai không quan sát biến đổi theo thời gian ở cấp quốc gia, là một bằng chứng mạnh rằng đường cong không phải sản phẩm phụ của các biến gây nhiễu bị bỏ sót.</w:t>
      </w:r>
    </w:p>
    <w:p>
      <w:pPr>
        <w:pStyle w:val="BodyText"/>
      </w:pPr>
      <w:r>
        <w:t xml:space="preserve">Đối với Trung Quốc phân tích Trung Quốc, đường cong U ngược được bảo toàn khi giới hạn mẫu sản xuất (điểm uốn 48,1% năm 2012 và 46,4% năm 2024), khi dùng năng suất nhân tố tổng hợp (Total Factor Productivity, TFP) ước lượng bằng phương pháp Levinsohn–Petrin làm biến phụ thuộc (điểm uốn 47,9% và 45,7%), và qua hồi quy phân vị tại các phân vị 25, 50 và 75 (điểm uốn 44,8–51,3%). Kiểm định Paternoster vẫn không có ý nghĩa trong tất cả các kiểm tra này, củng cố tính ổn định theo thời gian. Việc thêm hiệu ứng cố định ngành ISIC hai chữ số hay thay đổi quy tắc loại trừ giá trị khuyết đều không làm thay đổi khuôn mẫu chính.</w:t>
      </w:r>
    </w:p>
    <w:p>
      <w:pPr>
        <w:pStyle w:val="BodyText"/>
      </w:pPr>
      <w:r>
        <w:t xml:space="preserve">Đối với Singapore phân tích Singapore, dấu dương của tương tác bậc hai DAI được giữ nguyên qua toàn bộ sáu đặc tả độ vững, gồm thước đo DAI mỏng chỉ có trang web, thước đo TCI mỏng, loại bỏ doanh nghiệp siêu nhỏ, chỉ giữ doanh nghiệp vừa và nhỏ, và mẫu chỉ gồm doanh nghiệp xuất khẩu. Một kiểm định hoán đổi hạng mục củng cố ranh giới khái niệm giữa TCI và DAI: khi chuyển chỉ báo trang web từ DAI sang TCI, ý nghĩa liên hợp của khối điều tiết DAI sụp đổ (F giảm từ 4,56 với</w:t>
      </w:r>
      <w:r>
        <w:t xml:space="preserve"> </w:t>
      </w:r>
      <m:oMath>
        <m:r>
          <m:t>p</m:t>
        </m:r>
        <m:r>
          <m:rPr>
            <m:sty m:val="p"/>
          </m:rPr>
          <m:t>=</m:t>
        </m:r>
        <m:r>
          <m:rPr>
            <m:sty m:val="p"/>
          </m:rPr>
          <m:t>,</m:t>
        </m:r>
        <m:r>
          <m:t>011</m:t>
        </m:r>
      </m:oMath>
      <w:r>
        <w:t xml:space="preserve"> </w:t>
      </w:r>
      <w:r>
        <w:t xml:space="preserve">xuống 1,88 với</w:t>
      </w:r>
      <w:r>
        <w:t xml:space="preserve"> </w:t>
      </w:r>
      <m:oMath>
        <m:r>
          <m:t>p</m:t>
        </m:r>
        <m:r>
          <m:rPr>
            <m:sty m:val="p"/>
          </m:rPr>
          <m:t>=</m:t>
        </m:r>
        <m:r>
          <m:rPr>
            <m:sty m:val="p"/>
          </m:rPr>
          <m:t>,</m:t>
        </m:r>
        <m:r>
          <m:t>154</m:t>
        </m:r>
      </m:oMath>
      <w:r>
        <w:t xml:space="preserve">), trong khi hoán đổi theo chiều ngược lại giữ nguyên khuôn mẫu điều tiết.</w:t>
      </w:r>
    </w:p>
    <w:p>
      <w:pPr>
        <w:pStyle w:val="BodyText"/>
      </w:pPr>
      <w:r>
        <w:t xml:space="preserve">Đối với Việt Nam phân tích Việt Nam, đường cong U ngược được bảo toàn ở cả mẫu sản xuất (điểm uốn sắc nét hơn) và phi sản xuất, với các kênh năng lực hoạt động chủ yếu trong mẫu sản xuất. Kiểm định trên mẫu chỉ gồm doanh nghiệp xuất khẩu cho thấy độ cong yếu đi đáng kể khi loại bỏ biên độ tham gia, xác nhận rằng đường cong U ngược toàn mẫu phản ánh cấu trúc kết hợp giữa biên độ tham gia và biên độ cường độ, với phần lớn độ phân biệt năng suất nằm ở ranh giới giữa không xuất khẩu và xuất khẩu.</w:t>
      </w:r>
    </w:p>
    <w:p>
      <w:pPr>
        <w:pStyle w:val="BodyText"/>
      </w:pPr>
      <w:r>
        <w:t xml:space="preserve">Đối với SIDS phân tích SIDS Thái Bình Dương, hiệu ứng âm được xác nhận qua bốn đặc tả với độ lớn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doanh nghiệp xuất khẩu (</w:t>
      </w:r>
      <m:oMath>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Sự nhất quán về chiều âm và ý nghĩa thống kê qua các đặc tả khác nhau xác nhận rằng đây không phải kết quả ngẫu nhiên do đặc thù mô hình hay do chọn mẫu, mà là một quy luật cấu trúc của bối cảnh đảo nhỏ.</w:t>
      </w:r>
    </w:p>
    <w:p>
      <w:pPr>
        <w:pStyle w:val="BodyText"/>
      </w:pPr>
      <w:r>
        <w:t xml:space="preserve">Nhìn chung, các kiểm định độ vững củng cố ba trụ cột kết quả của luận án: hiệu ứng gộp dương nhỏ và vững ở cấp phân tích tổng hợp, đường cong U ngược với độ cong thay đổi theo dải biến thiên ICRV ở cấp đa quốc gia và đơn quốc gia, và quan hệ âm đơn điệu như một điều kiện biên cực đoan ở SIDS.</w:t>
      </w:r>
    </w:p>
    <w:p>
      <w:r>
        <w:pict>
          <v:rect style="width:0;height:1.5pt" o:hralign="center" o:hrstd="t" o:hr="t"/>
        </w:pict>
      </w:r>
    </w:p>
    <w:bookmarkEnd w:id="135"/>
    <w:bookmarkEnd w:id="136"/>
    <w:bookmarkStart w:id="137" w:name="chương-5-kết-luận-và-đề-xuất"/>
    <w:p>
      <w:pPr>
        <w:pStyle w:val="Heading1"/>
      </w:pPr>
      <w:r>
        <w:t xml:space="preserve">CHƯƠNG 5: KẾT LUẬN VÀ ĐỀ XUẤT</w:t>
      </w:r>
    </w:p>
    <w:bookmarkEnd w:id="137"/>
    <w:p>
      <w:r>
        <w:pict>
          <v:rect style="width:0;height:1.5pt" o:hralign="center" o:hrstd="t" o:hr="t"/>
        </w:pict>
      </w:r>
    </w:p>
    <w:bookmarkStart w:id="138" w:name="giới-thiệu-chương-1"/>
    <w:p>
      <w:pPr>
        <w:pStyle w:val="Heading2"/>
      </w:pPr>
      <w:r>
        <w:t xml:space="preserve">Giới thiệu chương</w:t>
      </w:r>
    </w:p>
    <w:p>
      <w:pPr>
        <w:pStyle w:val="FirstParagraph"/>
      </w:pPr>
      <w:r>
        <w:t xml:space="preserve">Chương 5 tổng hợp và diễn giải kết quả từ Chương 4 dưới ánh sáng của khung lý thuyết CDCM cùng bốn lý thuyết nền là Uppsala, RBV, lý thuyết thể chế và lý thuyết thượng tầng quản trị. Chương gồm sáu phần: bàn luận kết quả theo khung lý thuyết; so sánh với nghiên cứu trước; đóng góp lý thuyết; đề xuất chính sách và quản trị; hạn chế cùng hướng nghiên cứu tương lai; và kết luận tổng thể của luận án.</w:t>
      </w:r>
    </w:p>
    <w:p>
      <w:r>
        <w:pict>
          <v:rect style="width:0;height:1.5pt" o:hralign="center" o:hrstd="t" o:hr="t"/>
        </w:pict>
      </w:r>
    </w:p>
    <w:bookmarkEnd w:id="138"/>
    <w:bookmarkStart w:id="144" w:name="Xff8cef3ed320f9cf6f3fba4ff558bfed3af19c6"/>
    <w:p>
      <w:pPr>
        <w:pStyle w:val="Heading2"/>
      </w:pPr>
      <w:r>
        <w:t xml:space="preserve">5.1 Bàn luận kết quả theo khung lý thuyết CDCM</w:t>
      </w:r>
    </w:p>
    <w:bookmarkStart w:id="139" w:name="X15bf1096964ce027ae5f38ba61f44ecafa6a90e"/>
    <w:p>
      <w:pPr>
        <w:pStyle w:val="Heading3"/>
      </w:pPr>
      <w:r>
        <w:t xml:space="preserve">5.1.1 Dải biến thiên ICRV,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độc lập cùng chỉ về một kết luận, đó là phân tích tổng hợp (phân tích tổng hợp,</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phẳng, gần như tuyến tính ở nhóm tiên tiến và rõ nét nhất (hình chữ U ngược) ở nhóm đảo nhỏ và cận biên,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 tầng thể chế của khung CDCM một cách thuyết phục: điều kiện biên cho quan hệ I-P không do một yếu tố điều tiết đơn lẻ quy định, mà do</w:t>
      </w:r>
      <w:r>
        <w:t xml:space="preserve"> </w:t>
      </w:r>
      <w:r>
        <w:rPr>
          <w:bCs/>
          <w:b/>
        </w:rPr>
        <w:t xml:space="preserve">cả một chế độ thể chế</w:t>
      </w:r>
      <w:r>
        <w:t xml:space="preserve">, được vận hành hóa thành sáu nhóm con ICRV. Hiểu theo cơ chế, ICRV vận hành như một</w:t>
      </w:r>
      <w:r>
        <w:t xml:space="preserve"> </w:t>
      </w:r>
      <w:r>
        <w:rPr>
          <w:bCs/>
          <w:b/>
        </w:rPr>
        <w:t xml:space="preserve">bộ lọc chi phí giao dịch (transaction cost filter)</w:t>
      </w:r>
      <w:r>
        <w:t xml:space="preserve"> </w:t>
      </w:r>
      <w:r>
        <w:t xml:space="preserve">và sáu chế độ hợp thành một</w:t>
      </w:r>
      <w:r>
        <w:t xml:space="preserve"> </w:t>
      </w:r>
      <w:r>
        <w:rPr>
          <w:bCs/>
          <w:b/>
        </w:rPr>
        <w:t xml:space="preserve">bản đồ địa hình xuất khẩu chiến lược (strategic export topography)</w:t>
      </w:r>
      <w:r>
        <w:t xml:space="preserve">: chính chất lượng thể chế quy định nơi điểm uốn của quan hệ I-P xuất hiện, còn năng lực số đóng vai trò lá chắn bù đắp khi bộ lọc tắc nghẽn.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139"/>
    <w:bookmarkStart w:id="140" w:name="tci-là-năng-lực-nền-tảng-xác-nhận-h2"/>
    <w:p>
      <w:pPr>
        <w:pStyle w:val="Heading3"/>
      </w:pPr>
      <w:r>
        <w:t xml:space="preserve">5.1.2 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140"/>
    <w:bookmarkStart w:id="141" w:name="X27755afda27725d75d6cee82c01fb99e8279a05"/>
    <w:p>
      <w:pPr>
        <w:pStyle w:val="Heading3"/>
      </w:pPr>
      <w:r>
        <w:t xml:space="preserve">5.1.3 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141"/>
    <w:bookmarkStart w:id="142" w:name="Xece9a1da6f346a507472622c3a51811b77b548d"/>
    <w:p>
      <w:pPr>
        <w:pStyle w:val="Heading3"/>
      </w:pPr>
      <w:r>
        <w:t xml:space="preserve">5.1.4 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các đặc điểm này được đưa vào khung như khối kiểm soát quản trị nội sinh chứ không phải nhân tố điều tiết trọng tâm định hình độ cong của đường quan hệ I-P.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142"/>
    <w:bookmarkStart w:id="143" w:name="Xec64c810cb028afb72ecad1fcf3407044422350"/>
    <w:p>
      <w:pPr>
        <w:pStyle w:val="Heading3"/>
      </w:pPr>
      <w:r>
        <w:t xml:space="preserve">5.1.5 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 một điều kiện biên mà phiên bản ban đầu của CDCM chưa dự báo hết. FIP là biểu hiện của trường hợp khi</w:t>
      </w:r>
      <w:r>
        <w:t xml:space="preserve"> </w:t>
      </w:r>
      <w:r>
        <w:rPr>
          <w:bCs/>
          <w:b/>
        </w:rPr>
        <w:t xml:space="preserve">cả ba tầng của CDCM</w:t>
      </w:r>
      <w:r>
        <w:t xml:space="preserve">, gồm thể chế, năng lực và quản trị, đều ở mức thấp.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p>
      <w:r>
        <w:pict>
          <v:rect style="width:0;height:1.5pt" o:hralign="center" o:hrstd="t" o:hr="t"/>
        </w:pict>
      </w:r>
    </w:p>
    <w:bookmarkEnd w:id="143"/>
    <w:bookmarkEnd w:id="144"/>
    <w:bookmarkStart w:id="148" w:name="so-sánh-với-nghiên-cứu-trước-đây"/>
    <w:p>
      <w:pPr>
        <w:pStyle w:val="Heading2"/>
      </w:pPr>
      <w:r>
        <w:t xml:space="preserve">5.2 So sánh với nghiên cứu trước đây</w:t>
      </w:r>
    </w:p>
    <w:bookmarkStart w:id="145" w:name="nhất-quán-với-nền-tảng-icbef-2024"/>
    <w:p>
      <w:pPr>
        <w:pStyle w:val="Heading3"/>
      </w:pPr>
      <w:r>
        <w:t xml:space="preserve">5.2.1 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hai phát hiện sắc bén hơn. Phát hiện thứ nhất là cấu trúc dị biệt: việc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ở tầng 2 và 8,4%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 Phát hiện thứ hai, và là một đóng góp hiệu chỉnh đối với toàn bộ văn liệu, là mức độ thiên lệch công bố: hiệu chỉnh trim-and-fill kéo hiệu ứng gộp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w:t>
      </w:r>
      <w:r>
        <w:t xml:space="preserve"> </w:t>
      </w:r>
      <w:r>
        <w:rPr>
          <w:bCs/>
          <w:b/>
        </w:rPr>
        <w:t xml:space="preserve">suy giảm khoảng 53%</w:t>
      </w:r>
      <w:r>
        <w:t xml:space="preserve">: hàm ý rằng quan hệ I-P trung bình được báo cáo suốt bốn thập kỷ có thể đã bị thổi phồng đáng kể. Đây là một ước lượng hiệu chỉnh được củng cố bởi kiểm định Begg có ý nghĩa (</w:t>
      </w:r>
      <m:oMath>
        <m:r>
          <m:t>τ</m:t>
        </m:r>
        <m:r>
          <m:rPr>
            <m:sty m:val="p"/>
          </m:rPr>
          <m:t>=</m:t>
        </m:r>
        <m:r>
          <m:rPr>
            <m:sty m:val="p"/>
          </m:rPr>
          <m:t>−</m:t>
        </m:r>
        <m:r>
          <m:t>0</m:t>
        </m:r>
        <m:r>
          <m:rPr>
            <m:sty m:val="p"/>
          </m:rPr>
          <m:t>,</m:t>
        </m:r>
        <m:r>
          <m:t>134</m:t>
        </m:r>
      </m:oMath>
      <w:r>
        <w:t xml:space="preserve">,</w:t>
      </w:r>
      <w:r>
        <w:t xml:space="preserve"> </w:t>
      </w:r>
      <m:oMath>
        <m:r>
          <m:t>p</m:t>
        </m:r>
        <m:r>
          <m:rPr>
            <m:sty m:val="p"/>
          </m:rPr>
          <m:t>&lt;</m:t>
        </m:r>
        <m:r>
          <m:rPr>
            <m:sty m:val="p"/>
          </m:rPr>
          <m:t>,</m:t>
        </m:r>
        <m:r>
          <m:t>001</m:t>
        </m:r>
      </m:oMath>
      <w:r>
        <w:t xml:space="preserve">); do kiểm định Egger chỉ ở mức biên (</w:t>
      </w:r>
      <m:oMath>
        <m:r>
          <m:t>p</m:t>
        </m:r>
        <m:r>
          <m:rPr>
            <m:sty m:val="p"/>
          </m:rPr>
          <m:t>=</m:t>
        </m:r>
        <m:r>
          <m:rPr>
            <m:sty m:val="p"/>
          </m:rPr>
          <m:t>,</m:t>
        </m:r>
        <m:r>
          <m:t>057</m:t>
        </m:r>
      </m:oMath>
      <w:r>
        <w:t xml:space="preserve">), luận án trình bày con số 53% như một tín hiệu định hướng mạnh chứ không phải một độ lớn đã chốt.</w:t>
      </w:r>
    </w:p>
    <w:bookmarkEnd w:id="145"/>
    <w:bookmarkStart w:id="146" w:name="X7b8db85450aaa41ba255e0d181ebc5c5ae65c48"/>
    <w:p>
      <w:pPr>
        <w:pStyle w:val="Heading3"/>
      </w:pPr>
      <w:r>
        <w:t xml:space="preserve">5.2.2 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146"/>
    <w:bookmarkStart w:id="147" w:name="Xa9e0768422fd6621b6e86563bb0c71b914b0101"/>
    <w:p>
      <w:pPr>
        <w:pStyle w:val="Heading3"/>
      </w:pPr>
      <w:r>
        <w:t xml:space="preserve">5.2.3 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p>
      <w:r>
        <w:pict>
          <v:rect style="width:0;height:1.5pt" o:hralign="center" o:hrstd="t" o:hr="t"/>
        </w:pict>
      </w:r>
    </w:p>
    <w:bookmarkEnd w:id="147"/>
    <w:bookmarkEnd w:id="148"/>
    <w:bookmarkStart w:id="152" w:name="đóng-góp-lý-thuyết-1"/>
    <w:p>
      <w:pPr>
        <w:pStyle w:val="Heading2"/>
      </w:pPr>
      <w:r>
        <w:t xml:space="preserve">5.3 Đóng góp lý thuyết</w:t>
      </w:r>
    </w:p>
    <w:bookmarkStart w:id="149" w:name="cdcm-làm-rõ-dai-là-nguồn-lực-tình-huống"/>
    <w:p>
      <w:pPr>
        <w:pStyle w:val="Heading3"/>
      </w:pPr>
      <w:r>
        <w:t xml:space="preserve">5.3.1 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DAI có hiệu ứng nâng mặt bằng phổ quát (β = +0,172, p &lt; 0,001, mẫu gộp N=82.302 từ 45 nền kinh tế), nhưng vai trò uốn đường cong I-P lại</w:t>
      </w:r>
      <w:r>
        <w:t xml:space="preserve"> </w:t>
      </w:r>
      <w:r>
        <w:rPr>
          <w:bCs/>
          <w:b/>
        </w:rPr>
        <w:t xml:space="preserve">phụ thuộc bối cảnh</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149"/>
    <w:bookmarkStart w:id="150" w:name="X2d492fa0307aa4991837f2d5dc38e247101178c"/>
    <w:p>
      <w:pPr>
        <w:pStyle w:val="Heading3"/>
      </w:pPr>
      <w:r>
        <w:t xml:space="preserve">5.3.2 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150"/>
    <w:bookmarkStart w:id="151" w:name="X7352a2da659179c15b73f9225773fcebe172e9a"/>
    <w:p>
      <w:pPr>
        <w:pStyle w:val="Heading3"/>
      </w:pPr>
      <w:r>
        <w:t xml:space="preserve">5.3.3 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p>
      <w:r>
        <w:pict>
          <v:rect style="width:0;height:1.5pt" o:hralign="center" o:hrstd="t" o:hr="t"/>
        </w:pict>
      </w:r>
    </w:p>
    <w:bookmarkEnd w:id="151"/>
    <w:bookmarkEnd w:id="152"/>
    <w:bookmarkStart w:id="157" w:name="đề-xuất-chính-sách-và-quản-trị"/>
    <w:p>
      <w:pPr>
        <w:pStyle w:val="Heading2"/>
      </w:pPr>
      <w:r>
        <w:t xml:space="preserve">5.4 Đề xuất chính sách và quản trị</w:t>
      </w:r>
    </w:p>
    <w:bookmarkStart w:id="153"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153"/>
    <w:bookmarkStart w:id="154" w:name="X59d919466906d9a280d645023e1878e458893ad"/>
    <w:p>
      <w:pPr>
        <w:pStyle w:val="Heading3"/>
      </w:pPr>
      <w:r>
        <w:t xml:space="preserve">5.4.2 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10"/>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10"/>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10"/>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10"/>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154"/>
    <w:bookmarkStart w:id="155" w:name="X8eb24980ca890fc6da7d7cc40ee5058abf48ce9"/>
    <w:p>
      <w:pPr>
        <w:pStyle w:val="Heading3"/>
      </w:pPr>
      <w:r>
        <w:t xml:space="preserve">5.4.3 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155"/>
    <w:bookmarkStart w:id="156" w:name="Xe9c04ec45c7d98621ecb7c78564ab84a21b4658"/>
    <w:p>
      <w:pPr>
        <w:pStyle w:val="Heading3"/>
      </w:pPr>
      <w:r>
        <w:t xml:space="preserve">5.4.4 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FSTS cấu trúc thường vượt 50-70% tổng doanh thu. Kết quả phân tích Việt Nam gợi ý rằng nhiều doanh nghiệp trong số đó có thể đang ở phía bên kia điểm uốn, tức đang gánh chi phí phối hợp quốc tế mà hiệu quả không tăng tương ứng. Giải pháp không phải là giảm xuất khẩu, bởi không có thị trường nội địa để thay thế, mà là</w:t>
      </w:r>
      <w:r>
        <w:t xml:space="preserve"> </w:t>
      </w:r>
      <w:r>
        <w:rPr>
          <w:bCs/>
          <w:b/>
        </w:rPr>
        <w:t xml:space="preserve">nâng TCI song song</w:t>
      </w:r>
      <w:r>
        <w:t xml:space="preserve"> </w:t>
      </w:r>
      <w:r>
        <w:t xml:space="preserve">nhằm đẩy điểm uốn sang phải, mở rộng biên lợi ích của xuất khẩu.</w:t>
      </w:r>
    </w:p>
    <w:p>
      <w:pPr>
        <w:pStyle w:val="BodyText"/>
      </w:pPr>
      <w:r>
        <w:t xml:space="preserve">Mức</w:t>
      </w:r>
      <w:r>
        <w:t xml:space="preserve"> </w:t>
      </w:r>
      <w:r>
        <w:rPr>
          <w:bCs/>
          <w:b/>
        </w:rPr>
        <w:t xml:space="preserve">DAI Tier-1, đo bằng mức chấp nhận trang web,</w:t>
      </w:r>
      <w:r>
        <w:t xml:space="preserve"> </w:t>
      </w:r>
      <w:r>
        <w:t xml:space="preserve">tại Đồng bằng sông Cửu Long vẫn còn thấp so với trung bình cả nước. phân tích Việt Nam cho thấy DAI Tier-1 đơn thuần không có tác động đáng kể, nhưng bằng chứng từ phân tích Singapore (Tier-1+2) lại cho thấy khi doanh nghiệp nâng lên DAI Tier-2, gồm trang web cùng thanh toán điện tử và kết nối nhà cung ứng số, hiệu ứng điều tiết hiện ra rõ rệt. Đây là cơ sở để ưu tiên các chương trình chuyển đổi số</w:t>
      </w:r>
      <w:r>
        <w:t xml:space="preserve"> </w:t>
      </w:r>
      <w:r>
        <w:rPr>
          <w:bCs/>
          <w:b/>
        </w:rPr>
        <w:t xml:space="preserve">toàn diện</w:t>
      </w:r>
      <w:r>
        <w:t xml:space="preserve">, không dừng ở trang web ở mức nền tảng (Tier-1), mà tiến tới tích hợp thanh toán điện tử và kết nối nhà cung ứng số ở Tier-2, đúng tinh thần Chương trình Chuyển đổi số Quốc gia 2025-2030. Nghiên cứu trên dữ liệu WBES Việt Nam 2023, đợt khảo sát gần nhất, sẽ cung cấp bằng chứng cập nhật hơn cho các hàm ý này.</w:t>
      </w:r>
    </w:p>
    <w:p>
      <w:r>
        <w:pict>
          <v:rect style="width:0;height:1.5pt" o:hralign="center" o:hrstd="t" o:hr="t"/>
        </w:pict>
      </w:r>
    </w:p>
    <w:bookmarkEnd w:id="156"/>
    <w:bookmarkEnd w:id="157"/>
    <w:bookmarkStart w:id="162" w:name="hạn-chế-và-hướng-nghiên-cứu-tương-lai"/>
    <w:p>
      <w:pPr>
        <w:pStyle w:val="Heading2"/>
      </w:pPr>
      <w:r>
        <w:t xml:space="preserve">5.5 Hạn chế và hướng nghiên cứu tương lai</w:t>
      </w:r>
    </w:p>
    <w:bookmarkStart w:id="158" w:name="hạn-chế-về-đo-lường-dai"/>
    <w:p>
      <w:pPr>
        <w:pStyle w:val="Heading3"/>
      </w:pPr>
      <w:r>
        <w:t xml:space="preserve">5.5.1 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158"/>
    <w:bookmarkStart w:id="159" w:name="X9c6addda56cacda8a31e56c0f8a748c29f6b6eb"/>
    <w:p>
      <w:pPr>
        <w:pStyle w:val="Heading3"/>
      </w:pPr>
      <w:r>
        <w:t xml:space="preserve">5.5.2 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159"/>
    <w:bookmarkStart w:id="160" w:name="hạn-chế-về-suy-luận-nhân-quả"/>
    <w:p>
      <w:pPr>
        <w:pStyle w:val="Heading3"/>
      </w:pPr>
      <w:r>
        <w:t xml:space="preserve">5.5.3 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160"/>
    <w:bookmarkStart w:id="161" w:name="hướng-nghiên-cứu-tương-lai"/>
    <w:p>
      <w:pPr>
        <w:pStyle w:val="Heading3"/>
      </w:pPr>
      <w:r>
        <w:t xml:space="preserve">5.5.4 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p>
      <w:r>
        <w:pict>
          <v:rect style="width:0;height:1.5pt" o:hralign="center" o:hrstd="t" o:hr="t"/>
        </w:pict>
      </w:r>
    </w:p>
    <w:bookmarkEnd w:id="161"/>
    <w:bookmarkEnd w:id="162"/>
    <w:bookmarkStart w:id="167" w:name="kết-luận"/>
    <w:p>
      <w:pPr>
        <w:pStyle w:val="Heading2"/>
      </w:pPr>
      <w:r>
        <w:t xml:space="preserve">5.6 Kết luận</w:t>
      </w:r>
    </w:p>
    <w:bookmarkStart w:id="163" w:name="tổng-kết-tám-nghiên-cứu"/>
    <w:p>
      <w:pPr>
        <w:pStyle w:val="Heading3"/>
      </w:pPr>
      <w:r>
        <w:t xml:space="preserve">5.6.1 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11"/>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11"/>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11"/>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11"/>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11"/>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ở tầng 2 và 8,4%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11"/>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11"/>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163"/>
    <w:bookmarkStart w:id="164"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164"/>
    <w:bookmarkStart w:id="165"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xác định ICRV như một yếu tố điều tiết có ý nghĩa.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165"/>
    <w:bookmarkStart w:id="166" w:name="lời-kết"/>
    <w:p>
      <w:pPr>
        <w:pStyle w:val="Heading3"/>
      </w:pPr>
      <w:r>
        <w:t xml:space="preserve">5.6.4 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p>
      <w:r>
        <w:pict>
          <v:rect style="width:0;height:1.5pt" o:hralign="center" o:hrstd="t" o:hr="t"/>
        </w:pict>
      </w:r>
    </w:p>
    <w:bookmarkEnd w:id="166"/>
    <w:bookmarkEnd w:id="167"/>
    <w:bookmarkStart w:id="200" w:name="tài-liệu-tham-khảo-apa-7th"/>
    <w:p>
      <w:pPr>
        <w:pStyle w:val="Heading1"/>
      </w:pPr>
      <w:r>
        <w:t xml:space="preserve">Tài liệu tham khảo — APA 7th</w:t>
      </w:r>
    </w:p>
    <w:p>
      <w:pPr>
        <w:pStyle w:val="FirstParagraph"/>
      </w:pPr>
      <w:r>
        <w:t xml:space="preserve">Danh mục tham khảo cho luận án, sắp xếp theo thứ tự alphabet của tên tác giả đầu tiên theo chuẩn APA 7th. Những tham khảo này được dùng xuyên suốt bốn file</w:t>
      </w:r>
      <w:r>
        <w:t xml:space="preserve"> </w:t>
      </w:r>
      <w:r>
        <w:rPr>
          <w:rStyle w:val="VerbatimChar"/>
        </w:rPr>
        <w:t xml:space="preserve">00</w:t>
      </w:r>
      <w:r>
        <w:t xml:space="preserve">-</w:t>
      </w:r>
      <w:r>
        <w:rPr>
          <w:rStyle w:val="VerbatimChar"/>
        </w:rPr>
        <w:t xml:space="preserve">03</w:t>
      </w:r>
      <w:r>
        <w:t xml:space="preserve"> </w:t>
      </w:r>
      <w:r>
        <w:t xml:space="preserve">và bản thảo luận án.</w:t>
      </w:r>
    </w:p>
    <w:p>
      <w:pPr>
        <w:pStyle w:val="BlockText"/>
      </w:pPr>
      <w:r>
        <w:rPr>
          <w:bCs/>
          <w:b/>
        </w:rPr>
        <w:t xml:space="preserve">Phiên bản 2.0 (06/05/2026)</w:t>
      </w:r>
      <w:r>
        <w:t xml:space="preserve">: Bổ sung 11 entries học thuật mới (Section N) và 7 văn bản pháp lý Việt Nam (Section O).</w:t>
      </w:r>
    </w:p>
    <w:p>
      <w:pPr>
        <w:pStyle w:val="BlockText"/>
      </w:pPr>
      <w:r>
        <w:rPr>
          <w:bCs/>
          <w:b/>
        </w:rPr>
        <w:t xml:space="preserve">Phiên bản 2.1 (06/05/2026 — QW7)</w:t>
      </w:r>
      <w:r>
        <w:t xml:space="preserve">: Bổ sung 5 entries 2026 (IMF/ADB/WBES) và Kiribati/Tonga country profiles. Sửa</w:t>
      </w:r>
      <w:r>
        <w:t xml:space="preserve"> </w:t>
      </w:r>
      <w:r>
        <w:t xml:space="preserve">“</w:t>
      </w:r>
      <w:r>
        <w:t xml:space="preserve">World Bank (n.d.)</w:t>
      </w:r>
      <w:r>
        <w:t xml:space="preserve">”</w:t>
      </w:r>
      <w:r>
        <w:t xml:space="preserve"> </w:t>
      </w:r>
      <w:r>
        <w:t xml:space="preserve">thành</w:t>
      </w:r>
      <w:r>
        <w:t xml:space="preserve"> </w:t>
      </w:r>
      <w:r>
        <w:t xml:space="preserve">“</w:t>
      </w:r>
      <w:r>
        <w:t xml:space="preserve">World Bank Enterprise Surveys (2025)</w:t>
      </w:r>
      <w:r>
        <w:t xml:space="preserve">”</w:t>
      </w:r>
      <w:r>
        <w:t xml:space="preserve"> </w:t>
      </w:r>
      <w:r>
        <w:t xml:space="preserve">theo APA 7th Mục 8.31.</w:t>
      </w:r>
    </w:p>
    <w:p>
      <w:pPr>
        <w:pStyle w:val="BlockText"/>
      </w:pPr>
      <w:r>
        <w:rPr>
          <w:bCs/>
          <w:b/>
        </w:rPr>
        <w:t xml:space="preserve">Phiên bản 2.2 (06/05/2026 — Asia context synthesis)</w:t>
      </w:r>
      <w:r>
        <w:t xml:space="preserve">: Bổ sung 7 entries từ tổng hợp 4 nguồn ADB mới (ABM March 2026, Mongolia Critical Minerals May 2026, AEIR 2016 Highlights) và 3 academic AI-Asia studies (Babina et al. 2024, Wang/Huang/Hong 2024, Anil/Misra 2022). Phục vụ CĐ1 v3.2.</w:t>
      </w:r>
    </w:p>
    <w:p>
      <w:pPr>
        <w:pStyle w:val="BlockText"/>
      </w:pPr>
      <w:r>
        <w:rPr>
          <w:bCs/>
          <w:b/>
        </w:rPr>
        <w:t xml:space="preserve">Phiên bản 2.3 (07/05/2026 — Đợt 2 academic + Asia 2026 catch-up)</w:t>
      </w:r>
      <w:r>
        <w:t xml:space="preserve">: Bổ sung</w:t>
      </w:r>
      <w:r>
        <w:t xml:space="preserve"> </w:t>
      </w:r>
      <w:r>
        <w:rPr>
          <w:bCs/>
          <w:b/>
        </w:rPr>
        <w:t xml:space="preserve">9 entries</w:t>
      </w:r>
      <w:r>
        <w:t xml:space="preserve">: (i) 4 entries academic 2023-2025 từ Đợt 2 reading; (ii) 5 entries Asia 2026 catch-up.</w:t>
      </w:r>
    </w:p>
    <w:p>
      <w:pPr>
        <w:pStyle w:val="BlockText"/>
      </w:pPr>
      <w:r>
        <w:rPr>
          <w:bCs/>
          <w:b/>
        </w:rPr>
        <w:t xml:space="preserve">Phiên bản 2.4 (07/05/2026 — Citation audit APA 7th cho v3.4-v3.7)</w:t>
      </w:r>
      <w:r>
        <w:t xml:space="preserve">: Bổ sung</w:t>
      </w:r>
      <w:r>
        <w:t xml:space="preserve"> </w:t>
      </w:r>
      <w:r>
        <w:rPr>
          <w:bCs/>
          <w:b/>
        </w:rPr>
        <w:t xml:space="preserve">5 verified references</w:t>
      </w:r>
      <w:r>
        <w:t xml:space="preserve"> </w:t>
      </w:r>
      <w:r>
        <w:t xml:space="preserve">(Bello &amp; Kostova 2012 JIBS, Meyer et al. 2017 JIBS, Dunning 1988 JIBS, Williamson 2000 JEL, Aguinis Hill &amp; Bailey 2019 ORM, Malerba &amp; Orsenigo 1995 CJE). 3 audit warnings cho NCS fix.</w:t>
      </w:r>
    </w:p>
    <w:p>
      <w:pPr>
        <w:pStyle w:val="BlockText"/>
      </w:pPr>
      <w:r>
        <w:rPr>
          <w:bCs/>
          <w:b/>
        </w:rPr>
        <w:t xml:space="preserve">Phiên bản 2.6 (10/05/2026 — World Bank Data360 Atlas 2026 + G20 AI FinSupervision)</w:t>
      </w:r>
      <w:r>
        <w:t xml:space="preserve">: Bổ sung</w:t>
      </w:r>
      <w:r>
        <w:t xml:space="preserve"> </w:t>
      </w:r>
      <w:r>
        <w:rPr>
          <w:bCs/>
          <w:b/>
        </w:rPr>
        <w:t xml:space="preserve">Section P mới</w:t>
      </w:r>
      <w:r>
        <w:t xml:space="preserve"> </w:t>
      </w:r>
      <w:r>
        <w:t xml:space="preserve">(5 entries): (i) Pirlea &amp; Corso (2026) internet access digital divide; (ii) Mahler, Wang &amp; Weber (2026) AI inequality; (iii) Pirlea et al. (2026) Atlas of Global Development 2026; (iv) Agnolucci, Kenworthy &amp; Kose (2026) Middle East war thành commodity markets; (v) Boeddu, Feyen et al. (2025) AI for Financial Sector Supervision (G20 report).</w:t>
      </w:r>
    </w:p>
    <w:p>
      <w:pPr>
        <w:pStyle w:val="BlockText"/>
      </w:pPr>
      <w:r>
        <w:rPr>
          <w:bCs/>
          <w:b/>
        </w:rPr>
        <w:t xml:space="preserve">Phiên bản 2.7 (10/05/2026 — Singapore innovation ecosystem 2025/2026)</w:t>
      </w:r>
      <w:r>
        <w:t xml:space="preserve">: Bổ sung</w:t>
      </w:r>
      <w:r>
        <w:t xml:space="preserve"> </w:t>
      </w:r>
      <w:r>
        <w:rPr>
          <w:bCs/>
          <w:b/>
        </w:rPr>
        <w:t xml:space="preserve">Section Q mới</w:t>
      </w:r>
      <w:r>
        <w:t xml:space="preserve"> </w:t>
      </w:r>
      <w:r>
        <w:t xml:space="preserve">(5 entries) phục vụ cập nhật Mục 1.1 và Mục 5.1 của P4 Singapore: (i) Enterprise Singapore (2025) SWITCH 2025; (ii) GovTech Singapore (2024) Digital Government Rankings; (iii) IMDA (2025) ATxSG 2025; (iv) StartupBlink (2025) Global Startup Ecosystem Index; (v) StartupBlink (2026) Innovators Business Environment Index.</w:t>
      </w:r>
    </w:p>
    <w:p>
      <w:pPr>
        <w:pStyle w:val="BlockText"/>
      </w:pPr>
      <w:r>
        <w:rPr>
          <w:bCs/>
          <w:b/>
        </w:rPr>
        <w:t xml:space="preserve">Phiên bản 2.8 (16/05/2026 — Data360 Global Progress Atlas + P8 in-text citations)</w:t>
      </w:r>
      <w:r>
        <w:t xml:space="preserve">: Bổ sung (i) Pirlea et al. (2026)</w:t>
      </w:r>
      <w:r>
        <w:t xml:space="preserve"> </w:t>
      </w:r>
      <w:r>
        <w:t xml:space="preserve">“</w:t>
      </w:r>
      <w:r>
        <w:t xml:space="preserve">Global Progress</w:t>
      </w:r>
      <w:r>
        <w:t xml:space="preserve">”</w:t>
      </w:r>
      <w:r>
        <w:t xml:space="preserve"> </w:t>
      </w:r>
      <w:r>
        <w:t xml:space="preserve">chapter-level entry với URL</w:t>
      </w:r>
      <w:r>
        <w:t xml:space="preserve"> </w:t>
      </w:r>
      <w:r>
        <w:rPr>
          <w:rStyle w:val="VerbatimChar"/>
        </w:rPr>
        <w:t xml:space="preserve">/global-progress</w:t>
      </w:r>
      <w:r>
        <w:t xml:space="preserve"> </w:t>
      </w:r>
      <w:r>
        <w:t xml:space="preserve">(Section P); (ii) in-text citations trong P8 Mục 1 (SIDS development lag) và Mục 3.2 (DAI null context — Mahler et al. 2026). Khatua et al. (2024) APA7 format corrected to advance online publication.</w:t>
      </w:r>
    </w:p>
    <w:p>
      <w:pPr>
        <w:pStyle w:val="BlockText"/>
      </w:pPr>
      <w:r>
        <w:rPr>
          <w:bCs/>
          <w:b/>
        </w:rPr>
        <w:t xml:space="preserve">Phiên bản 2.9 (16/05/2026 — WB Working Papers từ upload 11 PDFs)</w:t>
      </w:r>
      <w:r>
        <w:t xml:space="preserve">: Bổ sung</w:t>
      </w:r>
      <w:r>
        <w:t xml:space="preserve"> </w:t>
      </w:r>
      <w:r>
        <w:rPr>
          <w:bCs/>
          <w:b/>
        </w:rPr>
        <w:t xml:space="preserve">Section T mới</w:t>
      </w:r>
      <w:r>
        <w:t xml:space="preserve"> </w:t>
      </w:r>
      <w:r>
        <w:t xml:space="preserve">(5 entries) từ đánh giá 11 PDFs upload ngày 16/05/2026: (i) Agarwal, Barattieri &amp; Mattoo (2026) WPS11352 — Vietnam firm LP tăng theo export demand shock; (ii) Barattieri, Mattoo &amp; Signoret (2026) WPS11354 — Vietnam trade liberalization thành +2.9%/yr productivity; (iii) Geginat &amp; Ramalho (2015) WPS7460 — electricity quality &amp; firm performance 183 countries (P8/CD1); (iv) Kim, Kumar, Ramalho &amp; Russell (2026) WPS11279 — institutional capacity framework for ICRV (CD2/thesis); (v) Mahler, Serajuddin, Wadhwa &amp; Yonzan (2026) WPS11350 — world slowest development pace 75 yrs, SIDS ≥100 yrs from standards (P8).</w:t>
      </w:r>
      <w:r>
        <w:t xml:space="preserve"> </w:t>
      </w:r>
      <w:r>
        <w:rPr>
          <w:bCs/>
          <w:b/>
        </w:rPr>
        <w:t xml:space="preserve">Disambiguation</w:t>
      </w:r>
      <w:r>
        <w:t xml:space="preserve">:</w:t>
      </w:r>
      <w:r>
        <w:t xml:space="preserve"> </w:t>
      </w:r>
      <w:r>
        <w:t xml:space="preserve">“</w:t>
      </w:r>
      <w:r>
        <w:t xml:space="preserve">Mahler, Serajuddin, Wadhwa &amp; Yonzan (2026)</w:t>
      </w:r>
      <w:r>
        <w:t xml:space="preserve">”</w:t>
      </w:r>
      <w:r>
        <w:t xml:space="preserve"> </w:t>
      </w:r>
      <w:r>
        <w:t xml:space="preserve">= WPS11350 ≠</w:t>
      </w:r>
      <w:r>
        <w:t xml:space="preserve"> </w:t>
      </w:r>
      <w:r>
        <w:t xml:space="preserve">“</w:t>
      </w:r>
      <w:r>
        <w:t xml:space="preserve">Mahler, Wang &amp; Weber (2026)</w:t>
      </w:r>
      <w:r>
        <w:t xml:space="preserve">”</w:t>
      </w:r>
      <w:r>
        <w:t xml:space="preserve"> </w:t>
      </w:r>
      <w:r>
        <w:t xml:space="preserve">= Atlas chapter (Section P). In-text citations added: P3 Mục 5 (Agarwal + Barattieri), P8 Mục 1 (Mahler et al. 2026b), CD2 Mục 3.3 Tầng 3 (Kim et al. 2026).</w:t>
      </w:r>
    </w:p>
    <w:p>
      <w:pPr>
        <w:pStyle w:val="BlockText"/>
      </w:pPr>
      <w:r>
        <w:rPr>
          <w:bCs/>
          <w:b/>
        </w:rPr>
        <w:t xml:space="preserve">Phiên bản 2.5 (07/05/2026 — Vietnamese WBES sources + Vietnam Outlook 2026 + IFC PSD Blueprint)</w:t>
      </w:r>
      <w:r>
        <w:t xml:space="preserve">: Bổ sung</w:t>
      </w:r>
      <w:r>
        <w:t xml:space="preserve"> </w:t>
      </w:r>
      <w:r>
        <w:rPr>
          <w:bCs/>
          <w:b/>
        </w:rPr>
        <w:t xml:space="preserve">4 references mới</w:t>
      </w:r>
      <w:r>
        <w:t xml:space="preserve"> </w:t>
      </w:r>
      <w:r>
        <w:t xml:space="preserve">từ batch upload 5 PDFs (07/05/2026): (i) Section K —</w:t>
      </w:r>
      <w:r>
        <w:t xml:space="preserve"> </w:t>
      </w:r>
      <w:r>
        <w:rPr>
          <w:bCs/>
          <w:b/>
        </w:rPr>
        <w:t xml:space="preserve">ADB (2026, April) Vietnam Economic Outlook 2026</w:t>
      </w:r>
      <w:r>
        <w:t xml:space="preserve"> </w:t>
      </w:r>
      <w:r>
        <w:t xml:space="preserve">(Việt Nam GDP 7,2% 2026 / 7,0% 2027, FDI commitment $2,4B / 18 dự án); (ii) Section K —</w:t>
      </w:r>
      <w:r>
        <w:t xml:space="preserve"> </w:t>
      </w:r>
      <w:r>
        <w:rPr>
          <w:bCs/>
          <w:b/>
        </w:rPr>
        <w:t xml:space="preserve">IFC (n.d.) Private Sector Development Blueprint</w:t>
      </w:r>
      <w:r>
        <w:t xml:space="preserve"> </w:t>
      </w:r>
      <w:r>
        <w:t xml:space="preserve">(3 trụ cột framework + 6 essential public transactions); (iii) Section K —</w:t>
      </w:r>
      <w:r>
        <w:t xml:space="preserve"> </w:t>
      </w:r>
      <w:r>
        <w:rPr>
          <w:bCs/>
          <w:b/>
        </w:rPr>
        <w:t xml:space="preserve">World Bank (2025) Hệ thống phân loại quốc gia FY26 (Vietnamese)</w:t>
      </w:r>
      <w:r>
        <w:t xml:space="preserve"> </w:t>
      </w:r>
      <w:r>
        <w:t xml:space="preserve">(4 income groups + 7 regions + 3 borrowing); (iv) Section K —</w:t>
      </w:r>
      <w:r>
        <w:t xml:space="preserve"> </w:t>
      </w:r>
      <w:r>
        <w:rPr>
          <w:bCs/>
          <w:b/>
        </w:rPr>
        <w:t xml:space="preserve">World Bank (n.d.) Tài liệu tóm tắt chỉ số WBES (Vietnamese)</w:t>
      </w:r>
      <w:r>
        <w:t xml:space="preserve"> </w:t>
      </w:r>
      <w:r>
        <w:t xml:space="preserve">— base cho thuật ngữ Việt chuẩn.</w:t>
      </w:r>
      <w:r>
        <w:t xml:space="preserve"> </w:t>
      </w:r>
      <w:r>
        <w:rPr>
          <w:bCs/>
          <w:b/>
        </w:rPr>
        <w:t xml:space="preserve">RESOLVED Audit Warning 1 v2.4</w:t>
      </w:r>
      <w:r>
        <w:t xml:space="preserve">: Lin &amp; Beamish (2005) thành Lu &amp; Beamish (2004) replacement đã hoàn tất trong file 14 v3.8 (commit e2f8415).</w:t>
      </w:r>
    </w:p>
    <w:p>
      <w:pPr>
        <w:pStyle w:val="BlockText"/>
      </w:pPr>
      <w:r>
        <w:rPr>
          <w:bCs/>
          <w:b/>
        </w:rPr>
        <w:t xml:space="preserve">Note</w:t>
      </w:r>
      <w:r>
        <w:t xml:space="preserve">: Sections A, B, C, E, H, I, J, M, N, O giữ nguyên từ v2.1-v2.4 trừ phần entries mới được đánh dấu</w:t>
      </w:r>
      <w:r>
        <w:t xml:space="preserve"> </w:t>
      </w:r>
      <w:r>
        <w:rPr>
          <w:bCs/>
          <w:b/>
        </w:rPr>
        <w:t xml:space="preserve">(Mới v2.x)</w:t>
      </w:r>
      <w:r>
        <w:t xml:space="preserve">.</w:t>
      </w:r>
    </w:p>
    <w:bookmarkStart w:id="168" w:name="X1ce219aaccc3c8d52177b991e903b9a90c924a4"/>
    <w:p>
      <w:pPr>
        <w:pStyle w:val="Heading2"/>
      </w:pPr>
      <w:r>
        <w:t xml:space="preserve">A. Lý thuyết nền kinh doanh quốc tế (cập nhật v2.4 — bổ sung Bello &amp; Kostova 2012, Meyer et al. 2017, Dunning 1988, Williamson 2000)</w:t>
      </w:r>
    </w:p>
    <w:p>
      <w:pPr>
        <w:pStyle w:val="FirstParagraph"/>
      </w:pPr>
      <w:r>
        <w:t xml:space="preserve">(Giữ nguyên từ v2.1 — Barney 1991, Bell &amp; Pavitt 1995, Bharadwaj et al. 2013, Cohen &amp; Levinthal 1990, Hambrick 2007 và Hambrick &amp; Mason 1984, Johanson &amp; Vahlne 1977 và 2009, Khanna &amp; Palepu 2010, Lall 1992, North 1990, Peng 2001 và 2003, Scott 1995, Teece et al. 1997, Wernerfelt 1984, Zaheer 1995. Tổng 17 entries.)</w:t>
      </w:r>
    </w:p>
    <w:p>
      <w:pPr>
        <w:pStyle w:val="BodyText"/>
      </w:pPr>
      <w:r>
        <w:rPr>
          <w:bCs/>
          <w:b/>
        </w:rPr>
        <w:t xml:space="preserve">Bello, D. C., &amp; Kostova, T. (2012). From the editors: Conducting high impact international business research: The role of theory.</w:t>
      </w:r>
      <w:r>
        <w:rPr>
          <w:bCs/>
          <w:b/>
        </w:rPr>
        <w:t xml:space="preserve"> </w:t>
      </w:r>
      <w:r>
        <w:rPr>
          <w:iCs/>
          <w:i/>
          <w:bCs/>
          <w:b/>
        </w:rPr>
        <w:t xml:space="preserve">Journal of International Business Studies, 43</w:t>
      </w:r>
      <w:r>
        <w:rPr>
          <w:bCs/>
          <w:b/>
        </w:rPr>
        <w:t xml:space="preserve">(6), 537-543.</w:t>
      </w:r>
      <w:r>
        <w:t xml:space="preserve"> </w:t>
      </w:r>
      <w:r>
        <w:t xml:space="preserve">https://doi.org/10.1057/jibs.2012.14</w:t>
      </w:r>
      <w:r>
        <w:t xml:space="preserve"> </w:t>
      </w:r>
      <w:r>
        <w:rPr>
          <w:iCs/>
          <w:i/>
        </w:rPr>
        <w:t xml:space="preserve">(Mới v2.4)</w:t>
      </w:r>
    </w:p>
    <w:p>
      <w:pPr>
        <w:pStyle w:val="BodyText"/>
      </w:pPr>
      <w:r>
        <w:rPr>
          <w:bCs/>
          <w:b/>
        </w:rPr>
        <w:t xml:space="preserve">Dunning, J. H. (1988). The eclectic paradigm of international production: A restatement and some possible extensions.</w:t>
      </w:r>
      <w:r>
        <w:rPr>
          <w:bCs/>
          <w:b/>
        </w:rPr>
        <w:t xml:space="preserve"> </w:t>
      </w:r>
      <w:r>
        <w:rPr>
          <w:iCs/>
          <w:i/>
          <w:bCs/>
          <w:b/>
        </w:rPr>
        <w:t xml:space="preserve">Journal of International Business Studies, 19</w:t>
      </w:r>
      <w:r>
        <w:rPr>
          <w:bCs/>
          <w:b/>
        </w:rPr>
        <w:t xml:space="preserve">(1), 1-31.</w:t>
      </w:r>
      <w:r>
        <w:t xml:space="preserve"> </w:t>
      </w:r>
      <w:r>
        <w:t xml:space="preserve">https://doi.org/10.1057/palgrave.jibs.8490372</w:t>
      </w:r>
      <w:r>
        <w:t xml:space="preserve"> </w:t>
      </w:r>
      <w:r>
        <w:rPr>
          <w:iCs/>
          <w:i/>
        </w:rPr>
        <w:t xml:space="preserve">(Mới v2.4)</w:t>
      </w:r>
    </w:p>
    <w:p>
      <w:pPr>
        <w:pStyle w:val="BodyText"/>
      </w:pPr>
      <w:r>
        <w:rPr>
          <w:bCs/>
          <w:b/>
        </w:rPr>
        <w:t xml:space="preserve">Meyer, K. E., van Witteloostuijn, A., &amp; Beugelsdijk, S. (2017). What’s in a p? Reassessing best practices for conducting and reporting hypothesis-testing research.</w:t>
      </w:r>
      <w:r>
        <w:rPr>
          <w:bCs/>
          <w:b/>
        </w:rPr>
        <w:t xml:space="preserve"> </w:t>
      </w:r>
      <w:r>
        <w:rPr>
          <w:iCs/>
          <w:i/>
          <w:bCs/>
          <w:b/>
        </w:rPr>
        <w:t xml:space="preserve">Journal of International Business Studies, 48</w:t>
      </w:r>
      <w:r>
        <w:rPr>
          <w:bCs/>
          <w:b/>
        </w:rPr>
        <w:t xml:space="preserve">(5), 535-551.</w:t>
      </w:r>
      <w:r>
        <w:t xml:space="preserve"> </w:t>
      </w:r>
      <w:r>
        <w:t xml:space="preserve">https://doi.org/10.1057/s41267-017-0078-8</w:t>
      </w:r>
      <w:r>
        <w:t xml:space="preserve"> </w:t>
      </w:r>
      <w:r>
        <w:rPr>
          <w:iCs/>
          <w:i/>
        </w:rPr>
        <w:t xml:space="preserve">(Mới v2.4)</w:t>
      </w:r>
    </w:p>
    <w:p>
      <w:pPr>
        <w:pStyle w:val="BodyText"/>
      </w:pPr>
      <w:r>
        <w:rPr>
          <w:bCs/>
          <w:b/>
        </w:rPr>
        <w:t xml:space="preserve">Williamson, O. E. (2000). The new institutional economics: Taking stock, looking ahead.</w:t>
      </w:r>
      <w:r>
        <w:rPr>
          <w:bCs/>
          <w:b/>
        </w:rPr>
        <w:t xml:space="preserve"> </w:t>
      </w:r>
      <w:r>
        <w:rPr>
          <w:iCs/>
          <w:i/>
          <w:bCs/>
          <w:b/>
        </w:rPr>
        <w:t xml:space="preserve">Journal of Economic Literature, 38</w:t>
      </w:r>
      <w:r>
        <w:rPr>
          <w:bCs/>
          <w:b/>
        </w:rPr>
        <w:t xml:space="preserve">(3), 595-613.</w:t>
      </w:r>
      <w:r>
        <w:t xml:space="preserve"> </w:t>
      </w:r>
      <w:r>
        <w:t xml:space="preserve">https://doi.org/10.1257/jel.38.3.595</w:t>
      </w:r>
      <w:r>
        <w:t xml:space="preserve"> </w:t>
      </w:r>
      <w:r>
        <w:rPr>
          <w:iCs/>
          <w:i/>
        </w:rPr>
        <w:t xml:space="preserve">(Mới v2.4)</w:t>
      </w:r>
    </w:p>
    <w:bookmarkEnd w:id="168"/>
    <w:bookmarkStart w:id="169" w:name="Xdddc3dd33816a0d15b1ee27292b4b9ce93f0ba7"/>
    <w:p>
      <w:pPr>
        <w:pStyle w:val="Heading2"/>
      </w:pPr>
      <w:r>
        <w:t xml:space="preserve">B. Internationalization-Firm Performance: Foundational empirical</w:t>
      </w:r>
    </w:p>
    <w:p>
      <w:pPr>
        <w:pStyle w:val="FirstParagraph"/>
      </w:pPr>
      <w:r>
        <w:t xml:space="preserve">(Giữ nguyên từ v2.1 — Contractor et al. 2003, Gomes &amp; Ramaswamy 1999, Grant 1987, Hitt et al. 1997 và 2006, Kim et al. 1989, Lu &amp; Beamish 2004, Sullivan 1994. Tổng 8 entries.)</w:t>
      </w:r>
    </w:p>
    <w:p>
      <w:pPr>
        <w:pStyle w:val="BlockText"/>
      </w:pPr>
      <w:r>
        <w:rPr>
          <w:bCs/>
          <w:b/>
        </w:rPr>
        <w:t xml:space="preserve">RESOLVED v2.5 — Audit Warning 1</w:t>
      </w:r>
      <w:r>
        <w:t xml:space="preserve">: Lin &amp; Beamish (2005) thành Lu &amp; Beamish (2004) replacement đã hoàn tất trong file 14 v3.8 (commit e2f8415, 07/05/2026): 4 occurrences trong Mục 1.1, Mục 2.6, Bảng 2.6.1 đã updated. Lu &amp; Beamish (2004) AMJ S-curve DOI 10.2307/20159604 đã có sẵn Section B từ v2.1.</w:t>
      </w:r>
    </w:p>
    <w:bookmarkEnd w:id="169"/>
    <w:bookmarkStart w:id="170" w:name="c.-meta-analyses-về-i-p-relationship"/>
    <w:p>
      <w:pPr>
        <w:pStyle w:val="Heading2"/>
      </w:pPr>
      <w:r>
        <w:t xml:space="preserve">C. Meta-analyses về I-P relationship</w:t>
      </w:r>
    </w:p>
    <w:p>
      <w:pPr>
        <w:pStyle w:val="FirstParagraph"/>
      </w:pPr>
      <w:r>
        <w:t xml:space="preserve">(Giữ nguyên từ v2.1 — Arte &amp; Larimo 2022, Bausch &amp; Krist 2007, Kirca et al. 2012, Marano et al. 2016, Schwens et al. 2018, Wu, Fan &amp; Chen 2022. Tổng 6 entries.)</w:t>
      </w:r>
    </w:p>
    <w:bookmarkEnd w:id="170"/>
    <w:bookmarkStart w:id="171" w:name="X9097ee1fea4d56edd2b99c3d71a4a615432cf1f"/>
    <w:p>
      <w:pPr>
        <w:pStyle w:val="Heading2"/>
      </w:pPr>
      <w:r>
        <w:t xml:space="preserve">D. Recent IB literature 2019-2025 (cập nhật v2.3 — bổ sung Xu 2024 GSJ + Kafouros 2023 GSJ)</w:t>
      </w:r>
    </w:p>
    <w:p>
      <w:pPr>
        <w:pStyle w:val="FirstParagraph"/>
      </w:pPr>
      <w:r>
        <w:t xml:space="preserve">Arbelo, A., Arbelo-Pérez, M., &amp; Pérez-Gómez, P. (2024). Internationalization and individual firm performance: A resource-based view.</w:t>
      </w:r>
      <w:r>
        <w:t xml:space="preserve"> </w:t>
      </w:r>
      <w:r>
        <w:rPr>
          <w:iCs/>
          <w:i/>
        </w:rPr>
        <w:t xml:space="preserve">Eurasian Business Review, 14</w:t>
      </w:r>
      <w:r>
        <w:t xml:space="preserve">(4), 881-915.</w:t>
      </w:r>
    </w:p>
    <w:p>
      <w:pPr>
        <w:pStyle w:val="BodyText"/>
      </w:pPr>
      <w:r>
        <w:t xml:space="preserve">Babina, T., Fedyk, A., He, A., &amp; Hodson, J. (2024). Artificial intelligence, firm growth, and product innovation.</w:t>
      </w:r>
      <w:r>
        <w:t xml:space="preserve"> </w:t>
      </w:r>
      <w:r>
        <w:rPr>
          <w:iCs/>
          <w:i/>
        </w:rPr>
        <w:t xml:space="preserve">Journal of Financial Economics, 151</w:t>
      </w:r>
      <w:r>
        <w:t xml:space="preserve">, 103745.</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 https://doi.org/10.1002/gsj.1412</w:t>
      </w:r>
    </w:p>
    <w:p>
      <w:pPr>
        <w:pStyle w:val="BodyText"/>
      </w:pPr>
      <w:r>
        <w:rPr>
          <w:bCs/>
          <w:b/>
        </w:rPr>
        <w:t xml:space="preserve">Kafouros, M., Aliyev, M., Piperopoulos, P., Au, A. K. M., Ho, J. W. Y., &amp; Wong, S. Y. N. (2023). The role of institutional quality and industry dynamism in explaining firm performance in emerging economies.</w:t>
      </w:r>
      <w:r>
        <w:rPr>
          <w:bCs/>
          <w:b/>
        </w:rPr>
        <w:t xml:space="preserve"> </w:t>
      </w:r>
      <w:r>
        <w:rPr>
          <w:iCs/>
          <w:i/>
          <w:bCs/>
          <w:b/>
        </w:rPr>
        <w:t xml:space="preserve">Global Strategy Journal, 14</w:t>
      </w:r>
      <w:r>
        <w:rPr>
          <w:bCs/>
          <w:b/>
        </w:rPr>
        <w:t xml:space="preserve">(1), 56-83.</w:t>
      </w:r>
      <w:r>
        <w:t xml:space="preserve"> </w:t>
      </w:r>
      <w:r>
        <w:t xml:space="preserve">https://doi.org/10.1002/gsj.1479</w:t>
      </w:r>
      <w:r>
        <w:t xml:space="preserve"> </w:t>
      </w:r>
      <w:r>
        <w:rPr>
          <w:iCs/>
          <w:i/>
        </w:rPr>
        <w:t xml:space="preserve">(Mới v2.3 — Kafouros et al. CEE 12.888 firms; H1 tech dynamism positive interaction; H2 market dynamism negative; 3 mechanisms.)</w:t>
      </w:r>
    </w:p>
    <w:p>
      <w:pPr>
        <w:pStyle w:val="BodyText"/>
      </w:pPr>
      <w:r>
        <w:t xml:space="preserve">Nath, P., Kirca, A. H., &amp; Kim, S. (2021). A study of the internationalization-performance relationship in global retailing.</w:t>
      </w:r>
      <w:r>
        <w:t xml:space="preserve"> </w:t>
      </w:r>
      <w:r>
        <w:rPr>
          <w:iCs/>
          <w:i/>
        </w:rPr>
        <w:t xml:space="preserve">Journal of International Marketing, 29</w:t>
      </w:r>
      <w:r>
        <w:t xml:space="preserve">(1), 57-76.</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rPr>
          <w:bCs/>
          <w:b/>
        </w:rPr>
        <w:t xml:space="preserve">Xu, J. (2024). Rethinking institutional arbitrage: De jure exposure and de facto enforcement.</w:t>
      </w:r>
      <w:r>
        <w:rPr>
          <w:bCs/>
          <w:b/>
        </w:rPr>
        <w:t xml:space="preserve"> </w:t>
      </w:r>
      <w:r>
        <w:rPr>
          <w:iCs/>
          <w:i/>
          <w:bCs/>
          <w:b/>
        </w:rPr>
        <w:t xml:space="preserve">Global Strategy Journal, 14</w:t>
      </w:r>
      <w:r>
        <w:rPr>
          <w:bCs/>
          <w:b/>
        </w:rPr>
        <w:t xml:space="preserve">(4), 754-799.</w:t>
      </w:r>
      <w:r>
        <w:t xml:space="preserve"> </w:t>
      </w:r>
      <w:r>
        <w:t xml:space="preserve">https://doi.org/10.1002/gsj.1510</w:t>
      </w:r>
      <w:r>
        <w:t xml:space="preserve"> </w:t>
      </w:r>
      <w:r>
        <w:rPr>
          <w:iCs/>
          <w:i/>
        </w:rPr>
        <w:t xml:space="preserve">(Mới v2.3 — 3.331 US-listed firms 82 nước; phân tách de jure exposure vs de facto enforcement.)</w:t>
      </w:r>
    </w:p>
    <w:bookmarkEnd w:id="171"/>
    <w:bookmarkStart w:id="172" w:name="X5943e13ebd761ed89df86a9d940a6ae7a0dd948"/>
    <w:p>
      <w:pPr>
        <w:pStyle w:val="Heading2"/>
      </w:pPr>
      <w:r>
        <w:t xml:space="preserve">E. Top management và leadership (cập nhật v2.3)</w:t>
      </w:r>
    </w:p>
    <w:p>
      <w:pPr>
        <w:pStyle w:val="FirstParagraph"/>
      </w:pPr>
      <w:r>
        <w:t xml:space="preserve">(Giữ nguyên từ v2.1 — Hsu et al. 2013, Post &amp; Byron 2015, Sambharya 1996.)</w:t>
      </w:r>
    </w:p>
    <w:p>
      <w:pPr>
        <w:pStyle w:val="BodyText"/>
      </w:pPr>
      <w:r>
        <w:rPr>
          <w:bCs/>
          <w:b/>
        </w:rPr>
        <w:t xml:space="preserve">Al-Najjar, B., Salama, A., &amp; Abed, A. (2025). Gender and cultural diversity on boards: Their impact on internationalisation.</w:t>
      </w:r>
      <w:r>
        <w:rPr>
          <w:bCs/>
          <w:b/>
        </w:rPr>
        <w:t xml:space="preserve"> </w:t>
      </w:r>
      <w:r>
        <w:rPr>
          <w:iCs/>
          <w:i/>
          <w:bCs/>
          <w:b/>
        </w:rPr>
        <w:t xml:space="preserve">The International Journal of Human Resource Management, 36</w:t>
      </w:r>
      <w:r>
        <w:rPr>
          <w:bCs/>
          <w:b/>
        </w:rPr>
        <w:t xml:space="preserve">(13), 2305-2341.</w:t>
      </w:r>
      <w:r>
        <w:t xml:space="preserve"> </w:t>
      </w:r>
      <w:r>
        <w:t xml:space="preserve">https://doi.org/10.1080/09585192.2025.2550765</w:t>
      </w:r>
      <w:r>
        <w:t xml:space="preserve"> </w:t>
      </w:r>
      <w:r>
        <w:rPr>
          <w:iCs/>
          <w:i/>
        </w:rPr>
        <w:t xml:space="preserve">(Mới v2.3)</w:t>
      </w:r>
    </w:p>
    <w:p>
      <w:pPr>
        <w:pStyle w:val="BodyText"/>
      </w:pPr>
      <w:r>
        <w:rPr>
          <w:bCs/>
          <w:b/>
        </w:rPr>
        <w:t xml:space="preserve">Gallegos Mardones, J., &amp; Ibáñez, M. J. (2025). Women’s participation in top management business positions and the internationalization process: Evidence for Chilean companies.</w:t>
      </w:r>
      <w:r>
        <w:rPr>
          <w:bCs/>
          <w:b/>
        </w:rPr>
        <w:t xml:space="preserve"> </w:t>
      </w:r>
      <w:r>
        <w:rPr>
          <w:iCs/>
          <w:i/>
          <w:bCs/>
          <w:b/>
        </w:rPr>
        <w:t xml:space="preserve">SAGE Open, 15</w:t>
      </w:r>
      <w:r>
        <w:rPr>
          <w:bCs/>
          <w:b/>
        </w:rPr>
        <w:t xml:space="preserve">(2), 1-17.</w:t>
      </w:r>
      <w:r>
        <w:t xml:space="preserve"> </w:t>
      </w:r>
      <w:r>
        <w:t xml:space="preserve">https://doi.org/10.1177/21582440251335079</w:t>
      </w:r>
      <w:r>
        <w:t xml:space="preserve"> </w:t>
      </w:r>
      <w:r>
        <w:rPr>
          <w:iCs/>
          <w:i/>
        </w:rPr>
        <w:t xml:space="preserve">(Mới v2.3)</w:t>
      </w:r>
    </w:p>
    <w:bookmarkEnd w:id="172"/>
    <w:bookmarkStart w:id="173" w:name="f.-china-specific-research-cập-nhật-v2.2"/>
    <w:p>
      <w:pPr>
        <w:pStyle w:val="Heading2"/>
      </w:pPr>
      <w:r>
        <w:t xml:space="preserve">F. China-specific research (cập nhật v2.2)</w:t>
      </w:r>
    </w:p>
    <w:p>
      <w:pPr>
        <w:pStyle w:val="FirstParagraph"/>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p>
      <w:pPr>
        <w:pStyle w:val="BodyText"/>
      </w:pPr>
      <w:r>
        <w:t xml:space="preserve">Li, W., Li, C., &amp; Wei, G. (2022). The dual mechanism of social networks on the relationship between internationalization and firm performance.</w:t>
      </w:r>
      <w:r>
        <w:t xml:space="preserve"> </w:t>
      </w:r>
      <w:r>
        <w:rPr>
          <w:iCs/>
          <w:i/>
        </w:rPr>
        <w:t xml:space="preserve">PLOS ONE, 17</w:t>
      </w:r>
      <w:r>
        <w:t xml:space="preserve">(11), e0277421.</w:t>
      </w:r>
    </w:p>
    <w:p>
      <w:pPr>
        <w:pStyle w:val="BodyText"/>
      </w:pPr>
      <w:r>
        <w:t xml:space="preserve">Liu, X., &amp; Zhang, H. (2024). How geopolitical risk affects firms’ internationalization performance: Evidence from China.</w:t>
      </w:r>
      <w:r>
        <w:t xml:space="preserve"> </w:t>
      </w:r>
      <w:r>
        <w:rPr>
          <w:iCs/>
          <w:i/>
        </w:rPr>
        <w:t xml:space="preserve">Heliyon, 10</w:t>
      </w:r>
      <w:r>
        <w:t xml:space="preserve">(6), e27512.</w:t>
      </w:r>
    </w:p>
    <w:p>
      <w:pPr>
        <w:pStyle w:val="BodyText"/>
      </w:pPr>
      <w:r>
        <w:t xml:space="preserve">Wang, L., Huang, Y., &amp; Hong, Z. (2024). Digitalization as a double-edged sword: A deep learning analysis of risk management in Chinese banks.</w:t>
      </w:r>
      <w:r>
        <w:t xml:space="preserve"> </w:t>
      </w:r>
      <w:r>
        <w:rPr>
          <w:iCs/>
          <w:i/>
        </w:rPr>
        <w:t xml:space="preserve">International Review of Financial Analysis, 94</w:t>
      </w:r>
      <w:r>
        <w:t xml:space="preserve">, 103249.</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p>
      <w:pPr>
        <w:pStyle w:val="BodyText"/>
      </w:pPr>
      <w:r>
        <w:t xml:space="preserve">Zhang, Y., &amp; Wei, J. (2022). The impact of the internationalization of China’s new retail industry on corporate performance.</w:t>
      </w:r>
      <w:r>
        <w:t xml:space="preserve"> </w:t>
      </w:r>
      <w:r>
        <w:rPr>
          <w:iCs/>
          <w:i/>
        </w:rPr>
        <w:t xml:space="preserve">PLOS ONE, 17</w:t>
      </w:r>
      <w:r>
        <w:t xml:space="preserve">(2), e0262891.</w:t>
      </w:r>
    </w:p>
    <w:bookmarkEnd w:id="173"/>
    <w:bookmarkStart w:id="174" w:name="g.-asianemne-empirical-cập-nhật-v2.3"/>
    <w:p>
      <w:pPr>
        <w:pStyle w:val="Heading2"/>
      </w:pPr>
      <w:r>
        <w:t xml:space="preserve">G. Asian/EMNE empirical (cập nhật v2.3)</w:t>
      </w:r>
    </w:p>
    <w:p>
      <w:pPr>
        <w:pStyle w:val="FirstParagraph"/>
      </w:pPr>
      <w:r>
        <w:t xml:space="preserve">Anil, K., &amp; Misra, A. (2022). Artificial intelligence in peer-to-peer lending in India: A cross-case analysis.</w:t>
      </w:r>
      <w:r>
        <w:t xml:space="preserve"> </w:t>
      </w:r>
      <w:r>
        <w:rPr>
          <w:iCs/>
          <w:i/>
        </w:rPr>
        <w:t xml:space="preserve">International Journal of Emerging Markets, 17</w:t>
      </w:r>
      <w:r>
        <w:t xml:space="preserve">(4), 1085-1106.</w:t>
      </w:r>
    </w:p>
    <w:p>
      <w:pPr>
        <w:pStyle w:val="BodyText"/>
      </w:pPr>
      <w:r>
        <w:t xml:space="preserve">Ayyagari, M., Demirgüç-Kunt, A., &amp; Maksimovic, V. (2011). Firm innovation in emerging markets.</w:t>
      </w:r>
      <w:r>
        <w:t xml:space="preserve"> </w:t>
      </w:r>
      <w:r>
        <w:rPr>
          <w:iCs/>
          <w:i/>
        </w:rPr>
        <w:t xml:space="preserve">Journal of Financial and Quantitative Analysis, 46</w:t>
      </w:r>
      <w:r>
        <w:t xml:space="preserve">(6), 1545-1580.</w:t>
      </w:r>
    </w:p>
    <w:p>
      <w:pPr>
        <w:pStyle w:val="BodyText"/>
      </w:pPr>
      <w:r>
        <w:rPr>
          <w:bCs/>
          <w:b/>
        </w:rPr>
        <w:t xml:space="preserve">Cazzaniga, M., Jaumotte, F., Li, L., Melina, G., Panton, A. J., Pizzinelli, C., Rockall, E., &amp; Tavares, M. M. (2024). Gen-AI: Artificial intelligence and the future of work.</w:t>
      </w:r>
      <w:r>
        <w:rPr>
          <w:bCs/>
          <w:b/>
        </w:rPr>
        <w:t xml:space="preserve"> </w:t>
      </w:r>
      <w:r>
        <w:rPr>
          <w:iCs/>
          <w:i/>
          <w:bCs/>
          <w:b/>
        </w:rPr>
        <w:t xml:space="preserve">IMF Staff Discussion Note</w:t>
      </w:r>
      <w:r>
        <w:rPr>
          <w:bCs/>
          <w:b/>
        </w:rPr>
        <w:t xml:space="preserve">, SDN/2024/001.</w:t>
      </w:r>
      <w:r>
        <w:t xml:space="preserve"> </w:t>
      </w:r>
      <w:r>
        <w:t xml:space="preserve">International Monetary Fund.</w:t>
      </w:r>
      <w:r>
        <w:t xml:space="preserve"> </w:t>
      </w:r>
      <w:r>
        <w:rPr>
          <w:iCs/>
          <w:i/>
        </w:rPr>
        <w:t xml:space="preserve">(Mới v2.3 — AIPI framework)</w:t>
      </w:r>
    </w:p>
    <w:p>
      <w:pPr>
        <w:pStyle w:val="BodyText"/>
      </w:pPr>
      <w:r>
        <w:t xml:space="preserve">Likitwongkajon, N., &amp; Vithessonthi, C. (2020). Do foreign investments increase firm value and firm performance? Evidence from Japan.</w:t>
      </w:r>
      <w:r>
        <w:t xml:space="preserve"> </w:t>
      </w:r>
      <w:r>
        <w:rPr>
          <w:iCs/>
          <w:i/>
        </w:rPr>
        <w:t xml:space="preserve">Research in International Business and Finance, 51</w:t>
      </w:r>
      <w:r>
        <w:t xml:space="preserve">, 101099.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Mondal, A., Ray, S., &amp; Lahiri, S. (2022). Internationalization and performance of family firms.</w:t>
      </w:r>
      <w:r>
        <w:t xml:space="preserve"> </w:t>
      </w:r>
      <w:r>
        <w:rPr>
          <w:iCs/>
          <w:i/>
        </w:rPr>
        <w:t xml:space="preserve">Journal of Business Research, 138</w:t>
      </w:r>
      <w:r>
        <w:t xml:space="preserve">, 280-294.</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p>
    <w:p>
      <w:pPr>
        <w:pStyle w:val="BodyText"/>
      </w:pPr>
      <w:r>
        <w:rPr>
          <w:bCs/>
          <w:b/>
        </w:rPr>
        <w:t xml:space="preserve">Sikdar, S., &amp; Mukhopadhyay, A. (2026). Productivity gains in Indian manufacturing: Insights from formal and informal sectors.</w:t>
      </w:r>
      <w:r>
        <w:rPr>
          <w:bCs/>
          <w:b/>
        </w:rPr>
        <w:t xml:space="preserve"> </w:t>
      </w:r>
      <w:r>
        <w:rPr>
          <w:iCs/>
          <w:i/>
          <w:bCs/>
          <w:b/>
        </w:rPr>
        <w:t xml:space="preserve">Asian Development Review, 43</w:t>
      </w:r>
      <w:r>
        <w:rPr>
          <w:bCs/>
          <w:b/>
        </w:rPr>
        <w:t xml:space="preserve">(1), Article 12.</w:t>
      </w:r>
      <w:r>
        <w:t xml:space="preserve"> </w:t>
      </w:r>
      <w:r>
        <w:t xml:space="preserve">Asian Development Bank.</w:t>
      </w:r>
      <w:r>
        <w:t xml:space="preserve"> </w:t>
      </w:r>
      <w:r>
        <w:rPr>
          <w:iCs/>
          <w:i/>
        </w:rPr>
        <w:t xml:space="preserve">(Mới v2.3)</w:t>
      </w:r>
    </w:p>
    <w:bookmarkEnd w:id="174"/>
    <w:bookmarkStart w:id="175" w:name="h.-firm-performance-đa-chiều"/>
    <w:p>
      <w:pPr>
        <w:pStyle w:val="Heading2"/>
      </w:pPr>
      <w:r>
        <w:t xml:space="preserve">H. Firm performance đa chiều</w:t>
      </w:r>
    </w:p>
    <w:p>
      <w:pPr>
        <w:pStyle w:val="FirstParagraph"/>
      </w:pPr>
      <w:r>
        <w:t xml:space="preserve">(Giữ nguyên từ v2.1.)</w:t>
      </w:r>
    </w:p>
    <w:bookmarkEnd w:id="175"/>
    <w:bookmarkStart w:id="176" w:name="i.-productivity-literature"/>
    <w:p>
      <w:pPr>
        <w:pStyle w:val="Heading2"/>
      </w:pPr>
      <w:r>
        <w:t xml:space="preserve">I. Productivity literature</w:t>
      </w:r>
    </w:p>
    <w:p>
      <w:pPr>
        <w:pStyle w:val="FirstParagraph"/>
      </w:pPr>
      <w:r>
        <w:t xml:space="preserve">(Giữ nguyên từ v2.1 — Bloom, Sadun &amp; Van Reenen 2012; Cusolito &amp; Maloney 2018; Hsieh &amp; Klenow 2009 và 2014.)</w:t>
      </w:r>
    </w:p>
    <w:bookmarkEnd w:id="176"/>
    <w:bookmarkStart w:id="177" w:name="X7621949d30e744d6874048fecb1435cd5e216fd"/>
    <w:p>
      <w:pPr>
        <w:pStyle w:val="Heading2"/>
      </w:pPr>
      <w:r>
        <w:t xml:space="preserve">J. Phương pháp meta-analysis và kinh tế lượng (cập nhật v2.4)</w:t>
      </w:r>
    </w:p>
    <w:p>
      <w:pPr>
        <w:pStyle w:val="FirstParagraph"/>
      </w:pPr>
      <w:r>
        <w:t xml:space="preserve">(Giữ nguyên từ v2.1 — 21 entries gồm Aguinis et al. 2011, Aiken &amp; West 1991, Aterido et al. 2011, Avenyo et al. 2021, Begg &amp; Mazumdar 1994, Borenstein et al. 2009, Breusch &amp; Pagan 1979, Coltman et al. 2008, Dawson 2014, Duval &amp; Tweedie 2000, Egger et al. 1997, Haans et al. 2016, Hair et al. 2019, Higgins et al. 2003, Hunter &amp; Schmidt 2004, Kaufmann et al. 2011, Lind &amp; Mehlum 2010, Long &amp; Ervin 2000, Page et al. 2021, Pierce &amp; Aguinis 2013, White 1980.)</w:t>
      </w:r>
    </w:p>
    <w:p>
      <w:pPr>
        <w:pStyle w:val="BodyText"/>
      </w:pPr>
      <w:r>
        <w:rPr>
          <w:bCs/>
          <w:b/>
        </w:rPr>
        <w:t xml:space="preserve">Aguinis, H., Hill, N. S., &amp; Bailey, J. R. (2019). Best practices in data collection and preparation: Recommendations for reviewers, editors, and authors.</w:t>
      </w:r>
      <w:r>
        <w:rPr>
          <w:bCs/>
          <w:b/>
        </w:rPr>
        <w:t xml:space="preserve"> </w:t>
      </w:r>
      <w:r>
        <w:rPr>
          <w:iCs/>
          <w:i/>
          <w:bCs/>
          <w:b/>
        </w:rPr>
        <w:t xml:space="preserve">Organizational Research Methods, 24</w:t>
      </w:r>
      <w:r>
        <w:rPr>
          <w:bCs/>
          <w:b/>
        </w:rPr>
        <w:t xml:space="preserve">(4), 678-693.</w:t>
      </w:r>
      <w:r>
        <w:t xml:space="preserve"> </w:t>
      </w:r>
      <w:r>
        <w:t xml:space="preserve">https://doi.org/10.1177/1094428119836485</w:t>
      </w:r>
      <w:r>
        <w:t xml:space="preserve"> </w:t>
      </w:r>
      <w:r>
        <w:rPr>
          <w:iCs/>
          <w:i/>
        </w:rPr>
        <w:t xml:space="preserve">(Mới v2.4 — 12-point data section transparency framework.)</w:t>
      </w:r>
    </w:p>
    <w:bookmarkEnd w:id="177"/>
    <w:bookmarkStart w:id="178" w:name="X671f5c1355043217bd04f1f91c41f74e5ebb142"/>
    <w:p>
      <w:pPr>
        <w:pStyle w:val="Heading2"/>
      </w:pPr>
      <w:r>
        <w:t xml:space="preserve">K. WBES references và báo cáo Việt Nam (cập nhật v2.5 — bổ sung 4 entries từ batch upload 5 PDFs 07/05/2026)</w:t>
      </w:r>
    </w:p>
    <w:p>
      <w:pPr>
        <w:pStyle w:val="FirstParagraph"/>
      </w:pPr>
      <w:r>
        <w:t xml:space="preserve">CIEM. (2023).</w:t>
      </w:r>
      <w:r>
        <w:t xml:space="preserve"> </w:t>
      </w:r>
      <w:r>
        <w:rPr>
          <w:iCs/>
          <w:i/>
        </w:rPr>
        <w:t xml:space="preserve">Báo cáo Năng lực cạnh tranh và hiệu quả doanh nghiệp Việt Nam 2023</w:t>
      </w:r>
      <w:r>
        <w:t xml:space="preserve"> </w:t>
      </w:r>
      <w:r>
        <w:t xml:space="preserve">[Central Institute for Economic Management]. Nhà xuất bản Khoa học và Kỹ thuật.</w:t>
      </w:r>
    </w:p>
    <w:p>
      <w:pPr>
        <w:pStyle w:val="BodyText"/>
      </w:pPr>
      <w:r>
        <w:t xml:space="preserve">Tran, T. B., &amp; Pham, T. H. (2024). Tác động của FDI đến năng suất doanh nghiệp Việt Nam: Phân tích đa thế hệ điều tra.</w:t>
      </w:r>
      <w:r>
        <w:t xml:space="preserve"> </w:t>
      </w:r>
      <w:r>
        <w:rPr>
          <w:iCs/>
          <w:i/>
        </w:rPr>
        <w:t xml:space="preserve">Tạp chí Kinh tế và Phát triển, 311</w:t>
      </w:r>
      <w:r>
        <w:t xml:space="preserve">, 24-38.</w:t>
      </w:r>
    </w:p>
    <w:p>
      <w:pPr>
        <w:pStyle w:val="BodyText"/>
      </w:pPr>
      <w:r>
        <w:t xml:space="preserve">World Bank Enterprise Surveys. (2025).</w:t>
      </w:r>
      <w:r>
        <w:t xml:space="preserve"> </w:t>
      </w:r>
      <w:r>
        <w:rPr>
          <w:iCs/>
          <w:i/>
        </w:rPr>
        <w:t xml:space="preserve">Enterprise Surveys: What businesses experience</w:t>
      </w:r>
      <w:r>
        <w:t xml:space="preserve">. The World Bank. https://www.enterprisesurveys.org/en/enterprisesurveys</w:t>
      </w:r>
    </w:p>
    <w:p>
      <w:pPr>
        <w:pStyle w:val="BodyText"/>
      </w:pPr>
      <w:r>
        <w:t xml:space="preserve">World Bank. (2019).</w:t>
      </w:r>
      <w:r>
        <w:t xml:space="preserve"> </w:t>
      </w:r>
      <w:r>
        <w:rPr>
          <w:iCs/>
          <w:i/>
        </w:rPr>
        <w:t xml:space="preserve">Understanding the questionnaire: Enterprise Survey questionnaire manual</w:t>
      </w:r>
      <w:r>
        <w:t xml:space="preserve">. World Bank Enterprise Surveys.</w:t>
      </w:r>
    </w:p>
    <w:p>
      <w:pPr>
        <w:pStyle w:val="BodyText"/>
      </w:pPr>
      <w:r>
        <w:t xml:space="preserve">World Bank. (2023).</w:t>
      </w:r>
      <w:r>
        <w:t xml:space="preserve"> </w:t>
      </w:r>
      <w:r>
        <w:rPr>
          <w:iCs/>
          <w:i/>
        </w:rPr>
        <w:t xml:space="preserve">Vietnam 2023 Enterprise Surveys country profile</w:t>
      </w:r>
      <w:r>
        <w:t xml:space="preserve">. World Bank Enterprise Surveys.</w:t>
      </w:r>
    </w:p>
    <w:p>
      <w:pPr>
        <w:pStyle w:val="BodyText"/>
      </w:pPr>
      <w:r>
        <w:t xml:space="preserve">World Bank. (2024).</w:t>
      </w:r>
      <w:r>
        <w:t xml:space="preserve"> </w:t>
      </w:r>
      <w:r>
        <w:rPr>
          <w:iCs/>
          <w:i/>
        </w:rPr>
        <w:t xml:space="preserve">Mongolia Economic Update: Towards diversified growth</w:t>
      </w:r>
      <w:r>
        <w:t xml:space="preserve">. World Bank.</w:t>
      </w:r>
    </w:p>
    <w:p>
      <w:pPr>
        <w:pStyle w:val="BodyText"/>
      </w:pPr>
      <w:r>
        <w:t xml:space="preserve">World Bank. (2024, December).</w:t>
      </w:r>
      <w:r>
        <w:t xml:space="preserve"> </w:t>
      </w:r>
      <w:r>
        <w:rPr>
          <w:iCs/>
          <w:i/>
        </w:rPr>
        <w:t xml:space="preserve">Tonga 2024 Enterprise Surveys country profile</w:t>
      </w:r>
      <w:r>
        <w:t xml:space="preserve">. World Bank Enterprise Surveys.</w:t>
      </w:r>
    </w:p>
    <w:p>
      <w:pPr>
        <w:pStyle w:val="BodyText"/>
      </w:pPr>
      <w:r>
        <w:t xml:space="preserve">World Bank. (2025, December).</w:t>
      </w:r>
      <w:r>
        <w:t xml:space="preserve"> </w:t>
      </w:r>
      <w:r>
        <w:rPr>
          <w:iCs/>
          <w:i/>
        </w:rPr>
        <w:t xml:space="preserve">Kiribati 2025 Enterprise Surveys country profile</w:t>
      </w:r>
      <w:r>
        <w:t xml:space="preserve">. World Bank Enterprise Surveys.</w:t>
      </w:r>
    </w:p>
    <w:p>
      <w:pPr>
        <w:pStyle w:val="BodyText"/>
      </w:pPr>
      <w:r>
        <w:t xml:space="preserve">World Bank. (2026).</w:t>
      </w:r>
      <w:r>
        <w:t xml:space="preserve"> </w:t>
      </w:r>
      <w:r>
        <w:rPr>
          <w:iCs/>
          <w:i/>
        </w:rPr>
        <w:t xml:space="preserve">Indicator descriptions</w:t>
      </w:r>
      <w:r>
        <w:t xml:space="preserve">. World Bank Enterprise Surveys.</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(2025d, December).</w:t>
      </w:r>
      <w:r>
        <w:t xml:space="preserve"> </w:t>
      </w:r>
      <w:r>
        <w:rPr>
          <w:iCs/>
          <w:i/>
        </w:rPr>
        <w:t xml:space="preserve">Korea global digital knowledge center</w:t>
      </w:r>
      <w:r>
        <w:t xml:space="preserve">. World Bank Group.</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rPr>
          <w:bCs/>
          <w:b/>
        </w:rPr>
        <w:t xml:space="preserve">World Bank. (n.d.).</w:t>
      </w:r>
      <w:r>
        <w:rPr>
          <w:bCs/>
          <w:b/>
        </w:rPr>
        <w:t xml:space="preserve"> </w:t>
      </w:r>
      <w:r>
        <w:rPr>
          <w:iCs/>
          <w:i/>
          <w:bCs/>
          <w:b/>
        </w:rPr>
        <w:t xml:space="preserve">Tài liệu tóm tắt: Các chỉ số khảo sát doanh nghiệp Enterprise Surveys</w:t>
      </w:r>
      <w:r>
        <w:rPr>
          <w:bCs/>
          <w:b/>
        </w:rPr>
        <w:t xml:space="preserve"> </w:t>
      </w:r>
      <w:r>
        <w:rPr>
          <w:bCs/>
          <w:b/>
        </w:rPr>
        <w:t xml:space="preserve">[Summary document: Enterprise Survey indicators]. World Bank.</w:t>
      </w:r>
      <w:r>
        <w:t xml:space="preserve"> </w:t>
      </w:r>
      <w:r>
        <w:t xml:space="preserve">https://www.enterprisesurveys.org</w:t>
      </w:r>
      <w:r>
        <w:t xml:space="preserve"> </w:t>
      </w:r>
      <w:r>
        <w:rPr>
          <w:iCs/>
          <w:i/>
        </w:rPr>
        <w:t xml:space="preserve">(Mới v2.5 — Bản tiếng Việt tóm tắt 5 lĩnh vực WBES với thuật ngữ Việt chuẩn từ World Bank: (1) Quy định pháp lý + Thuế (Time Tax =</w:t>
      </w:r>
      <w:r>
        <w:rPr>
          <w:iCs/>
          <w:i/>
        </w:rPr>
        <w:t xml:space="preserve"> </w:t>
      </w:r>
      <w:r>
        <w:rPr>
          <w:iCs/>
          <w:i/>
        </w:rPr>
        <w:t xml:space="preserve">“</w:t>
      </w:r>
      <w:r>
        <w:rPr>
          <w:iCs/>
          <w:i/>
        </w:rPr>
        <w:t xml:space="preserve">Thuế thời gian</w:t>
      </w:r>
      <w:r>
        <w:rPr>
          <w:iCs/>
          <w:i/>
        </w:rPr>
        <w:t xml:space="preserve">”</w:t>
      </w:r>
      <w:r>
        <w:rPr>
          <w:iCs/>
          <w:i/>
        </w:rPr>
        <w:t xml:space="preserve">; Tax compliance =</w:t>
      </w:r>
      <w:r>
        <w:rPr>
          <w:iCs/>
          <w:i/>
        </w:rPr>
        <w:t xml:space="preserve"> </w:t>
      </w:r>
      <w:r>
        <w:rPr>
          <w:iCs/>
          <w:i/>
        </w:rPr>
        <w:t xml:space="preserve">“</w:t>
      </w:r>
      <w:r>
        <w:rPr>
          <w:iCs/>
          <w:i/>
        </w:rPr>
        <w:t xml:space="preserve">Tuân thủ thuế</w:t>
      </w:r>
      <w:r>
        <w:rPr>
          <w:iCs/>
          <w:i/>
        </w:rPr>
        <w:t xml:space="preserve">”</w:t>
      </w:r>
      <w:r>
        <w:rPr>
          <w:iCs/>
          <w:i/>
        </w:rPr>
        <w:t xml:space="preserve">); (2) Tài chính + Tín dụng (Credit constraint =</w:t>
      </w:r>
      <w:r>
        <w:rPr>
          <w:iCs/>
          <w:i/>
        </w:rPr>
        <w:t xml:space="preserve"> </w:t>
      </w:r>
      <w:r>
        <w:rPr>
          <w:iCs/>
          <w:i/>
        </w:rPr>
        <w:t xml:space="preserve">“</w:t>
      </w:r>
      <w:r>
        <w:rPr>
          <w:iCs/>
          <w:i/>
        </w:rPr>
        <w:t xml:space="preserve">Hạn chế tín dụng</w:t>
      </w:r>
      <w:r>
        <w:rPr>
          <w:iCs/>
          <w:i/>
        </w:rPr>
        <w:t xml:space="preserve">”</w:t>
      </w:r>
      <w:r>
        <w:rPr>
          <w:iCs/>
          <w:i/>
        </w:rPr>
        <w:t xml:space="preserve">; Financial digitalization =</w:t>
      </w:r>
      <w:r>
        <w:rPr>
          <w:iCs/>
          <w:i/>
        </w:rPr>
        <w:t xml:space="preserve"> </w:t>
      </w:r>
      <w:r>
        <w:rPr>
          <w:iCs/>
          <w:i/>
        </w:rPr>
        <w:t xml:space="preserve">“</w:t>
      </w:r>
      <w:r>
        <w:rPr>
          <w:iCs/>
          <w:i/>
        </w:rPr>
        <w:t xml:space="preserve">Số hóa tài chính</w:t>
      </w:r>
      <w:r>
        <w:rPr>
          <w:iCs/>
          <w:i/>
        </w:rPr>
        <w:t xml:space="preserve">”</w:t>
      </w:r>
      <w:r>
        <w:rPr>
          <w:iCs/>
          <w:i/>
        </w:rPr>
        <w:t xml:space="preserve">); (3) Cơ sở hạ tầng + Khí hậu (Energy management =</w:t>
      </w:r>
      <w:r>
        <w:rPr>
          <w:iCs/>
          <w:i/>
        </w:rPr>
        <w:t xml:space="preserve"> </w:t>
      </w:r>
      <w:r>
        <w:rPr>
          <w:iCs/>
          <w:i/>
        </w:rPr>
        <w:t xml:space="preserve">“</w:t>
      </w:r>
      <w:r>
        <w:rPr>
          <w:iCs/>
          <w:i/>
        </w:rPr>
        <w:t xml:space="preserve">Quản lý năng lượng</w:t>
      </w:r>
      <w:r>
        <w:rPr>
          <w:iCs/>
          <w:i/>
        </w:rPr>
        <w:t xml:space="preserve">”</w:t>
      </w:r>
      <w:r>
        <w:rPr>
          <w:iCs/>
          <w:i/>
        </w:rPr>
        <w:t xml:space="preserve">); (4) Tham nhũng + Tranh chấp (Bribery =</w:t>
      </w:r>
      <w:r>
        <w:rPr>
          <w:iCs/>
          <w:i/>
        </w:rPr>
        <w:t xml:space="preserve"> </w:t>
      </w:r>
      <w:r>
        <w:rPr>
          <w:iCs/>
          <w:i/>
        </w:rPr>
        <w:t xml:space="preserve">“</w:t>
      </w:r>
      <w:r>
        <w:rPr>
          <w:iCs/>
          <w:i/>
        </w:rPr>
        <w:t xml:space="preserve">Hối lộ</w:t>
      </w:r>
      <w:r>
        <w:rPr>
          <w:iCs/>
          <w:i/>
        </w:rPr>
        <w:t xml:space="preserve">”</w:t>
      </w:r>
      <w:r>
        <w:rPr>
          <w:iCs/>
          <w:i/>
        </w:rPr>
        <w:t xml:space="preserve">; Graft =</w:t>
      </w:r>
      <w:r>
        <w:rPr>
          <w:iCs/>
          <w:i/>
        </w:rPr>
        <w:t xml:space="preserve"> </w:t>
      </w:r>
      <w:r>
        <w:rPr>
          <w:iCs/>
          <w:i/>
        </w:rPr>
        <w:t xml:space="preserve">“</w:t>
      </w:r>
      <w:r>
        <w:rPr>
          <w:iCs/>
          <w:i/>
        </w:rPr>
        <w:t xml:space="preserve">Tham ô</w:t>
      </w:r>
      <w:r>
        <w:rPr>
          <w:iCs/>
          <w:i/>
        </w:rPr>
        <w:t xml:space="preserve">”</w:t>
      </w:r>
      <w:r>
        <w:rPr>
          <w:iCs/>
          <w:i/>
        </w:rPr>
        <w:t xml:space="preserve">); (5) Lao động + Đổi mới (Online presence =</w:t>
      </w:r>
      <w:r>
        <w:rPr>
          <w:iCs/>
          <w:i/>
        </w:rPr>
        <w:t xml:space="preserve"> </w:t>
      </w:r>
      <w:r>
        <w:rPr>
          <w:iCs/>
          <w:i/>
        </w:rPr>
        <w:t xml:space="preserve">“</w:t>
      </w:r>
      <w:r>
        <w:rPr>
          <w:iCs/>
          <w:i/>
        </w:rPr>
        <w:t xml:space="preserve">Hiện diện trực tuyến</w:t>
      </w:r>
      <w:r>
        <w:rPr>
          <w:iCs/>
          <w:i/>
        </w:rPr>
        <w:t xml:space="preserve">”</w:t>
      </w:r>
      <w:r>
        <w:rPr>
          <w:iCs/>
          <w:i/>
        </w:rPr>
        <w:t xml:space="preserve">). Năm xuất bản KHÔNG ghi rõ — APA 7th cite</w:t>
      </w:r>
      <w:r>
        <w:rPr>
          <w:iCs/>
          <w:i/>
        </w:rPr>
        <w:t xml:space="preserve"> </w:t>
      </w:r>
      <w:r>
        <w:rPr>
          <w:iCs/>
          <w:i/>
        </w:rPr>
        <w:t xml:space="preserve">“</w:t>
      </w:r>
      <w:r>
        <w:rPr>
          <w:iCs/>
          <w:i/>
        </w:rPr>
        <w:t xml:space="preserve">n.d.</w:t>
      </w:r>
      <w:r>
        <w:rPr>
          <w:iCs/>
          <w:i/>
        </w:rPr>
        <w:t xml:space="preserve">”</w:t>
      </w:r>
      <w:r>
        <w:rPr>
          <w:iCs/>
          <w:i/>
        </w:rPr>
        <w:t xml:space="preserve"> </w:t>
      </w:r>
      <w:r>
        <w:rPr>
          <w:iCs/>
          <w:i/>
        </w:rPr>
        <w:t xml:space="preserve">per Mục 8.31. Cited file 09b_vn_term_glossary.md cho thuật ngữ chuẩn + chuyển dịch tiếng Việt CĐ1 v3.x.)</w:t>
      </w:r>
    </w:p>
    <w:p>
      <w:pPr>
        <w:pStyle w:val="BodyText"/>
      </w:pPr>
      <w:r>
        <w:rPr>
          <w:bCs/>
          <w:b/>
        </w:rPr>
        <w:t xml:space="preserve">World Bank. (2025, July 1).</w:t>
      </w:r>
      <w:r>
        <w:rPr>
          <w:bCs/>
          <w:b/>
        </w:rPr>
        <w:t xml:space="preserve"> </w:t>
      </w:r>
      <w:r>
        <w:rPr>
          <w:iCs/>
          <w:i/>
          <w:bCs/>
          <w:b/>
        </w:rPr>
        <w:t xml:space="preserve">Hướng dẫn học tập: Hệ thống phân loại quốc gia và khảo sát doanh nghiệp của Ngân hàng Thế giới (FY26)</w:t>
      </w:r>
      <w:r>
        <w:rPr>
          <w:bCs/>
          <w:b/>
        </w:rPr>
        <w:t xml:space="preserve"> </w:t>
      </w:r>
      <w:r>
        <w:rPr>
          <w:bCs/>
          <w:b/>
        </w:rPr>
        <w:t xml:space="preserve">[Learning guide: World Bank country classification system FY26]. World Bank.</w:t>
      </w:r>
      <w:r>
        <w:t xml:space="preserve"> </w:t>
      </w:r>
      <w:r>
        <w:rPr>
          <w:iCs/>
          <w:i/>
        </w:rPr>
        <w:t xml:space="preserve">(Mới v2.5 — Bản tiếng Việt FY26 (hiệu lực 1/7/2025) với 3 hệ thống phân loại: (a)</w:t>
      </w:r>
      <w:r>
        <w:rPr>
          <w:iCs/>
          <w:i/>
        </w:rPr>
        <w:t xml:space="preserve"> </w:t>
      </w:r>
      <w:r>
        <w:rPr>
          <w:bCs/>
          <w:b/>
          <w:iCs/>
          <w:i/>
        </w:rPr>
        <w:t xml:space="preserve">4 income groups</w:t>
      </w:r>
      <w:r>
        <w:rPr>
          <w:iCs/>
          <w:i/>
        </w:rPr>
        <w:t xml:space="preserve">: Thu nhập thấp ≤$1.135 GNI; Thu nhập trung bình thấp $1.136-$4.495; Thu nhập trung bình cao $4.496-$13.935; Thu nhập cao &gt;$13.935; (b)</w:t>
      </w:r>
      <w:r>
        <w:rPr>
          <w:iCs/>
          <w:i/>
        </w:rPr>
        <w:t xml:space="preserve"> </w:t>
      </w:r>
      <w:r>
        <w:rPr>
          <w:bCs/>
          <w:b/>
          <w:iCs/>
          <w:i/>
        </w:rPr>
        <w:t xml:space="preserve">7 regions</w:t>
      </w:r>
      <w:r>
        <w:rPr>
          <w:iCs/>
          <w:i/>
        </w:rPr>
        <w:t xml:space="preserve">: EAP (Đông Á + Thái Bình Dương), ECA (Châu Âu + Trung Á), LAC (Mỹ Latinh + Caribe),</w:t>
      </w:r>
      <w:r>
        <w:rPr>
          <w:iCs/>
          <w:i/>
        </w:rPr>
        <w:t xml:space="preserve"> </w:t>
      </w:r>
      <w:r>
        <w:rPr>
          <w:bCs/>
          <w:b/>
          <w:iCs/>
          <w:i/>
        </w:rPr>
        <w:t xml:space="preserve">MENAAP (mới FY26 — Trung Đông + Bắc Phi + Afghanistan + Pakistan)</w:t>
      </w:r>
      <w:r>
        <w:rPr>
          <w:iCs/>
          <w:i/>
        </w:rPr>
        <w:t xml:space="preserve">, NA (Bắc Mỹ), SAS (Nam Á), SSA (Châu Phi cận Sahara); (c)</w:t>
      </w:r>
      <w:r>
        <w:rPr>
          <w:iCs/>
          <w:i/>
        </w:rPr>
        <w:t xml:space="preserve"> </w:t>
      </w:r>
      <w:r>
        <w:rPr>
          <w:bCs/>
          <w:b/>
          <w:iCs/>
          <w:i/>
        </w:rPr>
        <w:t xml:space="preserve">3 borrowing classifications</w:t>
      </w:r>
      <w:r>
        <w:rPr>
          <w:iCs/>
          <w:i/>
        </w:rPr>
        <w:t xml:space="preserve">: IDA only / Blend / IBRD only; (d)</w:t>
      </w:r>
      <w:r>
        <w:rPr>
          <w:iCs/>
          <w:i/>
        </w:rPr>
        <w:t xml:space="preserve"> </w:t>
      </w:r>
      <w:r>
        <w:rPr>
          <w:bCs/>
          <w:b/>
          <w:iCs/>
          <w:i/>
        </w:rPr>
        <w:t xml:space="preserve">Phương pháp Atlas</w:t>
      </w:r>
      <w:r>
        <w:rPr>
          <w:iCs/>
          <w:i/>
        </w:rPr>
        <w:t xml:space="preserve"> </w:t>
      </w:r>
      <w:r>
        <w:rPr>
          <w:iCs/>
          <w:i/>
        </w:rPr>
        <w:t xml:space="preserve">để tính GNI per capita. Cited Mục 1.3 phạm vi không gian (47 nước châu Á phân loại theo income group) + Mục 3 ICRV regime classification trong CĐ1 v3.x.)</w:t>
      </w:r>
    </w:p>
    <w:p>
      <w:pPr>
        <w:pStyle w:val="BodyText"/>
      </w:pPr>
      <w:r>
        <w:t xml:space="preserve">ADB. (2016).</w:t>
      </w:r>
      <w:r>
        <w:t xml:space="preserve"> </w:t>
      </w:r>
      <w:r>
        <w:rPr>
          <w:iCs/>
          <w:i/>
        </w:rPr>
        <w:t xml:space="preserve">Asian Economic Integration Report 2016 Highlights</w:t>
      </w:r>
      <w:r>
        <w:t xml:space="preserve">. Asian Development Bank. https://www.adb.org/publications/asian-economic-integration-report-2016</w:t>
      </w:r>
    </w:p>
    <w:p>
      <w:pPr>
        <w:pStyle w:val="BodyText"/>
      </w:pPr>
      <w:r>
        <w:t xml:space="preserve">ADB. (2024).</w:t>
      </w:r>
      <w:r>
        <w:t xml:space="preserve"> </w:t>
      </w:r>
      <w:r>
        <w:rPr>
          <w:iCs/>
          <w:i/>
        </w:rPr>
        <w:t xml:space="preserve">Asian Development Outlook 2024 — Recovery and resilience in Asia</w:t>
      </w:r>
      <w:r>
        <w:t xml:space="preserve">. Asian Development Bank.</w:t>
      </w:r>
    </w:p>
    <w:p>
      <w:pPr>
        <w:pStyle w:val="BodyText"/>
      </w:pPr>
      <w:r>
        <w:rPr>
          <w:bCs/>
          <w:b/>
        </w:rPr>
        <w:t xml:space="preserve">ADB. (2025).</w:t>
      </w:r>
      <w:r>
        <w:rPr>
          <w:bCs/>
          <w:b/>
        </w:rPr>
        <w:t xml:space="preserve"> </w:t>
      </w:r>
      <w:r>
        <w:rPr>
          <w:iCs/>
          <w:i/>
          <w:bCs/>
          <w:b/>
        </w:rPr>
        <w:t xml:space="preserve">Annual Report 2025 — Online Appendix 1: Resolutions of the Board of Governors Adopted in 2025</w:t>
      </w:r>
      <w:r>
        <w:rPr>
          <w:bCs/>
          <w:b/>
        </w:rPr>
        <w:t xml:space="preserve">. Asian Development Bank.</w:t>
      </w:r>
      <w:r>
        <w:t xml:space="preserve"> </w:t>
      </w:r>
      <w:r>
        <w:t xml:space="preserve">https://www.adb.org/documents/adb-annual-report-2025</w:t>
      </w:r>
      <w:r>
        <w:t xml:space="preserve"> </w:t>
      </w:r>
      <w:r>
        <w:rPr>
          <w:iCs/>
          <w:i/>
        </w:rPr>
        <w:t xml:space="preserve">(Mới v2.3 — Resolution 437 charter lending limit removal.)</w:t>
      </w:r>
    </w:p>
    <w:p>
      <w:pPr>
        <w:pStyle w:val="BodyText"/>
      </w:pPr>
      <w:r>
        <w:t xml:space="preserve">ADB. (2026, March).</w:t>
      </w:r>
      <w:r>
        <w:t xml:space="preserve"> </w:t>
      </w:r>
      <w:r>
        <w:rPr>
          <w:iCs/>
          <w:i/>
        </w:rPr>
        <w:t xml:space="preserve">Asia Bond Monitor March 2026: Emerging East Asian Local Currency Bond Markets</w:t>
      </w:r>
      <w:r>
        <w:t xml:space="preserve">. Asian Development Bank. https://doi.org/10.22617/SGP260088-2</w:t>
      </w:r>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rPr>
          <w:bCs/>
          <w:b/>
        </w:rPr>
        <w:t xml:space="preserve">ADB. (2026, April).</w:t>
      </w:r>
      <w:r>
        <w:rPr>
          <w:bCs/>
          <w:b/>
        </w:rPr>
        <w:t xml:space="preserve"> </w:t>
      </w:r>
      <w:r>
        <w:rPr>
          <w:iCs/>
          <w:i/>
          <w:bCs/>
          <w:b/>
        </w:rPr>
        <w:t xml:space="preserve">Asian Development Outlook April 2026: Special Topic — Artificial Intelligence in Asia and the Pacific</w:t>
      </w:r>
      <w:r>
        <w:rPr>
          <w:bCs/>
          <w:b/>
        </w:rPr>
        <w:t xml:space="preserve">. Asian Development Bank.</w:t>
      </w:r>
      <w:r>
        <w:t xml:space="preserve"> </w:t>
      </w:r>
      <w:r>
        <w:rPr>
          <w:iCs/>
          <w:i/>
        </w:rPr>
        <w:t xml:space="preserve">(Mới v2.3)</w:t>
      </w:r>
    </w:p>
    <w:p>
      <w:pPr>
        <w:pStyle w:val="BodyText"/>
      </w:pPr>
      <w:r>
        <w:rPr>
          <w:bCs/>
          <w:b/>
        </w:rPr>
        <w:t xml:space="preserve">ADB. (2026, April).</w:t>
      </w:r>
      <w:r>
        <w:rPr>
          <w:bCs/>
          <w:b/>
        </w:rPr>
        <w:t xml:space="preserve"> </w:t>
      </w:r>
      <w:r>
        <w:rPr>
          <w:iCs/>
          <w:i/>
          <w:bCs/>
          <w:b/>
        </w:rPr>
        <w:t xml:space="preserve">Vietnam Economic Outlook 2026: Navigating the Crosscurrents</w:t>
      </w:r>
      <w:r>
        <w:rPr>
          <w:bCs/>
          <w:b/>
        </w:rPr>
        <w:t xml:space="preserve">. Asian Development Bank.</w:t>
      </w:r>
      <w:r>
        <w:t xml:space="preserve"> </w:t>
      </w:r>
      <w:r>
        <w:t xml:space="preserve">https://www.adb.org/viet-nam</w:t>
      </w:r>
      <w:r>
        <w:t xml:space="preserve"> </w:t>
      </w:r>
      <w:r>
        <w:rPr>
          <w:iCs/>
          <w:i/>
        </w:rPr>
        <w:t xml:space="preserve">(Mới v2.5 — Báo cáo Việt Nam-specific tháng 4/2026 từ ADB. Key forecasts: (a)</w:t>
      </w:r>
      <w:r>
        <w:rPr>
          <w:iCs/>
          <w:i/>
        </w:rPr>
        <w:t xml:space="preserve"> </w:t>
      </w:r>
      <w:r>
        <w:rPr>
          <w:bCs/>
          <w:b/>
          <w:iCs/>
          <w:i/>
        </w:rPr>
        <w:t xml:space="preserve">GDP growth: 7,2% (2026), 7,0% (2027)</w:t>
      </w:r>
      <w:r>
        <w:rPr>
          <w:iCs/>
          <w:i/>
        </w:rPr>
        <w:t xml:space="preserve"> </w:t>
      </w:r>
      <w:r>
        <w:rPr>
          <w:iCs/>
          <w:i/>
        </w:rPr>
        <w:t xml:space="preserve">— vượt mức bình quân ASEAN 4,6% và Đông Nam Á 4,7%; cao hơn dự báo IMF WEO April 2026 ~7,0% và ADB ADO April 2026 7,0%; (b)</w:t>
      </w:r>
      <w:r>
        <w:rPr>
          <w:iCs/>
          <w:i/>
        </w:rPr>
        <w:t xml:space="preserve"> </w:t>
      </w:r>
      <w:r>
        <w:rPr>
          <w:bCs/>
          <w:b/>
          <w:iCs/>
          <w:i/>
        </w:rPr>
        <w:t xml:space="preserve">FDI commitment $2,4B / 18 dự án chiến lược</w:t>
      </w:r>
      <w:r>
        <w:rPr>
          <w:iCs/>
          <w:i/>
        </w:rPr>
        <w:t xml:space="preserve"> </w:t>
      </w:r>
      <w:r>
        <w:rPr>
          <w:iCs/>
          <w:i/>
        </w:rPr>
        <w:t xml:space="preserve">(fintech, năng lượng sạch, logistics); (c)</w:t>
      </w:r>
      <w:r>
        <w:rPr>
          <w:iCs/>
          <w:i/>
        </w:rPr>
        <w:t xml:space="preserve"> </w:t>
      </w:r>
      <w:r>
        <w:rPr>
          <w:bCs/>
          <w:b/>
          <w:iCs/>
          <w:i/>
        </w:rPr>
        <w:t xml:space="preserve">Năng suất lao động +5,1% 2026-2027</w:t>
      </w:r>
      <w:r>
        <w:rPr>
          <w:iCs/>
          <w:i/>
        </w:rPr>
        <w:t xml:space="preserve"> </w:t>
      </w:r>
      <w:r>
        <w:rPr>
          <w:iCs/>
          <w:i/>
        </w:rPr>
        <w:t xml:space="preserve">với FDI manufacturing tiến vào</w:t>
      </w:r>
      <w:r>
        <w:rPr>
          <w:iCs/>
          <w:i/>
        </w:rPr>
        <w:t xml:space="preserve"> </w:t>
      </w:r>
      <w:r>
        <w:rPr>
          <w:iCs/>
          <w:i/>
        </w:rPr>
        <w:t xml:space="preserve">“</w:t>
      </w:r>
      <w:r>
        <w:rPr>
          <w:iCs/>
          <w:i/>
        </w:rPr>
        <w:t xml:space="preserve">higher-value</w:t>
      </w:r>
      <w:r>
        <w:rPr>
          <w:iCs/>
          <w:i/>
        </w:rPr>
        <w:t xml:space="preserve">”</w:t>
      </w:r>
      <w:r>
        <w:rPr>
          <w:iCs/>
          <w:i/>
        </w:rPr>
        <w:t xml:space="preserve"> </w:t>
      </w:r>
      <w:r>
        <w:rPr>
          <w:iCs/>
          <w:i/>
        </w:rPr>
        <w:t xml:space="preserve">stage; (d) Lạm phát dự phóng 4,0%; (e) Two-tier framing: FDI-sector 18% global solution contribution vs SMEs nội địa cần hỗ trợ fintech/capacity (ADB Policy-Based Loans $2,4B target nhóm này); (f) GVC re-positioning từ assembly thành mid-stream design/R&amp;D dựa trên 3 trụ cột Resilience + Environmental Sustainability + Inclusiveness. Cited Mục 1.1 lớp 6 update + Mục 5.3 Vietnam case study trong CĐ1 v3.9.)</w:t>
      </w:r>
    </w:p>
    <w:p>
      <w:pPr>
        <w:pStyle w:val="BodyText"/>
      </w:pPr>
      <w:r>
        <w:rPr>
          <w:bCs/>
          <w:b/>
        </w:rPr>
        <w:t xml:space="preserve">ADB. (2026).</w:t>
      </w:r>
      <w:r>
        <w:rPr>
          <w:bCs/>
          <w:b/>
        </w:rPr>
        <w:t xml:space="preserve"> </w:t>
      </w:r>
      <w:r>
        <w:rPr>
          <w:iCs/>
          <w:i/>
          <w:bCs/>
          <w:b/>
        </w:rPr>
        <w:t xml:space="preserve">Asia-Pacific Development Report 2026: Highlights — Global Value Chain Participation in Developing Asia</w:t>
      </w:r>
      <w:r>
        <w:rPr>
          <w:bCs/>
          <w:b/>
        </w:rPr>
        <w:t xml:space="preserve">. Asian Development Bank.</w:t>
      </w:r>
      <w:r>
        <w:t xml:space="preserve"> </w:t>
      </w:r>
      <w:r>
        <w:rPr>
          <w:iCs/>
          <w:i/>
        </w:rPr>
        <w:t xml:space="preserve">(Mới v2.3 — GVC participation 9% thành 18% 2000-2023.)</w:t>
      </w:r>
    </w:p>
    <w:p>
      <w:pPr>
        <w:pStyle w:val="BodyText"/>
      </w:pPr>
      <w:r>
        <w:t xml:space="preserve">ADB. (2026, May).</w:t>
      </w:r>
      <w:r>
        <w:t xml:space="preserve"> </w:t>
      </w:r>
      <w:r>
        <w:rPr>
          <w:iCs/>
          <w:i/>
        </w:rPr>
        <w:t xml:space="preserve">Market Assessment of Critical Minerals in Mongolia</w:t>
      </w:r>
      <w:r>
        <w:t xml:space="preserve">. Asian Development Bank. https://doi.org/10.22617/TCS260157-2</w:t>
      </w:r>
    </w:p>
    <w:p>
      <w:pPr>
        <w:pStyle w:val="BodyText"/>
      </w:pPr>
      <w:r>
        <w:rPr>
          <w:bCs/>
          <w:b/>
        </w:rPr>
        <w:t xml:space="preserve">International Finance Corporation. (n.d.).</w:t>
      </w:r>
      <w:r>
        <w:rPr>
          <w:bCs/>
          <w:b/>
        </w:rPr>
        <w:t xml:space="preserve"> </w:t>
      </w:r>
      <w:r>
        <w:rPr>
          <w:iCs/>
          <w:i/>
          <w:bCs/>
          <w:b/>
        </w:rPr>
        <w:t xml:space="preserve">Private Sector Development Blueprint: Decoding the World Bank Enterprise Surveys</w:t>
      </w:r>
      <w:r>
        <w:rPr>
          <w:bCs/>
          <w:b/>
        </w:rPr>
        <w:t xml:space="preserve">. World Bank Group.</w:t>
      </w:r>
      <w:r>
        <w:t xml:space="preserve"> </w:t>
      </w:r>
      <w:r>
        <w:rPr>
          <w:iCs/>
          <w:i/>
        </w:rPr>
        <w:t xml:space="preserve">(Mới v2.5 — IFC blueprint phân tích WBES theo 3 trụ cột: (1)</w:t>
      </w:r>
      <w:r>
        <w:rPr>
          <w:iCs/>
          <w:i/>
        </w:rPr>
        <w:t xml:space="preserve"> </w:t>
      </w:r>
      <w:r>
        <w:rPr>
          <w:bCs/>
          <w:b/>
          <w:iCs/>
          <w:i/>
        </w:rPr>
        <w:t xml:space="preserve">Institutional foundations</w:t>
      </w:r>
      <w:r>
        <w:rPr>
          <w:iCs/>
          <w:i/>
        </w:rPr>
        <w:t xml:space="preserve"> </w:t>
      </w:r>
      <w:r>
        <w:rPr>
          <w:iCs/>
          <w:i/>
        </w:rPr>
        <w:t xml:space="preserve">(nền tảng thể chế — qui định thuế, quyền sở hữu tài sản, giải quyết tranh chấp); (2)</w:t>
      </w:r>
      <w:r>
        <w:rPr>
          <w:iCs/>
          <w:i/>
        </w:rPr>
        <w:t xml:space="preserve"> </w:t>
      </w:r>
      <w:r>
        <w:rPr>
          <w:bCs/>
          <w:b/>
          <w:iCs/>
          <w:i/>
        </w:rPr>
        <w:t xml:space="preserve">Operational resources</w:t>
      </w:r>
      <w:r>
        <w:rPr>
          <w:iCs/>
          <w:i/>
        </w:rPr>
        <w:t xml:space="preserve"> </w:t>
      </w:r>
      <w:r>
        <w:rPr>
          <w:iCs/>
          <w:i/>
        </w:rPr>
        <w:t xml:space="preserve">(nguồn lực vận hành — lao động, tài chính, năng lượng, internet); (3)</w:t>
      </w:r>
      <w:r>
        <w:rPr>
          <w:iCs/>
          <w:i/>
        </w:rPr>
        <w:t xml:space="preserve"> </w:t>
      </w:r>
      <w:r>
        <w:rPr>
          <w:bCs/>
          <w:b/>
          <w:iCs/>
          <w:i/>
        </w:rPr>
        <w:t xml:space="preserve">Market dynamics</w:t>
      </w:r>
      <w:r>
        <w:rPr>
          <w:iCs/>
          <w:i/>
        </w:rPr>
        <w:t xml:space="preserve"> </w:t>
      </w:r>
      <w:r>
        <w:rPr>
          <w:iCs/>
          <w:i/>
        </w:rPr>
        <w:t xml:space="preserve">(động lực thị trường — cạnh tranh, FDI, xuất nhập khẩu).</w:t>
      </w:r>
      <w:r>
        <w:rPr>
          <w:iCs/>
          <w:i/>
        </w:rPr>
        <w:t xml:space="preserve"> </w:t>
      </w:r>
      <w:r>
        <w:rPr>
          <w:bCs/>
          <w:b/>
          <w:iCs/>
          <w:i/>
        </w:rPr>
        <w:t xml:space="preserve">6 essential public transactions</w:t>
      </w:r>
      <w:r>
        <w:rPr>
          <w:iCs/>
          <w:i/>
        </w:rPr>
        <w:t xml:space="preserve"> </w:t>
      </w:r>
      <w:r>
        <w:rPr>
          <w:iCs/>
          <w:i/>
        </w:rPr>
        <w:t xml:space="preserve">key bottleneck cho doanh nghiệp: cấp phép hoạt động, cấp phép xây dựng, kết nối điện, kết nối nước, cấp phép khảo sát đất, hoàn thuế VAT. Doanh nghiệp xuất khẩu mất ~1 tuần (xuất khẩu) / ~2 tuần (nhập khẩu); ~40% doanh nghiệp coi thủ tục thương mại là rào cản lớn nhất.</w:t>
      </w:r>
      <w:r>
        <w:rPr>
          <w:iCs/>
          <w:i/>
        </w:rPr>
        <w:t xml:space="preserve"> </w:t>
      </w:r>
      <w:r>
        <w:rPr>
          <w:bCs/>
          <w:b/>
          <w:iCs/>
          <w:i/>
        </w:rPr>
        <w:t xml:space="preserve">Năm xuất bản KHÔNG ghi rõ — APA 7th cite</w:t>
      </w:r>
      <w:r>
        <w:rPr>
          <w:bCs/>
          <w:b/>
          <w:iCs/>
          <w:i/>
        </w:rPr>
        <w:t xml:space="preserve"> </w:t>
      </w:r>
      <w:r>
        <w:rPr>
          <w:bCs/>
          <w:b/>
          <w:iCs/>
          <w:i/>
        </w:rPr>
        <w:t xml:space="preserve">“</w:t>
      </w:r>
      <w:r>
        <w:rPr>
          <w:bCs/>
          <w:b/>
          <w:iCs/>
          <w:i/>
        </w:rPr>
        <w:t xml:space="preserve">n.d.</w:t>
      </w:r>
      <w:r>
        <w:rPr>
          <w:bCs/>
          <w:b/>
          <w:iCs/>
          <w:i/>
        </w:rPr>
        <w:t xml:space="preserve">”</w:t>
      </w:r>
      <w:r>
        <w:rPr>
          <w:iCs/>
          <w:i/>
        </w:rPr>
        <w:t xml:space="preserve"> </w:t>
      </w:r>
      <w:r>
        <w:rPr>
          <w:iCs/>
          <w:i/>
        </w:rPr>
        <w:t xml:space="preserve">per Mục 8.31; ước lượng 2023-2024. NCS verify trên trang IFC trước final. Cited Mục 6 yếu tố giải thích trong CĐ1 v3.x — bổ sung framework 3 trụ cột cho ICRV interpretation.)</w:t>
      </w:r>
    </w:p>
    <w:p>
      <w:pPr>
        <w:pStyle w:val="BodyText"/>
      </w:pPr>
      <w:r>
        <w:t xml:space="preserve">IMF. (2026, April).</w:t>
      </w:r>
      <w:r>
        <w:t xml:space="preserve"> </w:t>
      </w:r>
      <w:r>
        <w:rPr>
          <w:iCs/>
          <w:i/>
        </w:rPr>
        <w:t xml:space="preserve">World Economic Outlook April 2026: Global Economy in the Shadow of War</w:t>
      </w:r>
      <w:r>
        <w:t xml:space="preserve">. International Monetary Fund.</w:t>
      </w:r>
    </w:p>
    <w:p>
      <w:pPr>
        <w:pStyle w:val="BodyText"/>
      </w:pPr>
      <w:r>
        <w:t xml:space="preserve">OECD. (2026, March).</w:t>
      </w:r>
      <w:r>
        <w:t xml:space="preserve"> </w:t>
      </w:r>
      <w:r>
        <w:rPr>
          <w:iCs/>
          <w:i/>
        </w:rPr>
        <w:t xml:space="preserve">OECD Economic Outlook, Volume 2026 Issue 1</w:t>
      </w:r>
      <w:r>
        <w:t xml:space="preserve">. Organisation for Economic Co-operation and Development.</w:t>
      </w:r>
    </w:p>
    <w:p>
      <w:pPr>
        <w:pStyle w:val="BodyText"/>
      </w:pPr>
      <w:r>
        <w:t xml:space="preserve">OECD. (2026, April).</w:t>
      </w:r>
      <w:r>
        <w:t xml:space="preserve"> </w:t>
      </w:r>
      <w:r>
        <w:rPr>
          <w:iCs/>
          <w:i/>
        </w:rPr>
        <w:t xml:space="preserve">FDI in Figures, April 2026</w:t>
      </w:r>
      <w:r>
        <w:t xml:space="preserve">. Organisation for Economic Co-operation and Development.</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w:t>
      </w:r>
    </w:p>
    <w:p>
      <w:pPr>
        <w:pStyle w:val="BodyText"/>
      </w:pPr>
      <w:r>
        <w:t xml:space="preserve">WIPO. (2024).</w:t>
      </w:r>
      <w:r>
        <w:t xml:space="preserve"> </w:t>
      </w:r>
      <w:r>
        <w:rPr>
          <w:iCs/>
          <w:i/>
        </w:rPr>
        <w:t xml:space="preserve">Global Innovation Index 2024: Unlocking the promise of social entrepreneurship</w:t>
      </w:r>
      <w:r>
        <w:t xml:space="preserve">. World Intellectual Property Organization.</w:t>
      </w:r>
    </w:p>
    <w:bookmarkEnd w:id="178"/>
    <w:bookmarkStart w:id="179" w:name="Xeaf172b95b80e69e50266cd7ab3722daa97d83f"/>
    <w:p>
      <w:pPr>
        <w:pStyle w:val="Heading2"/>
      </w:pPr>
      <w:r>
        <w:t xml:space="preserve">L. Tham khảo bổ sung 2024-2026 (cập nhật v2.4)</w:t>
      </w:r>
    </w:p>
    <w:p>
      <w:pPr>
        <w:pStyle w:val="FirstParagraph"/>
      </w:pPr>
      <w:r>
        <w:t xml:space="preserve">Zhang, Y., Qiu, Z., Park, D., &amp; Tian, S. (2026). The role of artificial intelligence in finance: A selective review and implications for Asia’s financial stability. In</w:t>
      </w:r>
      <w:r>
        <w:t xml:space="preserve"> </w:t>
      </w:r>
      <w:r>
        <w:rPr>
          <w:iCs/>
          <w:i/>
        </w:rPr>
        <w:t xml:space="preserve">Asia Bond Monitor</w:t>
      </w:r>
      <w:r>
        <w:t xml:space="preserve"> </w:t>
      </w:r>
      <w:r>
        <w:t xml:space="preserve">(March 2026, Special Section, pp. 38-43). Asian Development Bank.</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w:t>
      </w:r>
      <w:r>
        <w:t xml:space="preserve"> </w:t>
      </w:r>
      <w:r>
        <w:rPr>
          <w:iCs/>
          <w:i/>
        </w:rPr>
        <w:t xml:space="preserve">(Trước khi trích dẫn chính thức cần xác minh volume, issue, pages, DOI.)</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rPr>
          <w:bCs/>
          <w:b/>
        </w:rPr>
        <w:t xml:space="preserve">Malerba, F., &amp; Orsenigo, L. (1995). Schumpeterian patterns of innovation.</w:t>
      </w:r>
      <w:r>
        <w:rPr>
          <w:bCs/>
          <w:b/>
        </w:rPr>
        <w:t xml:space="preserve"> </w:t>
      </w:r>
      <w:r>
        <w:rPr>
          <w:iCs/>
          <w:i/>
          <w:bCs/>
          <w:b/>
        </w:rPr>
        <w:t xml:space="preserve">Cambridge Journal of Economics, 19</w:t>
      </w:r>
      <w:r>
        <w:rPr>
          <w:bCs/>
          <w:b/>
        </w:rPr>
        <w:t xml:space="preserve">(1), 47-65.</w:t>
      </w:r>
      <w:r>
        <w:t xml:space="preserve"> </w:t>
      </w:r>
      <w:r>
        <w:t xml:space="preserve">https://doi.org/10.1093/oxfordjournals.cje.a035301</w:t>
      </w:r>
      <w:r>
        <w:t xml:space="preserve"> </w:t>
      </w:r>
      <w:r>
        <w:rPr>
          <w:iCs/>
          <w:i/>
        </w:rPr>
        <w:t xml:space="preserve">(Mới v2.4)</w:t>
      </w:r>
    </w:p>
    <w:bookmarkEnd w:id="179"/>
    <w:bookmarkStart w:id="180" w:name="X7241ee869b897bec300afe2239fcffb546e80e2"/>
    <w:p>
      <w:pPr>
        <w:pStyle w:val="Heading2"/>
      </w:pPr>
      <w:r>
        <w:t xml:space="preserve">M. Công trình của tác giả luận án (NCS Đỗ Thùy Hương)</w:t>
      </w:r>
    </w:p>
    <w:p>
      <w:pPr>
        <w:pStyle w:val="FirstParagraph"/>
      </w:pPr>
      <w:r>
        <w:t xml:space="preserve">(Giữ nguyên từ v2.1 — 4 đã xuất bản 2024-2026 + 4 đang chuẩn bị P3/P4/P5/P8.)</w:t>
      </w:r>
    </w:p>
    <w:bookmarkEnd w:id="180"/>
    <w:bookmarkStart w:id="181" w:name="X1905c160c4cd52294e7a67a5792aaeb2433790b"/>
    <w:p>
      <w:pPr>
        <w:pStyle w:val="Heading2"/>
      </w:pPr>
      <w:r>
        <w:t xml:space="preserve">N. Lý thuyết tài nguyên + thể chế kinh tế chính trị + boundary cases</w:t>
      </w:r>
    </w:p>
    <w:p>
      <w:pPr>
        <w:pStyle w:val="FirstParagraph"/>
      </w:pPr>
      <w:r>
        <w:t xml:space="preserve">(Giữ nguyên từ v2.0 — Auty 1993, Beblawi 1987, Gerelmaa &amp; Kotani 2016, Hertog 2010, Hvidt 2013, Sachs &amp; Warner 2001, Hall &amp; Soskice 2001, Bertram 2006, Briguglio 1995. Tổng 9 entries.)</w:t>
      </w:r>
    </w:p>
    <w:bookmarkEnd w:id="181"/>
    <w:bookmarkStart w:id="182" w:name="X1ca9aa89636ad43de36398867e3fda3073628b0"/>
    <w:p>
      <w:pPr>
        <w:pStyle w:val="Heading2"/>
      </w:pPr>
      <w:r>
        <w:t xml:space="preserve">O. Văn bản pháp lý Việt Nam (cited trong CĐ1 Mục 7.3.3)</w:t>
      </w:r>
    </w:p>
    <w:p>
      <w:pPr>
        <w:pStyle w:val="FirstParagraph"/>
      </w:pPr>
      <w:r>
        <w:t xml:space="preserve">(Giữ nguyên từ v2.0 — 7 văn bản pháp lý + 8 hiệp định FTA.)</w:t>
      </w:r>
    </w:p>
    <w:bookmarkEnd w:id="182"/>
    <w:bookmarkStart w:id="183" w:name="X8c3cce854d69d4cec5e0e5c79c65fd3ecacba09"/>
    <w:p>
      <w:pPr>
        <w:pStyle w:val="Heading2"/>
      </w:pPr>
      <w:r>
        <w:t xml:space="preserve">P. World Bank Data360 Atlas 2026 và báo cáo AI-Finance (Mới v2.6)</w:t>
      </w:r>
    </w:p>
    <w:p>
      <w:pPr>
        <w:pStyle w:val="FirstParagraph"/>
      </w:pPr>
      <w:r>
        <w:t xml:space="preserve">Agnolucci, P., Kenworthy, P., &amp; Kose, M. A. (2026, May 7). Five questions on how the war in the Middle East is affecting commodity markets.</w:t>
      </w:r>
      <w:r>
        <w:t xml:space="preserve"> </w:t>
      </w:r>
      <w:r>
        <w:rPr>
          <w:iCs/>
          <w:i/>
        </w:rPr>
        <w:t xml:space="preserve">Let’s Talk Development</w:t>
      </w:r>
      <w:r>
        <w:t xml:space="preserve">. World Bank Blogs. https://blogs.worldbank.org/en/developmenttalk/five-questions-on-how-the-war-in-the-middle-east-is-affecting-co</w:t>
      </w:r>
      <w:r>
        <w:t xml:space="preserve"> </w:t>
      </w:r>
      <w:r>
        <w:rPr>
          <w:iCs/>
          <w:i/>
        </w:rPr>
        <w:t xml:space="preserve">(Mới v2.6 — Strait of Hormuz closure: 35% seaborne crude oil; Brent $72 thành $118/bbl March 2026; energy +24%; fertilizer +30%; EMDEs growth 3,6% downgrade 0,4pp; EMDE commodity exporters 2,4%.)</w:t>
      </w:r>
    </w:p>
    <w:p>
      <w:pPr>
        <w:pStyle w:val="BodyText"/>
      </w:pPr>
      <w:r>
        <w:t xml:space="preserve">Boeddu, G., Feyen, E., Martinez Jaramillo, S., Mesquita, S., Palta, Y., Sarkar, A., Sinha, S., &amp; Gutiérrez Traverso, A. (2025).</w:t>
      </w:r>
      <w:r>
        <w:t xml:space="preserve"> </w:t>
      </w:r>
      <w:r>
        <w:rPr>
          <w:iCs/>
          <w:i/>
        </w:rPr>
        <w:t xml:space="preserve">Artificial Intelligence for Financial Sector Supervision: An Emerging Market and Developing Economies Perspective</w:t>
      </w:r>
      <w:r>
        <w:t xml:space="preserve"> </w:t>
      </w:r>
      <w:r>
        <w:t xml:space="preserve">(Prosperity Insight Series). World Bank Group. https://doi.org/10.1596/978-1-4648-2132-7</w:t>
      </w:r>
      <w:r>
        <w:t xml:space="preserve"> </w:t>
      </w:r>
      <w:r>
        <w:rPr>
          <w:iCs/>
          <w:i/>
        </w:rPr>
        <w:t xml:space="preserve">(Mới v2.6 — G20 report to Finance Ministers; survey 70+ EMDEs financial authorities; 3 challenges: skills gap, data quality, digitization of existing systems.)</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r>
        <w:t xml:space="preserve"> </w:t>
      </w:r>
      <w:r>
        <w:rPr>
          <w:iCs/>
          <w:i/>
        </w:rPr>
        <w:t xml:space="preserve">(Mới v2.6 — ChatGPT 50× per internet user HIC vs LIC; 5GB data = ~50% remaining budget after food in LICs; only 5% LIC population had basic digital skills 2023; HICs hold 77% global data center capacity; US 20,000× more servers per capita than LICs.)</w:t>
      </w:r>
    </w:p>
    <w:p>
      <w:pPr>
        <w:pStyle w:val="BodyText"/>
      </w:pPr>
      <w:r>
        <w:t xml:space="preserve">Pirlea, A. F., &amp; Corso, L. (2026, May). The unfinished digital revolution: Expanding internet access. In</w:t>
      </w:r>
      <w:r>
        <w:t xml:space="preserve"> </w:t>
      </w:r>
      <w:r>
        <w:rPr>
          <w:iCs/>
          <w:i/>
        </w:rPr>
        <w:t xml:space="preserve">Atlas of Global Development 2026</w:t>
      </w:r>
      <w:r>
        <w:t xml:space="preserve">. World Bank Data360. World Bank Group. https://data360.worldbank.org/en/int/atlas/internet-access</w:t>
      </w:r>
      <w:r>
        <w:t xml:space="preserve"> </w:t>
      </w:r>
      <w:r>
        <w:rPr>
          <w:iCs/>
          <w:i/>
        </w:rPr>
        <w:t xml:space="preserve">(Mới v2.6 — 2,2 tỷ người offline (2025); Bangladesh: 100% 4G coverage nhưng chỉ 53% dùng Internet (coverage-to-connection gap); 280 triệu men online hơn women; Singapore/UAE/Chile &gt;300 Mbps vs LIC &lt;20 Mbps.)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r>
        <w:t xml:space="preserve"> </w:t>
      </w:r>
      <w:r>
        <w:rPr>
          <w:iCs/>
          <w:i/>
        </w:rPr>
        <w:t xml:space="preserve">(Mới v2.7 — progress slowest on record in 15 of 26 tracked development indicators; SIDS and Sub-Saharan Africa most affected; 75 years of development data: 121,249 data points, 107 datasets; per-capita income growth in LICs 2020-2025 below historical average; poorest quintile lost most ground since COVID-19 disruption.)</w:t>
      </w:r>
    </w:p>
    <w:p>
      <w:r>
        <w:pict>
          <v:rect style="width:0;height:1.5pt" o:hralign="center" o:hrstd="t" o:hr="t"/>
        </w:pict>
      </w:r>
    </w:p>
    <w:bookmarkEnd w:id="183"/>
    <w:bookmarkStart w:id="184" w:name="X9fda309e68ad5febed2f75ba3907e03a038cbb1"/>
    <w:p>
      <w:pPr>
        <w:pStyle w:val="Heading2"/>
      </w:pPr>
      <w:r>
        <w:t xml:space="preserve">Bổ sung v2.7 — Tham khảo cốt lõi từ P3/P4/P5/P6/P7/CĐ1/CĐ2</w:t>
      </w:r>
    </w:p>
    <w:p>
      <w:pPr>
        <w:pStyle w:val="FirstParagraph"/>
      </w:pPr>
      <w:r>
        <w:rPr>
          <w:iCs/>
          <w:i/>
        </w:rPr>
        <w:t xml:space="preserve">Các entry dưới đây được thêm để giải quyết 85 warnings từ format-apa7.py. DOIs đã verify từ bản thảo gốc.</w:t>
      </w:r>
    </w:p>
    <w:p>
      <w:pPr>
        <w:pStyle w:val="BodyText"/>
      </w:pPr>
      <w:r>
        <w:t xml:space="preserve">Banerjee, A. V., &amp; Duflo, E. (2014). Do firms want to borrow more? Testing credit constraints using a directed lending program.</w:t>
      </w:r>
      <w:r>
        <w:t xml:space="preserve"> </w:t>
      </w:r>
      <w:r>
        <w:rPr>
          <w:iCs/>
          <w:i/>
        </w:rPr>
        <w:t xml:space="preserve">Review of Economic Studies, 81</w:t>
      </w:r>
      <w:r>
        <w:t xml:space="preserve">(2), 572-607. https://doi.org/10.1093/restud/rdt046</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 https://doi.org/10.2307/2533446</w:t>
      </w:r>
    </w:p>
    <w:p>
      <w:pPr>
        <w:pStyle w:val="BodyText"/>
      </w:pPr>
      <w:r>
        <w:t xml:space="preserve">Bertram, G. (2006). Introduction: The MIRAB model in the twenty-first century.</w:t>
      </w:r>
      <w:r>
        <w:t xml:space="preserve"> </w:t>
      </w:r>
      <w:r>
        <w:rPr>
          <w:iCs/>
          <w:i/>
        </w:rPr>
        <w:t xml:space="preserve">Asia Pacific Viewpoint, 47</w:t>
      </w:r>
      <w:r>
        <w:t xml:space="preserve">(1), 1-13. https://doi.org/10.1111/j.1467-8373.2006.00297.x</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https://doi.org/10.1596/978-1-4648-1219-6</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 https://doi.org/10.1111/j.0006-341X.2000.00455.x</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 https://doi.org/10.1136/bmj.315.7109.629</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 https://doi.org/10.1093/0199247757.001.0001</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 https://doi.org/10.1162/qjec.2009.124.4.1403</w:t>
      </w:r>
    </w:p>
    <w:p>
      <w:pPr>
        <w:pStyle w:val="BodyText"/>
      </w:pPr>
      <w:r>
        <w:t xml:space="preserve">Hsu, M.-L., &amp; Boggs, D. J. (2003). Internationalization and performance: Traditional measures and their decomposition.</w:t>
      </w:r>
      <w:r>
        <w:t xml:space="preserve"> </w:t>
      </w:r>
      <w:r>
        <w:rPr>
          <w:iCs/>
          <w:i/>
        </w:rPr>
        <w:t xml:space="preserve">Multinational Business Review, 11</w:t>
      </w:r>
      <w:r>
        <w:t xml:space="preserve">(3), 23-49. https://doi.org/10.1108/1525383X200300015</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 https://doi.org/10.1016/j.jwb.2012.06.001</w:t>
      </w:r>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 https://doi.org/10.1057/palgrave.jibs.8400071</w:t>
      </w:r>
    </w:p>
    <w:p>
      <w:pPr>
        <w:pStyle w:val="BodyText"/>
      </w:pPr>
      <w:r>
        <w:t xml:space="preserve">La Porta, R., &amp; Shleifer, A. (2014). Informality and development.</w:t>
      </w:r>
      <w:r>
        <w:t xml:space="preserve"> </w:t>
      </w:r>
      <w:r>
        <w:rPr>
          <w:iCs/>
          <w:i/>
        </w:rPr>
        <w:t xml:space="preserve">Journal of Economic Perspectives, 28</w:t>
      </w:r>
      <w:r>
        <w:t xml:space="preserve">(3), 109-126. https://doi.org/10.1257/jep.28.3.109</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Y., Liu, Y., &amp; Qian, C. (2022). Digitalization, internationalization, and firm performance: Evidence from Chinese manufacturing firms.</w:t>
      </w:r>
      <w:r>
        <w:t xml:space="preserve"> </w:t>
      </w:r>
      <w:r>
        <w:rPr>
          <w:iCs/>
          <w:i/>
        </w:rPr>
        <w:t xml:space="preserve">International Business Review, 31</w:t>
      </w:r>
      <w:r>
        <w:t xml:space="preserve">(3), 101953. https://doi.org/10.1016/j.ibusrev.2021.101953</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 https://doi.org/10.5465/amj.2013.0319</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 https://doi.org/10.1016/S0969-5931(98)00013-4</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 https://doi.org/10.2307/256635</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 https://doi.org/10.1002/smj.4250180702</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 https://doi.org/10.1177/1534484305278283</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 https://unctad.org/wir2023</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https://doi.org/10.2307/256411</w:t>
      </w:r>
    </w:p>
    <w:p>
      <w:pPr>
        <w:pStyle w:val="BodyText"/>
      </w:pPr>
      <w:r>
        <w:t xml:space="preserve">Pirlea, A. F., Wadhwa, D., Mahler, D., Serajuddin, U., Welch, M., Thudt, A., &amp; Lambrechts, M. (Eds.). (2026).</w:t>
      </w:r>
      <w:r>
        <w:t xml:space="preserve"> </w:t>
      </w:r>
      <w:r>
        <w:rPr>
          <w:iCs/>
          <w:i/>
        </w:rPr>
        <w:t xml:space="preserve">Atlas of Global Development 2026</w:t>
      </w:r>
      <w:r>
        <w:t xml:space="preserve"> </w:t>
      </w:r>
      <w:r>
        <w:t xml:space="preserve">(License: Creative Commons Attribution CC BY 3.0 IGO). World Bank. https://data360.worldbank.org/en/int/atlas</w:t>
      </w:r>
      <w:r>
        <w:t xml:space="preserve"> </w:t>
      </w:r>
      <w:r>
        <w:rPr>
          <w:iCs/>
          <w:i/>
        </w:rPr>
        <w:t xml:space="preserve">(Mới v2.6 — 121,249 data points, 107 datasets, 95 interactive visualizations; tracks progress across 75 years; 5 themes: People, Prosperity, Planet, Infrastructure, Digital; progress slowest on record in 15 of 26 development indicators.)</w:t>
      </w:r>
    </w:p>
    <w:p>
      <w:r>
        <w:pict>
          <v:rect style="width:0;height:1.5pt" o:hralign="center" o:hrstd="t" o:hr="t"/>
        </w:pict>
      </w:r>
    </w:p>
    <w:bookmarkEnd w:id="184"/>
    <w:bookmarkStart w:id="185" w:name="X4863c99e382dd33e45c83c62d65ccdbfdf2be54"/>
    <w:p>
      <w:pPr>
        <w:pStyle w:val="Heading2"/>
      </w:pPr>
      <w:r>
        <w:t xml:space="preserve">Q. Singapore innovation ecosystem 2025/2026 (Mới v2.7 — P4 contextual grounding)</w:t>
      </w:r>
    </w:p>
    <w:p>
      <w:pPr>
        <w:pStyle w:val="FirstParagraph"/>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r>
        <w:t xml:space="preserve"> </w:t>
      </w:r>
      <w:r>
        <w:rPr>
          <w:iCs/>
          <w:i/>
        </w:rPr>
        <w:t xml:space="preserve">(Mới v2.7 — SWITCH 2025: 25,000+ attendees from 100+ countries; 6,800+ SLINGSHOT applications from 150 markets; S$2M prize pool; 10th edition SG60.)</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r>
        <w:t xml:space="preserve"> </w:t>
      </w:r>
      <w:r>
        <w:rPr>
          <w:iCs/>
          <w:i/>
        </w:rPr>
        <w:t xml:space="preserve">(Mới v2.7 — Singapore ranked 3rd globally UN e-Government Survey 2024; Smart Nation 2.0 (2024) framed around Trust, Growth, Community.)</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r>
        <w:t xml:space="preserve"> </w:t>
      </w:r>
      <w:r>
        <w:rPr>
          <w:iCs/>
          <w:i/>
        </w:rPr>
        <w:t xml:space="preserve">(Mới v2.7 — ATxSG 2025: 22,000 attendees from 110 regions; 450+ speakers; 700+ exhibitors; 34 international pavilions; 5th anniversary.)</w:t>
      </w:r>
    </w:p>
    <w:p>
      <w:pPr>
        <w:pStyle w:val="BodyText"/>
      </w:pPr>
      <w:r>
        <w:t xml:space="preserve">StartupBlink. (2025).</w:t>
      </w:r>
      <w:r>
        <w:t xml:space="preserve"> </w:t>
      </w:r>
      <w:r>
        <w:rPr>
          <w:iCs/>
          <w:i/>
        </w:rPr>
        <w:t xml:space="preserve">Global Startup Ecosystem Index 2025: Singapore profile</w:t>
      </w:r>
      <w:r>
        <w:t xml:space="preserve">. StartupBlink Research. https://www.startupblink.com/startup-ecosystem/singapore</w:t>
      </w:r>
      <w:r>
        <w:t xml:space="preserve"> </w:t>
      </w:r>
      <w:r>
        <w:rPr>
          <w:iCs/>
          <w:i/>
        </w:rPr>
        <w:t xml:space="preserve">(Mới v2.7 — Singapore ranked 4th globally in 2025 (up from 5th in 2024); ecosystem growth rate 44.9% vs top-20 average 28.5%.)</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rPr>
          <w:iCs/>
          <w:i/>
        </w:rPr>
        <w:t xml:space="preserve">(Mới v2.7 — Singapore ranked 2nd globally (score 99.145/100); 1st in Asia Pacific; 30+ parameters across Regulation &amp; Governance, Access to Capital, Taxation, Digital Infrastructure, Global Mobility.)</w:t>
      </w:r>
    </w:p>
    <w:p>
      <w:r>
        <w:pict>
          <v:rect style="width:0;height:1.5pt" o:hralign="center" o:hrstd="t" o:hr="t"/>
        </w:pict>
      </w:r>
    </w:p>
    <w:bookmarkEnd w:id="185"/>
    <w:bookmarkStart w:id="186" w:name="Xbd941738ba66bb94640e93ff5b476f7b031b91b"/>
    <w:p>
      <w:pPr>
        <w:pStyle w:val="Heading2"/>
      </w:pPr>
      <w:r>
        <w:t xml:space="preserve">R. Tài liệu mới bổ sung v2.8 — Trade Restructuring + P4/P5 missing entries</w:t>
      </w:r>
    </w:p>
    <w:p>
      <w:pPr>
        <w:pStyle w:val="FirstParagraph"/>
      </w:pPr>
      <w:r>
        <w:t xml:space="preserve">Abreha, K., &amp; Lopez Acevedo, G. (2024).</w:t>
      </w:r>
      <w:r>
        <w:t xml:space="preserve"> </w:t>
      </w:r>
      <w:r>
        <w:rPr>
          <w:iCs/>
          <w:i/>
        </w:rPr>
        <w:t xml:space="preserve">Trade restructuring: Assessing labor market and welfare effects</w:t>
      </w:r>
      <w:r>
        <w:t xml:space="preserve"> </w:t>
      </w:r>
      <w:r>
        <w:t xml:space="preserve">(Policy Research Working Paper No. 10955). World Bank Group.</w:t>
      </w:r>
      <w:r>
        <w:t xml:space="preserve"> </w:t>
      </w:r>
      <w:r>
        <w:rPr>
          <w:iCs/>
          <w:i/>
        </w:rPr>
        <w:t xml:space="preserve">(Cited in P5 Mục 2 — trade re-equilibration, US-China tariff cycle, bilateral trade flow reorientation; Poverty and Equity Global Practice, October 2024.)</w:t>
      </w:r>
    </w:p>
    <w:p>
      <w:pPr>
        <w:pStyle w:val="BodyText"/>
      </w:pPr>
      <w:r>
        <w:rPr>
          <w:iCs/>
          <w:i/>
        </w:rPr>
        <w:t xml:space="preserve">(Các tài liệu World Bank DPI, Vietnam FCI Snapshot, Taking Stock, GDKC đã được lưu trong Section P — World Bank 2025a/b/c/d.)</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https://doi.org/10.1002/smj.118</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r>
        <w:pict>
          <v:rect style="width:0;height:1.5pt" o:hralign="center" o:hrstd="t" o:hr="t"/>
        </w:pict>
      </w:r>
    </w:p>
    <w:bookmarkEnd w:id="186"/>
    <w:bookmarkStart w:id="187" w:name="Xef809cfcfe0baf8ba5c87a5d2dc964c02e59512"/>
    <w:p>
      <w:pPr>
        <w:pStyle w:val="Heading2"/>
      </w:pPr>
      <w:r>
        <w:t xml:space="preserve">T. World Bank Policy Research Working Papers — Bổ sung v2.9 (16/05/2026)</w:t>
      </w:r>
    </w:p>
    <w:p>
      <w:pPr>
        <w:pStyle w:val="BlockText"/>
      </w:pPr>
      <w:r>
        <w:t xml:space="preserve">5 entries từ đánh giá 11 PDFs upload ngày 16/05/2026. Xếp theo thứ tự APA7 (tác giả đầu tiên).</w:t>
      </w:r>
      <w:r>
        <w:t xml:space="preserve"> </w:t>
      </w:r>
      <w:r>
        <w:rPr>
          <w:bCs/>
          <w:b/>
        </w:rPr>
        <w:t xml:space="preserve">Disambiguation quan trọng</w:t>
      </w:r>
      <w:r>
        <w:t xml:space="preserve">: Mahler et al. (2026) WPS11350 (Mahler, Serajuddin, Wadhwa &amp; Yonzan) ≠ Mahler, Wang &amp; Weber (2026) Atlas chapter (Section P). Dùng hậu tố</w:t>
      </w:r>
      <w:r>
        <w:t xml:space="preserve"> </w:t>
      </w:r>
      <w:r>
        <w:t xml:space="preserve">“</w:t>
      </w:r>
      <w:r>
        <w:t xml:space="preserve">a/b</w:t>
      </w:r>
      <w:r>
        <w:t xml:space="preserve">”</w:t>
      </w:r>
      <w:r>
        <w:t xml:space="preserve"> </w:t>
      </w:r>
      <w:r>
        <w:t xml:space="preserve">trong in-text nếu trích dẫn cả hai trong cùng văn bản.</w:t>
      </w:r>
    </w:p>
    <w:p>
      <w:pPr>
        <w:pStyle w:val="FirstParagraph"/>
      </w:pPr>
      <w:r>
        <w:t xml:space="preserve">Agarwal, A., Barattieri, A., &amp; Mattoo, A. (2026, April).</w:t>
      </w:r>
      <w:r>
        <w:t xml:space="preserve"> </w:t>
      </w:r>
      <w:r>
        <w:rPr>
          <w:iCs/>
          <w:i/>
        </w:rPr>
        <w:t xml:space="preserve">Foreign demand shocks and domestic value added: Firm-level evidence from Viet Nam</w:t>
      </w:r>
      <w:r>
        <w:t xml:space="preserve"> </w:t>
      </w:r>
      <w:r>
        <w:t xml:space="preserve">(Policy Research Working Paper No. 11352). World Bank Group.</w:t>
      </w:r>
      <w:r>
        <w:t xml:space="preserve"> </w:t>
      </w:r>
      <w:r>
        <w:rPr>
          <w:iCs/>
          <w:i/>
        </w:rPr>
        <w:t xml:space="preserve">(Mới v2.9 — Vietnam DVAR tăng mạnh từ 2018: US demand shock 8,76% thành DVAR +2,49 pp trong 2018-2020, giải thích 68,5% tổng tăng DVAR; firms phản ứng bằng cách xuất khẩu nhiều hơn sang cả US và non-US markets và ghi nhận tăng năng suất lao động; non-Chinese-owned firms là động lực chính; cơ chế: implicit rules of origin + FDI vào intermediates. Sử dụng matched firm-level + customs data 2016-2020. Cited P3 Mục 5 Discussion — corroboration cho ascending-limb mechanism.)</w:t>
      </w:r>
    </w:p>
    <w:p>
      <w:pPr>
        <w:pStyle w:val="BodyText"/>
      </w:pPr>
      <w:r>
        <w:t xml:space="preserve">Barattieri, A., Mattoo, A., &amp; Signoret, J. (2026, April).</w:t>
      </w:r>
      <w:r>
        <w:t xml:space="preserve"> </w:t>
      </w:r>
      <w:r>
        <w:rPr>
          <w:iCs/>
          <w:i/>
        </w:rPr>
        <w:t xml:space="preserve">Foreign tariffs as catalysts for reform? The potential development dividend</w:t>
      </w:r>
      <w:r>
        <w:t xml:space="preserve"> </w:t>
      </w:r>
      <w:r>
        <w:t xml:space="preserve">(Policy Research Working Paper No. 11354). World Bank Group.</w:t>
      </w:r>
      <w:r>
        <w:t xml:space="preserve"> </w:t>
      </w:r>
      <w:r>
        <w:rPr>
          <w:iCs/>
          <w:i/>
        </w:rPr>
        <w:t xml:space="preserve">(Mới v2.9 — Vietnam: liberalization dịch vụ thương mại 2008-2016 thành +2,9% năng suất hàng năm trong dịch vụ, +3,1% trong sản xuất;</w:t>
      </w:r>
      <w:r>
        <w:rPr>
          <w:iCs/>
          <w:i/>
        </w:rPr>
        <w:t xml:space="preserve"> </w:t>
      </w:r>
      <w:r>
        <w:rPr>
          <w:iCs/>
          <w:i/>
        </w:rPr>
        <w:t xml:space="preserve">“</w:t>
      </w:r>
      <w:r>
        <w:rPr>
          <w:iCs/>
          <w:i/>
        </w:rPr>
        <w:t xml:space="preserve">China-plus-one</w:t>
      </w:r>
      <w:r>
        <w:rPr>
          <w:iCs/>
          <w:i/>
        </w:rPr>
        <w:t xml:space="preserve">”</w:t>
      </w:r>
      <w:r>
        <w:rPr>
          <w:iCs/>
          <w:i/>
        </w:rPr>
        <w:t xml:space="preserve"> </w:t>
      </w:r>
      <w:r>
        <w:rPr>
          <w:iCs/>
          <w:i/>
        </w:rPr>
        <w:t xml:space="preserve">strategy lợi ích hạn chế cho phần lớn đang phát triển; US Supreme Court Feb 20 2026 tuyên bố IEEPA tariffs unconstitutional. Cited P3 Mục 5.5 Policy implications — macro-level corroboration cho tác động của mở cửa thương mại lên năng suất Việt Nam.)</w:t>
      </w:r>
    </w:p>
    <w:p>
      <w:pPr>
        <w:pStyle w:val="BodyText"/>
      </w:pPr>
      <w:r>
        <w:t xml:space="preserve">Geginat, C., &amp; Ramalho, R. (2015).</w:t>
      </w:r>
      <w:r>
        <w:t xml:space="preserve"> </w:t>
      </w:r>
      <w:r>
        <w:rPr>
          <w:iCs/>
          <w:i/>
        </w:rPr>
        <w:t xml:space="preserve">Electricity connections and firm performance in 183 countries</w:t>
      </w:r>
      <w:r>
        <w:t xml:space="preserve"> </w:t>
      </w:r>
      <w:r>
        <w:t xml:space="preserve">(Policy Research Working Paper No. 7460). World Bank Group.</w:t>
      </w:r>
      <w:r>
        <w:t xml:space="preserve"> </w:t>
      </w:r>
      <w:r>
        <w:rPr>
          <w:iCs/>
          <w:i/>
        </w:rPr>
        <w:t xml:space="preserve">(Mới v2.9 — WBES-based; LICs mất gấp 2 lần thời gian và trả gấp 70 lần chi phí kết nối điện so với HICs; chất lượng điện thành firm performance; phân tích 183 quốc gia. Cited P8 / CD1 — infrastructure quality như institutional void context cho SIDS.)</w:t>
      </w:r>
    </w:p>
    <w:p>
      <w:pPr>
        <w:pStyle w:val="BodyText"/>
      </w:pPr>
      <w:r>
        <w:t xml:space="preserve">Kim, G., Kumar, T., Ramalho, R., &amp; Russell, S. (2026, January).</w:t>
      </w:r>
      <w:r>
        <w:t xml:space="preserve"> </w:t>
      </w:r>
      <w:r>
        <w:rPr>
          <w:iCs/>
          <w:i/>
        </w:rPr>
        <w:t xml:space="preserve">Institutional capacity for policy implementation: An analytical framework</w:t>
      </w:r>
      <w:r>
        <w:t xml:space="preserve"> </w:t>
      </w:r>
      <w:r>
        <w:t xml:space="preserve">(Policy Research Working Paper No. 11279). World Bank Group.</w:t>
      </w:r>
      <w:r>
        <w:t xml:space="preserve"> </w:t>
      </w:r>
      <w:r>
        <w:rPr>
          <w:iCs/>
          <w:i/>
        </w:rPr>
        <w:t xml:space="preserve">(Mới v2.9 — Định nghĩa</w:t>
      </w:r>
      <w:r>
        <w:rPr>
          <w:iCs/>
          <w:i/>
        </w:rPr>
        <w:t xml:space="preserve"> </w:t>
      </w:r>
      <w:r>
        <w:rPr>
          <w:iCs/>
          <w:i/>
        </w:rPr>
        <w:t xml:space="preserve">“</w:t>
      </w:r>
      <w:r>
        <w:rPr>
          <w:iCs/>
          <w:i/>
        </w:rPr>
        <w:t xml:space="preserve">năng lực thể chế</w:t>
      </w:r>
      <w:r>
        <w:rPr>
          <w:iCs/>
          <w:i/>
        </w:rPr>
        <w:t xml:space="preserve">”</w:t>
      </w:r>
      <w:r>
        <w:rPr>
          <w:iCs/>
          <w:i/>
        </w:rPr>
        <w:t xml:space="preserve"> </w:t>
      </w:r>
      <w:r>
        <w:rPr>
          <w:iCs/>
          <w:i/>
        </w:rPr>
        <w:t xml:space="preserve">= khả năng thực thi chính sách của các tổ chức công; hai chiều: Tổ chức (nhân sự, tài chính, hệ thống thông tin, quản lý) và Quản trị (minh bạch, độc lập, trách nhiệm giải trình); xây dựng trên North (1990); phân tích</w:t>
      </w:r>
      <w:r>
        <w:rPr>
          <w:iCs/>
          <w:i/>
        </w:rPr>
        <w:t xml:space="preserve"> </w:t>
      </w:r>
      <w:r>
        <w:rPr>
          <w:iCs/>
          <w:i/>
        </w:rPr>
        <w:t xml:space="preserve">“</w:t>
      </w:r>
      <w:r>
        <w:rPr>
          <w:iCs/>
          <w:i/>
        </w:rPr>
        <w:t xml:space="preserve">islands of excellence</w:t>
      </w:r>
      <w:r>
        <w:rPr>
          <w:iCs/>
          <w:i/>
        </w:rPr>
        <w:t xml:space="preserve">”</w:t>
      </w:r>
      <w:r>
        <w:rPr>
          <w:iCs/>
          <w:i/>
        </w:rPr>
        <w:t xml:space="preserve"> </w:t>
      </w:r>
      <w:r>
        <w:rPr>
          <w:iCs/>
          <w:i/>
        </w:rPr>
        <w:t xml:space="preserve">trong môi trường năng lực thấp; tương quan dương vững giữa năng lực thể chế và phát triển kinh tế. Cited CD2 Mục 3.3 Tầng 3 Institutional Theory — cung cấp định nghĩa và framework chính thức cho ICRV 6-regime classification.)</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r>
        <w:t xml:space="preserve"> </w:t>
      </w:r>
      <w:r>
        <w:rPr>
          <w:iCs/>
          <w:i/>
        </w:rPr>
        <w:t xml:space="preserve">(Mới v2.9 — Phương pháp mới đo tiến bộ xã hội qua 6 chỉ số: nghèo đói, tuổi thọ, giáo dục, bình đẳng giới, khí hậu, điện; phát triển chậm nhất kể từ 1950 (75 năm); 54 quốc gia ≥100 năm để đạt chuẩn developed; không có chậm lại, 150 triệu ít nghèo hơn; SIDS đại diện không cân xứng trong nhóm</w:t>
      </w:r>
      <w:r>
        <w:rPr>
          <w:iCs/>
          <w:i/>
        </w:rPr>
        <w:t xml:space="preserve"> </w:t>
      </w:r>
      <w:r>
        <w:rPr>
          <w:iCs/>
          <w:i/>
        </w:rPr>
        <w:t xml:space="preserve">“</w:t>
      </w:r>
      <w:r>
        <w:rPr>
          <w:iCs/>
          <w:i/>
        </w:rPr>
        <w:t xml:space="preserve">stuck countries</w:t>
      </w:r>
      <w:r>
        <w:rPr>
          <w:iCs/>
          <w:i/>
        </w:rPr>
        <w:t xml:space="preserve">”</w:t>
      </w:r>
      <w:r>
        <w:rPr>
          <w:iCs/>
          <w:i/>
        </w:rPr>
        <w:t xml:space="preserve">.</w:t>
      </w:r>
      <w:r>
        <w:rPr>
          <w:iCs/>
          <w:i/>
        </w:rPr>
        <w:t xml:space="preserve"> </w:t>
      </w:r>
      <w:r>
        <w:rPr>
          <w:bCs/>
          <w:b/>
          <w:iCs/>
          <w:i/>
        </w:rPr>
        <w:t xml:space="preserve">PHÂN BIỆT</w:t>
      </w:r>
      <w:r>
        <w:rPr>
          <w:iCs/>
          <w:i/>
        </w:rPr>
        <w:t xml:space="preserve">: Mahler, Serajuddin, Wadhwa &amp; Yonzan (2026) WPS11350 ≠ Mahler, Wang &amp; Weber (2026) Atlas/AI chapter Section P. Dùng</w:t>
      </w:r>
      <w:r>
        <w:rPr>
          <w:iCs/>
          <w:i/>
        </w:rPr>
        <w:t xml:space="preserve"> </w:t>
      </w:r>
      <w:r>
        <w:rPr>
          <w:iCs/>
          <w:i/>
        </w:rPr>
        <w:t xml:space="preserve">“</w:t>
      </w:r>
      <w:r>
        <w:rPr>
          <w:iCs/>
          <w:i/>
        </w:rPr>
        <w:t xml:space="preserve">Mahler et al. (2026b)</w:t>
      </w:r>
      <w:r>
        <w:rPr>
          <w:iCs/>
          <w:i/>
        </w:rPr>
        <w:t xml:space="preserve">”</w:t>
      </w:r>
      <w:r>
        <w:rPr>
          <w:iCs/>
          <w:i/>
        </w:rPr>
        <w:t xml:space="preserve"> </w:t>
      </w:r>
      <w:r>
        <w:rPr>
          <w:iCs/>
          <w:i/>
        </w:rPr>
        <w:t xml:space="preserve">nếu trích dẫn cả hai. Cited P8 Mục 1 Introduction — structural developmental constraints cho Pacific SIDS FIP mechanism.)</w:t>
      </w:r>
    </w:p>
    <w:p>
      <w:r>
        <w:pict>
          <v:rect style="width:0;height:1.5pt" o:hralign="center" o:hrstd="t" o:hr="t"/>
        </w:pict>
      </w:r>
    </w:p>
    <w:bookmarkEnd w:id="187"/>
    <w:bookmarkStart w:id="191" w:name="hướng-dẫn-sử-dụng-cập-nhật-v2.5"/>
    <w:p>
      <w:pPr>
        <w:pStyle w:val="Heading2"/>
      </w:pPr>
      <w:r>
        <w:t xml:space="preserve">Hướng dẫn sử dụng (cập nhật v2.5)</w:t>
      </w:r>
    </w:p>
    <w:bookmarkStart w:id="188" w:name="trong-bản-thảo-luận-án"/>
    <w:p>
      <w:pPr>
        <w:pStyle w:val="Heading3"/>
      </w:pPr>
      <w:r>
        <w:t xml:space="preserve">Trong bản thảo luận án</w:t>
      </w:r>
    </w:p>
    <w:p>
      <w:pPr>
        <w:numPr>
          <w:ilvl w:val="0"/>
          <w:numId w:val="1012"/>
        </w:numPr>
        <w:pStyle w:val="Compact"/>
      </w:pPr>
      <w:r>
        <w:t xml:space="preserve">Dùng in-text citation theo author-date.</w:t>
      </w:r>
    </w:p>
    <w:p>
      <w:pPr>
        <w:numPr>
          <w:ilvl w:val="0"/>
          <w:numId w:val="1012"/>
        </w:numPr>
        <w:pStyle w:val="Compact"/>
      </w:pPr>
      <w:r>
        <w:t xml:space="preserve">3+ tác giả: dùng</w:t>
      </w:r>
      <w:r>
        <w:t xml:space="preserve"> </w:t>
      </w:r>
      <w:r>
        <w:rPr>
          <w:iCs/>
          <w:i/>
        </w:rPr>
        <w:t xml:space="preserve">et al.</w:t>
      </w:r>
      <w:r>
        <w:t xml:space="preserve"> </w:t>
      </w:r>
      <w:r>
        <w:t xml:space="preserve">ngay từ trích dẫn đầu tiên.</w:t>
      </w:r>
    </w:p>
    <w:p>
      <w:pPr>
        <w:numPr>
          <w:ilvl w:val="0"/>
          <w:numId w:val="1012"/>
        </w:numPr>
        <w:pStyle w:val="Compact"/>
      </w:pPr>
      <w:r>
        <w:t xml:space="preserve">Trích dẫn công trình</w:t>
      </w:r>
      <w:r>
        <w:t xml:space="preserve"> </w:t>
      </w:r>
      <w:r>
        <w:rPr>
          <w:bCs/>
          <w:b/>
        </w:rPr>
        <w:t xml:space="preserve">đã công bố</w:t>
      </w:r>
      <w:r>
        <w:t xml:space="preserve"> </w:t>
      </w:r>
      <w:r>
        <w:t xml:space="preserve">của tác giả luận án: dùng suffix năm chuẩn APA 7 —</w:t>
      </w:r>
      <w:r>
        <w:t xml:space="preserve"> </w:t>
      </w:r>
      <w:r>
        <w:t xml:space="preserve">“</w:t>
      </w:r>
      <w:r>
        <w:t xml:space="preserve">Do và Phan (2026a)</w:t>
      </w:r>
      <w:r>
        <w:t xml:space="preserve">”</w:t>
      </w:r>
      <w:r>
        <w:t xml:space="preserve"> </w:t>
      </w:r>
      <w:r>
        <w:t xml:space="preserve">(</w:t>
      </w:r>
      <w:r>
        <w:rPr>
          <w:iCs/>
          <w:i/>
        </w:rPr>
        <w:t xml:space="preserve">Vietnam Economic &amp; Financial Review</w:t>
      </w:r>
      <w:r>
        <w:t xml:space="preserve">) và</w:t>
      </w:r>
      <w:r>
        <w:t xml:space="preserve"> </w:t>
      </w:r>
      <w:r>
        <w:t xml:space="preserve">“</w:t>
      </w:r>
      <w:r>
        <w:t xml:space="preserve">Do và Phan (2026b)</w:t>
      </w:r>
      <w:r>
        <w:t xml:space="preserve">”</w:t>
      </w:r>
      <w:r>
        <w:t xml:space="preserve"> </w:t>
      </w:r>
      <w:r>
        <w:t xml:space="preserve">(</w:t>
      </w:r>
      <w:r>
        <w:rPr>
          <w:iCs/>
          <w:i/>
        </w:rPr>
        <w:t xml:space="preserve">Journal of Finance &amp; Accounting Research</w:t>
      </w:r>
      <w:r>
        <w:t xml:space="preserve">). Các phân tích quốc gia/đa quốc gia thành phần (Việt Nam, Singapore, Trung Quốc, tổng hợp, đa quốc gia, SIDS)</w:t>
      </w:r>
      <w:r>
        <w:t xml:space="preserve"> </w:t>
      </w:r>
      <w:r>
        <w:rPr>
          <w:bCs/>
          <w:b/>
        </w:rPr>
        <w:t xml:space="preserve">chưa xuất bản</w:t>
      </w:r>
      <w:r>
        <w:t xml:space="preserve"> </w:t>
      </w:r>
      <w:r>
        <w:t xml:space="preserve">nên được trình bày trực tiếp như phân tích của chính luận án, không trích dẫn như nguồn đã công bố.</w:t>
      </w:r>
    </w:p>
    <w:p>
      <w:pPr>
        <w:numPr>
          <w:ilvl w:val="0"/>
          <w:numId w:val="1012"/>
        </w:numPr>
        <w:pStyle w:val="Compact"/>
      </w:pPr>
      <w:r>
        <w:t xml:space="preserve">Trích dẫn báo cáo quốc tế thường niên: dùng dạng</w:t>
      </w:r>
      <w:r>
        <w:t xml:space="preserve"> </w:t>
      </w:r>
      <w:r>
        <w:t xml:space="preserve">“</w:t>
      </w:r>
      <w:r>
        <w:t xml:space="preserve">IMF (2026, April)</w:t>
      </w:r>
      <w:r>
        <w:t xml:space="preserve">”</w:t>
      </w:r>
      <w:r>
        <w:t xml:space="preserve"> </w:t>
      </w:r>
      <w:r>
        <w:t xml:space="preserve">hoặc</w:t>
      </w:r>
      <w:r>
        <w:t xml:space="preserve"> </w:t>
      </w:r>
      <w:r>
        <w:t xml:space="preserve">“</w:t>
      </w:r>
      <w:r>
        <w:t xml:space="preserve">ADB (2026, April)</w:t>
      </w:r>
      <w:r>
        <w:t xml:space="preserve">”</w:t>
      </w:r>
      <w:r>
        <w:t xml:space="preserve">.</w:t>
      </w:r>
    </w:p>
    <w:p>
      <w:pPr>
        <w:numPr>
          <w:ilvl w:val="0"/>
          <w:numId w:val="1012"/>
        </w:numPr>
        <w:pStyle w:val="Compact"/>
      </w:pPr>
      <w:r>
        <w:rPr>
          <w:bCs/>
          <w:b/>
        </w:rPr>
        <w:t xml:space="preserve">Trích dẫn ADB Vietnam Outlook 2026 (v2.5)</w:t>
      </w:r>
      <w:r>
        <w:t xml:space="preserve">: dùng dạng</w:t>
      </w:r>
      <w:r>
        <w:t xml:space="preserve"> </w:t>
      </w:r>
      <w:r>
        <w:t xml:space="preserve">“</w:t>
      </w:r>
      <w:r>
        <w:t xml:space="preserve">ADB (2026, April — Vietnam Outlook)</w:t>
      </w:r>
      <w:r>
        <w:t xml:space="preserve">”</w:t>
      </w:r>
      <w:r>
        <w:t xml:space="preserve"> </w:t>
      </w:r>
      <w:r>
        <w:t xml:space="preserve">để phân biệt với ADO April 2026 cùng năm.</w:t>
      </w:r>
    </w:p>
    <w:p>
      <w:pPr>
        <w:numPr>
          <w:ilvl w:val="0"/>
          <w:numId w:val="1012"/>
        </w:numPr>
        <w:pStyle w:val="Compact"/>
      </w:pPr>
      <w:r>
        <w:rPr>
          <w:bCs/>
          <w:b/>
        </w:rPr>
        <w:t xml:space="preserve">Trích dẫn IFC Blueprint (v2.5)</w:t>
      </w:r>
      <w:r>
        <w:t xml:space="preserve">: dùng dạng</w:t>
      </w:r>
      <w:r>
        <w:t xml:space="preserve"> </w:t>
      </w:r>
      <w:r>
        <w:t xml:space="preserve">“</w:t>
      </w:r>
      <w:r>
        <w:t xml:space="preserve">IFC (n.d. — PSD Blueprint)</w:t>
      </w:r>
      <w:r>
        <w:t xml:space="preserve">”</w:t>
      </w:r>
      <w:r>
        <w:t xml:space="preserve"> </w:t>
      </w:r>
      <w:r>
        <w:t xml:space="preserve">hoặc</w:t>
      </w:r>
      <w:r>
        <w:t xml:space="preserve"> </w:t>
      </w:r>
      <w:r>
        <w:t xml:space="preserve">“</w:t>
      </w:r>
      <w:r>
        <w:t xml:space="preserve">IFC (Private Sector Development Blueprint)</w:t>
      </w:r>
      <w:r>
        <w:t xml:space="preserve">”</w:t>
      </w:r>
      <w:r>
        <w:t xml:space="preserve"> </w:t>
      </w:r>
      <w:r>
        <w:t xml:space="preserve">cho rõ.</w:t>
      </w:r>
    </w:p>
    <w:p>
      <w:pPr>
        <w:numPr>
          <w:ilvl w:val="0"/>
          <w:numId w:val="1012"/>
        </w:numPr>
        <w:pStyle w:val="Compact"/>
      </w:pPr>
      <w:r>
        <w:rPr>
          <w:bCs/>
          <w:b/>
        </w:rPr>
        <w:t xml:space="preserve">Trích dẫn WB FY26 classification (v2.5)</w:t>
      </w:r>
      <w:r>
        <w:t xml:space="preserve">: dùng dạng</w:t>
      </w:r>
      <w:r>
        <w:t xml:space="preserve"> </w:t>
      </w:r>
      <w:r>
        <w:t xml:space="preserve">“</w:t>
      </w:r>
      <w:r>
        <w:t xml:space="preserve">World Bank (2025 — FY26)</w:t>
      </w:r>
      <w:r>
        <w:t xml:space="preserve">”</w:t>
      </w:r>
      <w:r>
        <w:t xml:space="preserve"> </w:t>
      </w:r>
      <w:r>
        <w:t xml:space="preserve">để phân biệt với các tài liệu World Bank khác cùng năm.</w:t>
      </w:r>
    </w:p>
    <w:p>
      <w:pPr>
        <w:numPr>
          <w:ilvl w:val="0"/>
          <w:numId w:val="1012"/>
        </w:numPr>
        <w:pStyle w:val="Compact"/>
      </w:pPr>
      <w:r>
        <w:rPr>
          <w:bCs/>
          <w:b/>
        </w:rPr>
        <w:t xml:space="preserve">Trích dẫn WB WBES indicators Vietnamese (v2.5)</w:t>
      </w:r>
      <w:r>
        <w:t xml:space="preserve">: dùng dạng</w:t>
      </w:r>
      <w:r>
        <w:t xml:space="preserve"> </w:t>
      </w:r>
      <w:r>
        <w:t xml:space="preserve">“</w:t>
      </w:r>
      <w:r>
        <w:t xml:space="preserve">World Bank (n.d. — Vietnamese Indicators Summary)</w:t>
      </w:r>
      <w:r>
        <w:t xml:space="preserve">”</w:t>
      </w:r>
      <w:r>
        <w:t xml:space="preserve">.</w:t>
      </w:r>
    </w:p>
    <w:p>
      <w:pPr>
        <w:numPr>
          <w:ilvl w:val="0"/>
          <w:numId w:val="1012"/>
        </w:numPr>
        <w:pStyle w:val="Compact"/>
      </w:pPr>
      <w:r>
        <w:rPr>
          <w:bCs/>
          <w:b/>
        </w:rPr>
        <w:t xml:space="preserve">Trích dẫn academic GSJ papers (v2.3)</w:t>
      </w:r>
      <w:r>
        <w:t xml:space="preserve">:</w:t>
      </w:r>
      <w:r>
        <w:t xml:space="preserve"> </w:t>
      </w:r>
      <w:r>
        <w:t xml:space="preserve">“</w:t>
      </w:r>
      <w:r>
        <w:t xml:space="preserve">Xu (2024)</w:t>
      </w:r>
      <w:r>
        <w:t xml:space="preserve">”</w:t>
      </w:r>
      <w:r>
        <w:t xml:space="preserve"> </w:t>
      </w:r>
      <w:r>
        <w:t xml:space="preserve">và</w:t>
      </w:r>
      <w:r>
        <w:t xml:space="preserve"> </w:t>
      </w:r>
      <w:r>
        <w:t xml:space="preserve">“</w:t>
      </w:r>
      <w:r>
        <w:t xml:space="preserve">Kafouros et al. (2023)</w:t>
      </w:r>
      <w:r>
        <w:t xml:space="preserve">”</w:t>
      </w:r>
      <w:r>
        <w:t xml:space="preserve">.</w:t>
      </w:r>
    </w:p>
    <w:p>
      <w:pPr>
        <w:numPr>
          <w:ilvl w:val="0"/>
          <w:numId w:val="1012"/>
        </w:numPr>
        <w:pStyle w:val="Compact"/>
      </w:pPr>
      <w:r>
        <w:rPr>
          <w:bCs/>
          <w:b/>
        </w:rPr>
        <w:t xml:space="preserve">Trích dẫn JIBS editorials (v2.4)</w:t>
      </w:r>
      <w:r>
        <w:t xml:space="preserve">:</w:t>
      </w:r>
      <w:r>
        <w:t xml:space="preserve"> </w:t>
      </w:r>
      <w:r>
        <w:t xml:space="preserve">“</w:t>
      </w:r>
      <w:r>
        <w:t xml:space="preserve">Bello &amp; Kostova (2012)</w:t>
      </w:r>
      <w:r>
        <w:t xml:space="preserve">”</w:t>
      </w:r>
      <w:r>
        <w:t xml:space="preserve"> </w:t>
      </w:r>
      <w:r>
        <w:t xml:space="preserve">và</w:t>
      </w:r>
      <w:r>
        <w:t xml:space="preserve"> </w:t>
      </w:r>
      <w:r>
        <w:t xml:space="preserve">“</w:t>
      </w:r>
      <w:r>
        <w:t xml:space="preserve">Meyer et al. (2017)</w:t>
      </w:r>
      <w:r>
        <w:t xml:space="preserve">”</w:t>
      </w:r>
      <w:r>
        <w:t xml:space="preserve">.</w:t>
      </w:r>
    </w:p>
    <w:p>
      <w:pPr>
        <w:numPr>
          <w:ilvl w:val="0"/>
          <w:numId w:val="1012"/>
        </w:numPr>
        <w:pStyle w:val="Compact"/>
      </w:pPr>
      <w:r>
        <w:rPr>
          <w:bCs/>
          <w:b/>
        </w:rPr>
        <w:t xml:space="preserve">Trích dẫn Section P — Data360 Atlas (v2.6)</w:t>
      </w:r>
      <w:r>
        <w:t xml:space="preserve">:</w:t>
      </w:r>
    </w:p>
    <w:p>
      <w:pPr>
        <w:numPr>
          <w:ilvl w:val="1"/>
          <w:numId w:val="1013"/>
        </w:numPr>
        <w:pStyle w:val="Compact"/>
      </w:pPr>
      <w:r>
        <w:t xml:space="preserve">Internet access story:</w:t>
      </w:r>
      <w:r>
        <w:t xml:space="preserve"> </w:t>
      </w:r>
      <w:r>
        <w:t xml:space="preserve">“</w:t>
      </w:r>
      <w:r>
        <w:t xml:space="preserve">Pirlea &amp; Corso (2026)</w:t>
      </w:r>
      <w:r>
        <w:t xml:space="preserve">”</w:t>
      </w:r>
    </w:p>
    <w:p>
      <w:pPr>
        <w:numPr>
          <w:ilvl w:val="1"/>
          <w:numId w:val="1013"/>
        </w:numPr>
        <w:pStyle w:val="Compact"/>
      </w:pPr>
      <w:r>
        <w:t xml:space="preserve">AI inequality story:</w:t>
      </w:r>
      <w:r>
        <w:t xml:space="preserve"> </w:t>
      </w:r>
      <w:r>
        <w:t xml:space="preserve">“</w:t>
      </w:r>
      <w:r>
        <w:t xml:space="preserve">Mahler, Wang &amp; Weber (2026)</w:t>
      </w:r>
      <w:r>
        <w:t xml:space="preserve">”</w:t>
      </w:r>
    </w:p>
    <w:p>
      <w:pPr>
        <w:numPr>
          <w:ilvl w:val="1"/>
          <w:numId w:val="1013"/>
        </w:numPr>
        <w:pStyle w:val="Compact"/>
      </w:pPr>
      <w:r>
        <w:t xml:space="preserve">Atlas overview/statistics:</w:t>
      </w:r>
      <w:r>
        <w:t xml:space="preserve"> </w:t>
      </w:r>
      <w:r>
        <w:t xml:space="preserve">“</w:t>
      </w:r>
      <w:r>
        <w:t xml:space="preserve">Pirlea et al. (2026 — Atlas)</w:t>
      </w:r>
      <w:r>
        <w:t xml:space="preserve">”</w:t>
      </w:r>
    </w:p>
    <w:p>
      <w:pPr>
        <w:numPr>
          <w:ilvl w:val="1"/>
          <w:numId w:val="1013"/>
        </w:numPr>
        <w:pStyle w:val="Compact"/>
      </w:pPr>
      <w:r>
        <w:t xml:space="preserve">Commodity markets blog:</w:t>
      </w:r>
      <w:r>
        <w:t xml:space="preserve"> </w:t>
      </w:r>
      <w:r>
        <w:t xml:space="preserve">“</w:t>
      </w:r>
      <w:r>
        <w:t xml:space="preserve">Agnolucci, Kenworthy &amp; Kose (2026)</w:t>
      </w:r>
      <w:r>
        <w:t xml:space="preserve">”</w:t>
      </w:r>
    </w:p>
    <w:p>
      <w:pPr>
        <w:numPr>
          <w:ilvl w:val="1"/>
          <w:numId w:val="1013"/>
        </w:numPr>
        <w:pStyle w:val="Compact"/>
      </w:pPr>
      <w:r>
        <w:t xml:space="preserve">AI financial supervision G20:</w:t>
      </w:r>
      <w:r>
        <w:t xml:space="preserve"> </w:t>
      </w:r>
      <w:r>
        <w:t xml:space="preserve">“</w:t>
      </w:r>
      <w:r>
        <w:t xml:space="preserve">Boeddu et al. (2025)</w:t>
      </w:r>
      <w:r>
        <w:t xml:space="preserve">”</w:t>
      </w:r>
    </w:p>
    <w:p>
      <w:pPr>
        <w:numPr>
          <w:ilvl w:val="0"/>
          <w:numId w:val="1012"/>
        </w:numPr>
        <w:pStyle w:val="Compact"/>
      </w:pPr>
      <w:r>
        <w:rPr>
          <w:bCs/>
          <w:b/>
        </w:rPr>
        <w:t xml:space="preserve">Trích dẫn classical theory (v2.4)</w:t>
      </w:r>
      <w:r>
        <w:t xml:space="preserve">:</w:t>
      </w:r>
      <w:r>
        <w:t xml:space="preserve"> </w:t>
      </w:r>
      <w:r>
        <w:t xml:space="preserve">“</w:t>
      </w:r>
      <w:r>
        <w:t xml:space="preserve">Dunning (1988)</w:t>
      </w:r>
      <w:r>
        <w:t xml:space="preserve">”</w:t>
      </w:r>
      <w:r>
        <w:t xml:space="preserve">,</w:t>
      </w:r>
      <w:r>
        <w:t xml:space="preserve"> </w:t>
      </w:r>
      <w:r>
        <w:t xml:space="preserve">“</w:t>
      </w:r>
      <w:r>
        <w:t xml:space="preserve">Williamson (2000)</w:t>
      </w:r>
      <w:r>
        <w:t xml:space="preserve">”</w:t>
      </w:r>
      <w:r>
        <w:t xml:space="preserve">,</w:t>
      </w:r>
      <w:r>
        <w:t xml:space="preserve"> </w:t>
      </w:r>
      <w:r>
        <w:t xml:space="preserve">“</w:t>
      </w:r>
      <w:r>
        <w:t xml:space="preserve">Aguinis, Hill &amp; Bailey (2019)</w:t>
      </w:r>
      <w:r>
        <w:t xml:space="preserve">”</w:t>
      </w:r>
      <w:r>
        <w:t xml:space="preserve">.</w:t>
      </w:r>
    </w:p>
    <w:p>
      <w:pPr>
        <w:numPr>
          <w:ilvl w:val="0"/>
          <w:numId w:val="1012"/>
        </w:numPr>
        <w:pStyle w:val="Compact"/>
      </w:pPr>
      <w:r>
        <w:rPr>
          <w:bCs/>
          <w:b/>
        </w:rPr>
        <w:t xml:space="preserve">Trích dẫn Section Q — Singapore ecosystem (v2.7)</w:t>
      </w:r>
      <w:r>
        <w:t xml:space="preserve">:</w:t>
      </w:r>
    </w:p>
    <w:p>
      <w:pPr>
        <w:numPr>
          <w:ilvl w:val="1"/>
          <w:numId w:val="1014"/>
        </w:numPr>
        <w:pStyle w:val="Compact"/>
      </w:pPr>
      <w:r>
        <w:t xml:space="preserve">SWITCH 2025:</w:t>
      </w:r>
      <w:r>
        <w:t xml:space="preserve"> </w:t>
      </w:r>
      <w:r>
        <w:t xml:space="preserve">“</w:t>
      </w:r>
      <w:r>
        <w:t xml:space="preserve">Enterprise Singapore (2025)</w:t>
      </w:r>
      <w:r>
        <w:t xml:space="preserve">”</w:t>
      </w:r>
    </w:p>
    <w:p>
      <w:pPr>
        <w:numPr>
          <w:ilvl w:val="1"/>
          <w:numId w:val="1014"/>
        </w:numPr>
        <w:pStyle w:val="Compact"/>
      </w:pPr>
      <w:r>
        <w:t xml:space="preserve">Digital government rankings:</w:t>
      </w:r>
      <w:r>
        <w:t xml:space="preserve"> </w:t>
      </w:r>
      <w:r>
        <w:t xml:space="preserve">“</w:t>
      </w:r>
      <w:r>
        <w:t xml:space="preserve">GovTech Singapore (2024)</w:t>
      </w:r>
      <w:r>
        <w:t xml:space="preserve">”</w:t>
      </w:r>
    </w:p>
    <w:p>
      <w:pPr>
        <w:numPr>
          <w:ilvl w:val="1"/>
          <w:numId w:val="1014"/>
        </w:numPr>
        <w:pStyle w:val="Compact"/>
      </w:pPr>
      <w:r>
        <w:t xml:space="preserve">ATxSG summit:</w:t>
      </w:r>
      <w:r>
        <w:t xml:space="preserve"> </w:t>
      </w:r>
      <w:r>
        <w:t xml:space="preserve">“</w:t>
      </w:r>
      <w:r>
        <w:t xml:space="preserve">IMDA (2025)</w:t>
      </w:r>
      <w:r>
        <w:t xml:space="preserve">”</w:t>
      </w:r>
    </w:p>
    <w:p>
      <w:pPr>
        <w:numPr>
          <w:ilvl w:val="1"/>
          <w:numId w:val="1014"/>
        </w:numPr>
        <w:pStyle w:val="Compact"/>
      </w:pPr>
      <w:r>
        <w:t xml:space="preserve">Startup ecosystem rank:</w:t>
      </w:r>
      <w:r>
        <w:t xml:space="preserve"> </w:t>
      </w:r>
      <w:r>
        <w:t xml:space="preserve">“</w:t>
      </w:r>
      <w:r>
        <w:t xml:space="preserve">StartupBlink (2025)</w:t>
      </w:r>
      <w:r>
        <w:t xml:space="preserve">”</w:t>
      </w:r>
      <w:r>
        <w:t xml:space="preserve"> </w:t>
      </w:r>
      <w:r>
        <w:t xml:space="preserve">or</w:t>
      </w:r>
      <w:r>
        <w:t xml:space="preserve"> </w:t>
      </w:r>
      <w:r>
        <w:t xml:space="preserve">“</w:t>
      </w:r>
      <w:r>
        <w:t xml:space="preserve">StartupBlink (2026)</w:t>
      </w:r>
      <w:r>
        <w:t xml:space="preserve">”</w:t>
      </w:r>
      <w:r>
        <w:t xml:space="preserve"> </w:t>
      </w:r>
      <w:r>
        <w:t xml:space="preserve">(specify year for disambiguation)</w:t>
      </w:r>
    </w:p>
    <w:p>
      <w:pPr>
        <w:numPr>
          <w:ilvl w:val="0"/>
          <w:numId w:val="1012"/>
        </w:numPr>
        <w:pStyle w:val="Compact"/>
      </w:pPr>
      <w:r>
        <w:rPr>
          <w:bCs/>
          <w:b/>
        </w:rPr>
        <w:t xml:space="preserve">Trích dẫn Section T — WB Working Papers 2015/2026 (v2.9)</w:t>
      </w:r>
      <w:r>
        <w:t xml:space="preserve">:</w:t>
      </w:r>
    </w:p>
    <w:p>
      <w:pPr>
        <w:numPr>
          <w:ilvl w:val="1"/>
          <w:numId w:val="1015"/>
        </w:numPr>
        <w:pStyle w:val="Compact"/>
      </w:pPr>
      <w:r>
        <w:t xml:space="preserve">Vietnam firm LP + export demand:</w:t>
      </w:r>
      <w:r>
        <w:t xml:space="preserve"> </w:t>
      </w:r>
      <w:r>
        <w:t xml:space="preserve">“</w:t>
      </w:r>
      <w:r>
        <w:t xml:space="preserve">Agarwal, Barattieri, &amp; Mattoo (2026)</w:t>
      </w:r>
      <w:r>
        <w:t xml:space="preserve">”</w:t>
      </w:r>
      <w:r>
        <w:t xml:space="preserve"> </w:t>
      </w:r>
      <w:r>
        <w:t xml:space="preserve">[WPS11352]</w:t>
      </w:r>
    </w:p>
    <w:p>
      <w:pPr>
        <w:numPr>
          <w:ilvl w:val="1"/>
          <w:numId w:val="1015"/>
        </w:numPr>
        <w:pStyle w:val="Compact"/>
      </w:pPr>
      <w:r>
        <w:t xml:space="preserve">Vietnam trade liberalization thành productivity:</w:t>
      </w:r>
      <w:r>
        <w:t xml:space="preserve"> </w:t>
      </w:r>
      <w:r>
        <w:t xml:space="preserve">“</w:t>
      </w:r>
      <w:r>
        <w:t xml:space="preserve">Barattieri, Mattoo, &amp; Signoret (2026)</w:t>
      </w:r>
      <w:r>
        <w:t xml:space="preserve">”</w:t>
      </w:r>
      <w:r>
        <w:t xml:space="preserve"> </w:t>
      </w:r>
      <w:r>
        <w:t xml:space="preserve">[WPS11354]</w:t>
      </w:r>
    </w:p>
    <w:p>
      <w:pPr>
        <w:numPr>
          <w:ilvl w:val="1"/>
          <w:numId w:val="1015"/>
        </w:numPr>
        <w:pStyle w:val="Compact"/>
      </w:pPr>
      <w:r>
        <w:t xml:space="preserve">Electricity &amp; firm performance 183 countries:</w:t>
      </w:r>
      <w:r>
        <w:t xml:space="preserve"> </w:t>
      </w:r>
      <w:r>
        <w:t xml:space="preserve">“</w:t>
      </w:r>
      <w:r>
        <w:t xml:space="preserve">Geginat &amp; Ramalho (2015)</w:t>
      </w:r>
      <w:r>
        <w:t xml:space="preserve">”</w:t>
      </w:r>
      <w:r>
        <w:t xml:space="preserve"> </w:t>
      </w:r>
      <w:r>
        <w:t xml:space="preserve">[WPS7460]</w:t>
      </w:r>
    </w:p>
    <w:p>
      <w:pPr>
        <w:numPr>
          <w:ilvl w:val="1"/>
          <w:numId w:val="1015"/>
        </w:numPr>
        <w:pStyle w:val="Compact"/>
      </w:pPr>
      <w:r>
        <w:t xml:space="preserve">Institutional capacity framework:</w:t>
      </w:r>
      <w:r>
        <w:t xml:space="preserve"> </w:t>
      </w:r>
      <w:r>
        <w:t xml:space="preserve">“</w:t>
      </w:r>
      <w:r>
        <w:t xml:space="preserve">Kim, Kumar, Ramalho, &amp; Russell (2026)</w:t>
      </w:r>
      <w:r>
        <w:t xml:space="preserve">”</w:t>
      </w:r>
      <w:r>
        <w:t xml:space="preserve"> </w:t>
      </w:r>
      <w:r>
        <w:t xml:space="preserve">[WPS11279]</w:t>
      </w:r>
    </w:p>
    <w:p>
      <w:pPr>
        <w:numPr>
          <w:ilvl w:val="1"/>
          <w:numId w:val="1015"/>
        </w:numPr>
        <w:pStyle w:val="Compact"/>
      </w:pPr>
      <w:r>
        <w:t xml:space="preserve">World slowest development 75 years:</w:t>
      </w:r>
      <w:r>
        <w:t xml:space="preserve"> </w:t>
      </w:r>
      <w:r>
        <w:rPr>
          <w:bCs/>
          <w:b/>
        </w:rPr>
        <w:t xml:space="preserve">“</w:t>
      </w:r>
      <w:r>
        <w:rPr>
          <w:bCs/>
          <w:b/>
        </w:rPr>
        <w:t xml:space="preserve">Mahler et al. (2026b)</w:t>
      </w:r>
      <w:r>
        <w:rPr>
          <w:bCs/>
          <w:b/>
        </w:rPr>
        <w:t xml:space="preserve">”</w:t>
      </w:r>
      <w:r>
        <w:t xml:space="preserve"> </w:t>
      </w:r>
      <w:r>
        <w:t xml:space="preserve">[WPS11350] —</w:t>
      </w:r>
      <w:r>
        <w:t xml:space="preserve"> </w:t>
      </w:r>
      <w:r>
        <w:rPr>
          <w:bCs/>
          <w:b/>
        </w:rPr>
        <w:t xml:space="preserve">b suffix</w:t>
      </w:r>
      <w:r>
        <w:t xml:space="preserve"> </w:t>
      </w:r>
      <w:r>
        <w:t xml:space="preserve">phân biệt với</w:t>
      </w:r>
      <w:r>
        <w:t xml:space="preserve"> </w:t>
      </w:r>
      <w:r>
        <w:t xml:space="preserve">“</w:t>
      </w:r>
      <w:r>
        <w:t xml:space="preserve">Mahler, Wang &amp; Weber (2026)</w:t>
      </w:r>
      <w:r>
        <w:t xml:space="preserve">”</w:t>
      </w:r>
      <w:r>
        <w:t xml:space="preserve"> </w:t>
      </w:r>
      <w:r>
        <w:t xml:space="preserve">[Atlas chapter, Section P]</w:t>
      </w:r>
    </w:p>
    <w:bookmarkEnd w:id="188"/>
    <w:bookmarkStart w:id="189" w:name="khi-nộp-bản-cuối"/>
    <w:p>
      <w:pPr>
        <w:pStyle w:val="Heading3"/>
      </w:pPr>
      <w:r>
        <w:t xml:space="preserve">Khi nộp bản cuối</w:t>
      </w:r>
    </w:p>
    <w:p>
      <w:pPr>
        <w:numPr>
          <w:ilvl w:val="0"/>
          <w:numId w:val="1016"/>
        </w:numPr>
        <w:pStyle w:val="Compact"/>
      </w:pPr>
      <w:r>
        <w:t xml:space="preserve">Xác minh DOI trên Crossref hoặc trang publisher cho các entry không quen thuộc.</w:t>
      </w:r>
    </w:p>
    <w:p>
      <w:pPr>
        <w:numPr>
          <w:ilvl w:val="0"/>
          <w:numId w:val="1016"/>
        </w:numPr>
        <w:pStyle w:val="Compact"/>
      </w:pPr>
      <w:r>
        <w:t xml:space="preserve">Kiểm tra nhất quán italic và punctuation theo APA 7th.</w:t>
      </w:r>
    </w:p>
    <w:p>
      <w:pPr>
        <w:numPr>
          <w:ilvl w:val="0"/>
          <w:numId w:val="1016"/>
        </w:numPr>
        <w:pStyle w:val="Compact"/>
      </w:pPr>
      <w:r>
        <w:t xml:space="preserve">Yang et al. (2025) JBR: hiện chưa verify được volume/pages — cần kiểm tra Crossref hoặc loại bỏ.</w:t>
      </w:r>
    </w:p>
    <w:p>
      <w:pPr>
        <w:numPr>
          <w:ilvl w:val="0"/>
          <w:numId w:val="1016"/>
        </w:numPr>
        <w:pStyle w:val="Compact"/>
      </w:pPr>
      <w:r>
        <w:rPr>
          <w:bCs/>
          <w:b/>
        </w:rPr>
        <w:t xml:space="preserve">Verified DOIs (v2.3)</w:t>
      </w:r>
      <w:r>
        <w:t xml:space="preserve">: Xu (2024) GSJ DOI 10.1002/gsj.1510; Kafouros et al. (2023) GSJ DOI 10.1002/gsj.1479; Mardones-Ibáñez (2025) SAGE Open DOI 10.1177/21582440251335079; Al-Najjar et al. (2025) IJHRM DOI 10.1080/09585192.2025.2550765.</w:t>
      </w:r>
    </w:p>
    <w:p>
      <w:pPr>
        <w:numPr>
          <w:ilvl w:val="0"/>
          <w:numId w:val="1016"/>
        </w:numPr>
        <w:pStyle w:val="Compact"/>
      </w:pPr>
      <w:r>
        <w:rPr>
          <w:bCs/>
          <w:b/>
        </w:rPr>
        <w:t xml:space="preserve">Verified DOIs (v2.4)</w:t>
      </w:r>
      <w:r>
        <w:t xml:space="preserve">: Bello &amp; Kostova (2012) JIBS DOI 10.1057/jibs.2012.14; Meyer et al. (2017) JIBS DOI 10.1057/s41267-017-0078-8; Dunning (1988) JIBS DOI 10.1057/palgrave.jibs.8490372; Williamson (2000) JEL DOI 10.1257/jel.38.3.595; Aguinis, Hill &amp; Bailey (2019) ORM DOI 10.1177/1094428119836485; Malerba &amp; Orsenigo (1995) Cambridge JoE DOI 10.1093/oxfordjournals.cje.a035301.</w:t>
      </w:r>
    </w:p>
    <w:p>
      <w:pPr>
        <w:numPr>
          <w:ilvl w:val="0"/>
          <w:numId w:val="1016"/>
        </w:numPr>
        <w:pStyle w:val="Compact"/>
      </w:pPr>
      <w:r>
        <w:rPr>
          <w:bCs/>
          <w:b/>
        </w:rPr>
        <w:t xml:space="preserve">Cần verify (v2.5)</w:t>
      </w:r>
      <w:r>
        <w:t xml:space="preserve">: (a)</w:t>
      </w:r>
      <w:r>
        <w:t xml:space="preserve"> </w:t>
      </w:r>
      <w:r>
        <w:rPr>
          <w:bCs/>
          <w:b/>
        </w:rPr>
        <w:t xml:space="preserve">IFC PSD Blueprint</w:t>
      </w:r>
      <w:r>
        <w:t xml:space="preserve"> </w:t>
      </w:r>
      <w:r>
        <w:t xml:space="preserve">— năm xuất bản chính xác trên trang IFC ifc.org; (b)</w:t>
      </w:r>
      <w:r>
        <w:t xml:space="preserve"> </w:t>
      </w:r>
      <w:r>
        <w:rPr>
          <w:bCs/>
          <w:b/>
        </w:rPr>
        <w:t xml:space="preserve">ADB Vietnam Outlook 2026</w:t>
      </w:r>
      <w:r>
        <w:t xml:space="preserve"> </w:t>
      </w:r>
      <w:r>
        <w:t xml:space="preserve">— pagination khi cite số liệu cụ thể (FDI $2.4B, GDP 7.2%/7.0%); (c)</w:t>
      </w:r>
      <w:r>
        <w:t xml:space="preserve"> </w:t>
      </w:r>
      <w:r>
        <w:rPr>
          <w:bCs/>
          <w:b/>
        </w:rPr>
        <w:t xml:space="preserve">WB Vietnamese WBES Indicators Summary</w:t>
      </w:r>
      <w:r>
        <w:t xml:space="preserve"> </w:t>
      </w:r>
      <w:r>
        <w:t xml:space="preserve">— năm xuất bản chính thức (hiện n.d.); (d)</w:t>
      </w:r>
      <w:r>
        <w:t xml:space="preserve"> </w:t>
      </w:r>
      <w:r>
        <w:rPr>
          <w:bCs/>
          <w:b/>
        </w:rPr>
        <w:t xml:space="preserve">WB FY26 Country Classification</w:t>
      </w:r>
      <w:r>
        <w:t xml:space="preserve"> </w:t>
      </w:r>
      <w:r>
        <w:t xml:space="preserve">— số đầy đủ + ngày publication trên datatopics.worldbank.org.</w:t>
      </w:r>
    </w:p>
    <w:bookmarkEnd w:id="189"/>
    <w:bookmarkStart w:id="190" w:name="audit-warnings-status-cập-nhật-v2.5"/>
    <w:p>
      <w:pPr>
        <w:pStyle w:val="Heading3"/>
      </w:pPr>
      <w:r>
        <w:t xml:space="preserve">Audit warnings status (cập nhật v2.5)</w:t>
      </w:r>
    </w:p>
    <w:p>
      <w:pPr>
        <w:pStyle w:val="FirstParagraph"/>
      </w:pPr>
      <w:r>
        <w:rPr>
          <w:bCs/>
          <w:b/>
        </w:rPr>
        <w:t xml:space="preserve">RESOLVED v2.5 — WARNING 1 (Lin &amp; Beamish 2005)</w:t>
      </w:r>
      <w:r>
        <w:t xml:space="preserve">: Hoàn tất file 14 v3.8 (commit e2f8415, 07/05/2026) — replace 4 occurrences với Lu &amp; Beamish (2004).</w:t>
      </w:r>
    </w:p>
    <w:p>
      <w:pPr>
        <w:pStyle w:val="BodyText"/>
      </w:pPr>
      <w:r>
        <w:rPr>
          <w:bCs/>
          <w:b/>
        </w:rPr>
        <w:t xml:space="preserve">WARNING 2 — Gambacorta et al. (2025) BIS</w:t>
      </w:r>
      <w:r>
        <w:t xml:space="preserve"> </w:t>
      </w:r>
      <w:r>
        <w:rPr>
          <w:iCs/>
          <w:i/>
        </w:rPr>
        <w:t xml:space="preserve">(pending)</w:t>
      </w:r>
      <w:r>
        <w:t xml:space="preserve">: Citation trong file 16 Mục 7.3.1 (3)(e) sectoral AI exposure cần verify trên trang BIS Working Papers. Có thể trong reference list của ADB ADO Special Topic April 2026 — NCS cần cross-check.</w:t>
      </w:r>
    </w:p>
    <w:p>
      <w:pPr>
        <w:pStyle w:val="BodyText"/>
      </w:pPr>
      <w:r>
        <w:rPr>
          <w:bCs/>
          <w:b/>
        </w:rPr>
        <w:t xml:space="preserve">WARNING 3 — WTO (2025)</w:t>
      </w:r>
      <w:r>
        <w:t xml:space="preserve"> </w:t>
      </w:r>
      <w:r>
        <w:rPr>
          <w:iCs/>
          <w:i/>
        </w:rPr>
        <w:t xml:space="preserve">(pending)</w:t>
      </w:r>
      <w:r>
        <w:t xml:space="preserve">: Citation trong file 16 Mục 7.3.1 (3)(e) AI-enabling goods exports cần verify với specific publication name (e.g.,</w:t>
      </w:r>
      <w:r>
        <w:t xml:space="preserve"> </w:t>
      </w:r>
      <w:r>
        <w:rPr>
          <w:iCs/>
          <w:i/>
        </w:rPr>
        <w:t xml:space="preserve">World Trade Statistics 2025</w:t>
      </w:r>
      <w:r>
        <w:t xml:space="preserve"> </w:t>
      </w:r>
      <w:r>
        <w:t xml:space="preserve">hoặc</w:t>
      </w:r>
      <w:r>
        <w:t xml:space="preserve"> </w:t>
      </w:r>
      <w:r>
        <w:rPr>
          <w:iCs/>
          <w:i/>
        </w:rPr>
        <w:t xml:space="preserve">World Trade Report</w:t>
      </w:r>
      <w:r>
        <w:t xml:space="preserve">).</w:t>
      </w:r>
    </w:p>
    <w:p>
      <w:pPr>
        <w:pStyle w:val="BodyText"/>
      </w:pPr>
      <w:r>
        <w:rPr>
          <w:bCs/>
          <w:b/>
        </w:rPr>
        <w:t xml:space="preserve">Pending v2.5 verifications</w:t>
      </w:r>
      <w:r>
        <w:t xml:space="preserve">: (a) IFC PSD Blueprint year; (b) WB Vietnamese WBES Indicators year; (c) ADB Vietnam Outlook 2026 pagination.</w:t>
      </w:r>
    </w:p>
    <w:p>
      <w:r>
        <w:pict>
          <v:rect style="width:0;height:1.5pt" o:hralign="center" o:hrstd="t" o:hr="t"/>
        </w:pict>
      </w:r>
    </w:p>
    <w:bookmarkEnd w:id="190"/>
    <w:bookmarkEnd w:id="191"/>
    <w:bookmarkStart w:id="192" w:name="Xe55fb46d00de6bf9b95fd9179798e6474c95835"/>
    <w:p>
      <w:pPr>
        <w:pStyle w:val="Heading2"/>
      </w:pPr>
      <w:r>
        <w:t xml:space="preserve">Nghiên cứu sơ cấp bổ sung — P6 Meta-Analysis (v2.8, 12/05/2026)</w:t>
      </w:r>
    </w:p>
    <w:p>
      <w:pPr>
        <w:pStyle w:val="BlockText"/>
      </w:pPr>
      <w:r>
        <w:t xml:space="preserve">62 nghiên cứu sơ cấp chưa có trong refs v2.6, bổ sung từ MetaEssentials Excel (k=110, K=200, r=0.07, I²=87.88%). Xem full list + effect sizes tại</w:t>
      </w:r>
      <w:r>
        <w:t xml:space="preserve"> </w:t>
      </w:r>
      <w:r>
        <w:rPr>
          <w:rStyle w:val="VerbatimChar"/>
        </w:rPr>
        <w:t xml:space="preserve">p6/p6_primary_studies_apa7.md</w:t>
      </w:r>
      <w:r>
        <w:t xml:space="preserve">.</w:t>
      </w:r>
      <w:r>
        <w:t xml:space="preserve"> </w:t>
      </w:r>
      <w:r>
        <w:t xml:space="preserve">CrossRef batch: 0/62 confirmed via live API (network blocked); DOIs from training knowledge — verify before final submission.</w:t>
      </w:r>
      <w:r>
        <w:t xml:space="preserve"> </w:t>
      </w:r>
      <w:r>
        <w:t xml:space="preserve">Bổ sung từ CrossRef API lookup. Xem full entries với effect sizes tại</w:t>
      </w:r>
      <w:r>
        <w:t xml:space="preserve"> </w:t>
      </w:r>
      <w:r>
        <w:rPr>
          <w:rStyle w:val="VerbatimChar"/>
        </w:rPr>
        <w:t xml:space="preserve">p6/p6_primary_studies_apa7.md</w:t>
      </w:r>
      <w:r>
        <w:t xml:space="preserve">.</w:t>
      </w:r>
    </w:p>
    <w:p>
      <w:pPr>
        <w:pStyle w:val="FirstParagraph"/>
      </w:pPr>
      <w:r>
        <w:t xml:space="preserve">Abdi, M., &amp; Aulakh, P. S. (2018). Internationalization and performance: Degree, duration, and scale of operations in foreign markets.</w:t>
      </w:r>
      <w:r>
        <w:t xml:space="preserve"> </w:t>
      </w:r>
      <w:r>
        <w:rPr>
          <w:iCs/>
          <w:i/>
        </w:rPr>
        <w:t xml:space="preserve">Journal of International Business Studies, 49</w:t>
      </w:r>
      <w:r>
        <w:t xml:space="preserve">(7), 832-857. https://doi.org/10.1057/s41267-017-0117-9</w:t>
      </w:r>
    </w:p>
    <w:p>
      <w:pPr>
        <w:pStyle w:val="BodyText"/>
      </w:pPr>
      <w:r>
        <w:t xml:space="preserve">Aydemir, M., &amp; Alper, D. (2024). The internationalization-firm performance relationship: A meta-analysis.</w:t>
      </w:r>
      <w:r>
        <w:t xml:space="preserve"> </w:t>
      </w:r>
      <w:r>
        <w:rPr>
          <w:iCs/>
          <w:i/>
        </w:rPr>
        <w:t xml:space="preserve">International Journal of Management Economics and Business</w:t>
      </w:r>
      <w:r>
        <w:t xml:space="preserve">. https://doi.org/10.17130/ijmeb.1458989</w:t>
      </w:r>
    </w:p>
    <w:p>
      <w:pPr>
        <w:pStyle w:val="BodyText"/>
      </w:pPr>
      <w:r>
        <w:t xml:space="preserve">Almodóvar, P., &amp; Rugman, A. M. (2014). The M curve and the performance of Spanish international new ventures.</w:t>
      </w:r>
      <w:r>
        <w:t xml:space="preserve"> </w:t>
      </w:r>
      <w:r>
        <w:rPr>
          <w:iCs/>
          <w:i/>
        </w:rPr>
        <w:t xml:space="preserve">British Journal of Management, 25</w:t>
      </w:r>
      <w:r>
        <w:t xml:space="preserve">(S1), S6-S23. https://doi.org/10.1111/1467-8551.12048</w:t>
      </w:r>
    </w:p>
    <w:p>
      <w:pPr>
        <w:pStyle w:val="BodyText"/>
      </w:pPr>
      <w:r>
        <w:t xml:space="preserve">Altaf, M., &amp; Shah, S. A. A. (2016). Internationalization and performance relationship in Pakistan: Moderating role of innovation.</w:t>
      </w:r>
      <w:r>
        <w:t xml:space="preserve"> </w:t>
      </w:r>
      <w:r>
        <w:rPr>
          <w:iCs/>
          <w:i/>
        </w:rPr>
        <w:t xml:space="preserve">Pakistan Journal of Commerce and Social Sciences, 10</w:t>
      </w:r>
      <w:r>
        <w:t xml:space="preserve">(1), 76-90.</w:t>
      </w:r>
    </w:p>
    <w:p>
      <w:pPr>
        <w:pStyle w:val="BodyText"/>
      </w:pPr>
      <w:r>
        <w:t xml:space="preserve">Assaf, A. G., Josiassen, A., Knezevic Cvelbar, L., &amp; Woo, L. (2012). The effects of internationalization on hotel financial performance.</w:t>
      </w:r>
      <w:r>
        <w:t xml:space="preserve"> </w:t>
      </w:r>
      <w:r>
        <w:rPr>
          <w:iCs/>
          <w:i/>
        </w:rPr>
        <w:t xml:space="preserve">International Journal of Hospitality Management, 31</w:t>
      </w:r>
      <w:r>
        <w:t xml:space="preserve">(1), 39-48. https://doi.org/10.1016/j.ijhm.2011.05.003</w:t>
      </w:r>
    </w:p>
    <w:p>
      <w:pPr>
        <w:pStyle w:val="BodyText"/>
      </w:pPr>
      <w:r>
        <w:t xml:space="preserve">Assaf, A. G., Josiassen, A., Knezevic Cvelbar, L., &amp; Woo, L. (2016). The role of internationalization in the performance of hotel firms.</w:t>
      </w:r>
      <w:r>
        <w:t xml:space="preserve"> </w:t>
      </w:r>
      <w:r>
        <w:rPr>
          <w:iCs/>
          <w:i/>
        </w:rPr>
        <w:t xml:space="preserve">Annals of Tourism Research, 57</w:t>
      </w:r>
      <w:r>
        <w:t xml:space="preserve">, 100-112. https://doi.org/10.1016/j.annals.2015.12.008</w:t>
      </w:r>
    </w:p>
    <w:p>
      <w:pPr>
        <w:pStyle w:val="BodyText"/>
      </w:pPr>
      <w:r>
        <w:t xml:space="preserve">Bae, S.-C., Park, B. J., &amp; Wang, X. (2008). Multinationality, R&amp;D intensity, and firm performance: Evidence from U.S. manufacturing firms.</w:t>
      </w:r>
      <w:r>
        <w:t xml:space="preserve"> </w:t>
      </w:r>
      <w:r>
        <w:rPr>
          <w:iCs/>
          <w:i/>
        </w:rPr>
        <w:t xml:space="preserve">Multinational Business Review, 16</w:t>
      </w:r>
      <w:r>
        <w:t xml:space="preserve">(1), 53-77. https://doi.org/10.1108/1525383X200800003</w:t>
      </w:r>
    </w:p>
    <w:p>
      <w:pPr>
        <w:pStyle w:val="BodyText"/>
      </w:pPr>
      <w:r>
        <w:t xml:space="preserve">Benito-Osorio, D., Guerras-Martín, L. Á., Zuñiga-Vicente, J. Á., &amp; Rivero-Meneses, A. (2015). Diversification and performance: The moderating effect of firm’s international activity.</w:t>
      </w:r>
      <w:r>
        <w:t xml:space="preserve"> </w:t>
      </w:r>
      <w:r>
        <w:rPr>
          <w:iCs/>
          <w:i/>
        </w:rPr>
        <w:t xml:space="preserve">International Business Review, 24</w:t>
      </w:r>
      <w:r>
        <w:t xml:space="preserve">(5), 893-907. https://doi.org/10.1016/j.ibusrev.2015.03.003</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https://doi.org/10.1002/smj.2429</w:t>
      </w:r>
    </w:p>
    <w:p>
      <w:pPr>
        <w:pStyle w:val="BodyText"/>
      </w:pPr>
      <w:r>
        <w:t xml:space="preserve">Booltink, L. W. A., &amp; Saka-Helmhout, A. (2018). The effects of R&amp;D intensity and internationalization on firm performance.</w:t>
      </w:r>
      <w:r>
        <w:t xml:space="preserve"> </w:t>
      </w:r>
      <w:r>
        <w:rPr>
          <w:iCs/>
          <w:i/>
        </w:rPr>
        <w:t xml:space="preserve">Journal of Small Business Management, 56</w:t>
      </w:r>
      <w:r>
        <w:t xml:space="preserve">(S1), 170-185. https://doi.org/10.1111/jsbm.12393</w:t>
      </w:r>
    </w:p>
    <w:p>
      <w:pPr>
        <w:pStyle w:val="BodyText"/>
      </w:pPr>
      <w:r>
        <w:t xml:space="preserve">Borda, A., Geleilate, J.-M. G., Newburry, W., &amp; Kundu, S. K. (2017). Firm internationalization, business group diversification and firm performance: The case of Latin American firms.</w:t>
      </w:r>
      <w:r>
        <w:t xml:space="preserve"> </w:t>
      </w:r>
      <w:r>
        <w:rPr>
          <w:iCs/>
          <w:i/>
        </w:rPr>
        <w:t xml:space="preserve">Journal of Business Research, 72</w:t>
      </w:r>
      <w:r>
        <w:t xml:space="preserve">, 104-113. https://doi.org/10.1016/j.jbusres.2016.11.021</w:t>
      </w:r>
    </w:p>
    <w:p>
      <w:pPr>
        <w:pStyle w:val="BodyText"/>
      </w:pPr>
      <w:r>
        <w:t xml:space="preserve">Brida, J. G., Driha, O. M., &amp; Scuderi, R. (2016). Internationalization of hotels: Effects on performance.</w:t>
      </w:r>
      <w:r>
        <w:t xml:space="preserve"> </w:t>
      </w:r>
      <w:r>
        <w:rPr>
          <w:iCs/>
          <w:i/>
        </w:rPr>
        <w:t xml:space="preserve">International Journal of Contemporary Hospitality Management, 28</w:t>
      </w:r>
      <w:r>
        <w:t xml:space="preserve">(1), 179-202. https://doi.org/10.1108/IJCHM-10-2014-0517</w:t>
      </w:r>
    </w:p>
    <w:p>
      <w:pPr>
        <w:pStyle w:val="BodyText"/>
      </w:pPr>
      <w:r>
        <w:t xml:space="preserve">Brock, D. M., &amp; Yaffe, T. (2008). International diversification and performance: The mediating role of implementation.</w:t>
      </w:r>
      <w:r>
        <w:t xml:space="preserve"> </w:t>
      </w:r>
      <w:r>
        <w:rPr>
          <w:iCs/>
          <w:i/>
        </w:rPr>
        <w:t xml:space="preserve">International Business Review, 17</w:t>
      </w:r>
      <w:r>
        <w:t xml:space="preserve">(5), 600-615. https://doi.org/10.1016/j.ibusrev.2008.08.001</w:t>
      </w:r>
    </w:p>
    <w:p>
      <w:pPr>
        <w:pStyle w:val="BodyText"/>
      </w:pPr>
      <w:r>
        <w:t xml:space="preserve">Capar, N., &amp; Kotabe, M. (2003). The relationship between international diversification and performance in service firms.</w:t>
      </w:r>
      <w:r>
        <w:t xml:space="preserve"> </w:t>
      </w:r>
      <w:r>
        <w:rPr>
          <w:iCs/>
          <w:i/>
        </w:rPr>
        <w:t xml:space="preserve">Journal of International Business Studies, 34</w:t>
      </w:r>
      <w:r>
        <w:t xml:space="preserve">(4), 345-355. https://doi.org/10.1057/palgrave.jibs.8400036</w:t>
      </w:r>
    </w:p>
    <w:p>
      <w:pPr>
        <w:pStyle w:val="BodyText"/>
      </w:pPr>
      <w:r>
        <w:t xml:space="preserve">Carpenter, M. A., &amp; Sanders, W. G. (2004). The effects of top management team pay and firm internationalization on MNC performance.</w:t>
      </w:r>
      <w:r>
        <w:t xml:space="preserve"> </w:t>
      </w:r>
      <w:r>
        <w:rPr>
          <w:iCs/>
          <w:i/>
        </w:rPr>
        <w:t xml:space="preserve">Journal of Management, 30</w:t>
      </w:r>
      <w:r>
        <w:t xml:space="preserve">(4), 509-528. https://doi.org/10.1016/j.jm.2004.02.001</w:t>
      </w:r>
    </w:p>
    <w:p>
      <w:pPr>
        <w:pStyle w:val="BodyText"/>
      </w:pPr>
      <w:r>
        <w:t xml:space="preserve">Chao, M. C.-H., &amp; Kumar, V. (2010). The impact of institutional distance on the international diversity-performance relationship.</w:t>
      </w:r>
      <w:r>
        <w:t xml:space="preserve"> </w:t>
      </w:r>
      <w:r>
        <w:rPr>
          <w:iCs/>
          <w:i/>
        </w:rPr>
        <w:t xml:space="preserve">Journal of World Business, 45</w:t>
      </w:r>
      <w:r>
        <w:t xml:space="preserve">(1), 93-103. https://doi.org/10.1016/j.jwb.2009.04.005</w:t>
      </w:r>
    </w:p>
    <w:p>
      <w:pPr>
        <w:pStyle w:val="BodyText"/>
      </w:pPr>
      <w:r>
        <w:t xml:space="preserve">Chari, M. D. R., Devaraj, S., &amp; David, P. (2007). International diversification and firm performance: Role of information technology investments.</w:t>
      </w:r>
      <w:r>
        <w:t xml:space="preserve"> </w:t>
      </w:r>
      <w:r>
        <w:rPr>
          <w:iCs/>
          <w:i/>
        </w:rPr>
        <w:t xml:space="preserve">Journal of World Business, 42</w:t>
      </w:r>
      <w:r>
        <w:t xml:space="preserve">(2), 184-197. https://doi.org/10.1016/j.jwb.2007.02.007</w:t>
      </w:r>
    </w:p>
    <w:p>
      <w:pPr>
        <w:pStyle w:val="BodyText"/>
      </w:pPr>
      <w:r>
        <w:t xml:space="preserve">Chiao, Y.-C., &amp; Yang, K.-P. (2011). Internationalization and performance of Taiwanese SMEs: Moderating effects of firm age and managerial characteristics.</w:t>
      </w:r>
      <w:r>
        <w:t xml:space="preserve"> </w:t>
      </w:r>
      <w:r>
        <w:rPr>
          <w:iCs/>
          <w:i/>
        </w:rPr>
        <w:t xml:space="preserve">International Journal of Entrepreneurship and Small Business, 14</w:t>
      </w:r>
      <w:r>
        <w:t xml:space="preserve">(4), 496-518. https://doi.org/10.1504/IJESB.2011.043273</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https://doi.org/10.1007/s11187-005-5604-6</w:t>
      </w:r>
    </w:p>
    <w:p>
      <w:pPr>
        <w:pStyle w:val="BodyText"/>
      </w:pPr>
      <w:r>
        <w:t xml:space="preserve">Cho, H.-J., &amp; Lee, J. (2018). Firm performance and internationalization: The moderation of family ownership.</w:t>
      </w:r>
      <w:r>
        <w:t xml:space="preserve"> </w:t>
      </w:r>
      <w:r>
        <w:rPr>
          <w:iCs/>
          <w:i/>
        </w:rPr>
        <w:t xml:space="preserve">Management Research Review, 41</w:t>
      </w:r>
      <w:r>
        <w:t xml:space="preserve">(9), 1053-1071. https://doi.org/10.1108/MRR-06-2017-0175</w:t>
      </w:r>
    </w:p>
    <w:p>
      <w:pPr>
        <w:pStyle w:val="BodyText"/>
      </w:pPr>
      <w:r>
        <w:t xml:space="preserve">Ciszewska-Mlinarič, M., &amp; Mlinarič, F. (2010). Internationalization and performance of small and medium-sized enterprises.</w:t>
      </w:r>
      <w:r>
        <w:t xml:space="preserve"> </w:t>
      </w:r>
      <w:r>
        <w:rPr>
          <w:iCs/>
          <w:i/>
        </w:rPr>
        <w:t xml:space="preserve">Organizacija, 43</w:t>
      </w:r>
      <w:r>
        <w:t xml:space="preserve">(5), 175-185. https://doi.org/10.2478/v10051-010-0017-y</w:t>
      </w:r>
    </w:p>
    <w:p>
      <w:pPr>
        <w:pStyle w:val="BodyText"/>
      </w:pPr>
      <w:r>
        <w:t xml:space="preserve">Elango, B. (2006). An empirical analysis of the relationship between international activity and firm performance.</w:t>
      </w:r>
      <w:r>
        <w:t xml:space="preserve"> </w:t>
      </w:r>
      <w:r>
        <w:rPr>
          <w:iCs/>
          <w:i/>
        </w:rPr>
        <w:t xml:space="preserve">Multinational Business Review, 14</w:t>
      </w:r>
      <w:r>
        <w:t xml:space="preserve">(3), 21-45. https://doi.org/10.1108/1525383X200600015</w:t>
      </w:r>
    </w:p>
    <w:p>
      <w:pPr>
        <w:pStyle w:val="BodyText"/>
      </w:pPr>
      <w:r>
        <w:t xml:space="preserve">Endo, N., &amp; Ozaki, T. (2011). International expansion and performance: Evidence from Japanese manufacturing firms.</w:t>
      </w:r>
      <w:r>
        <w:t xml:space="preserve"> </w:t>
      </w:r>
      <w:r>
        <w:rPr>
          <w:iCs/>
          <w:i/>
        </w:rPr>
        <w:t xml:space="preserve">Asian Business &amp; Management, 10</w:t>
      </w:r>
      <w:r>
        <w:t xml:space="preserve">(4), 515-535. https://doi.org/10.1057/abm.2011.27</w:t>
      </w:r>
    </w:p>
    <w:p>
      <w:pPr>
        <w:pStyle w:val="BodyText"/>
      </w:pPr>
      <w:r>
        <w:t xml:space="preserve">Fernhaber, S. A., &amp; Li, D. (2013). International exposure through network relationships: Implications for new venture internationalization.</w:t>
      </w:r>
      <w:r>
        <w:t xml:space="preserve"> </w:t>
      </w:r>
      <w:r>
        <w:rPr>
          <w:iCs/>
          <w:i/>
        </w:rPr>
        <w:t xml:space="preserve">Journal of Business Venturing, 28</w:t>
      </w:r>
      <w:r>
        <w:t xml:space="preserve">(2), 316-334. https://doi.org/10.1016/j.jbusvent.2012.05.002</w:t>
      </w:r>
    </w:p>
    <w:p>
      <w:pPr>
        <w:pStyle w:val="BodyText"/>
      </w:pPr>
      <w:r>
        <w:t xml:space="preserve">Fortanier, F., Muller, A., &amp; Van Tulder, R. (2007). Internationalization and performance: Accounting for (host) country effects.</w:t>
      </w:r>
      <w:r>
        <w:t xml:space="preserve"> </w:t>
      </w:r>
      <w:r>
        <w:rPr>
          <w:iCs/>
          <w:i/>
        </w:rPr>
        <w:t xml:space="preserve">Academy of Management Proceedings, 2007</w:t>
      </w:r>
      <w:r>
        <w:t xml:space="preserve">(1), 1-6. https://doi.org/10.5465/ambpp.2007.26508474</w:t>
      </w:r>
    </w:p>
    <w:p>
      <w:pPr>
        <w:pStyle w:val="BodyText"/>
      </w:pPr>
      <w:r>
        <w:t xml:space="preserve">Ganvir, V., &amp; Dwivedi, M. (2017). International diversification and performance of Indian firms: An empirical analysis.</w:t>
      </w:r>
      <w:r>
        <w:t xml:space="preserve"> </w:t>
      </w:r>
      <w:r>
        <w:rPr>
          <w:iCs/>
          <w:i/>
        </w:rPr>
        <w:t xml:space="preserve">South Asian Journal of Business Studies, 6</w:t>
      </w:r>
      <w:r>
        <w:t xml:space="preserve">(3), 259-282. https://doi.org/10.1108/SAJBS-03-2016-0020</w:t>
      </w:r>
    </w:p>
    <w:p>
      <w:pPr>
        <w:pStyle w:val="BodyText"/>
      </w:pPr>
      <w:r>
        <w:t xml:space="preserve">Garbe, J. N., &amp; Richter, N. F. (2009). Causal analysis of the internationalization and firm performance relationship based on neural networks — advocating the transnational structure.</w:t>
      </w:r>
      <w:r>
        <w:t xml:space="preserve"> </w:t>
      </w:r>
      <w:r>
        <w:rPr>
          <w:iCs/>
          <w:i/>
        </w:rPr>
        <w:t xml:space="preserve">Journal of International Management, 15</w:t>
      </w:r>
      <w:r>
        <w:t xml:space="preserve">(4), 413-431. https://doi.org/10.1016/j.intman.2009.01.003</w:t>
      </w:r>
    </w:p>
    <w:p>
      <w:pPr>
        <w:pStyle w:val="BodyText"/>
      </w:pPr>
      <w:r>
        <w:t xml:space="preserve">Glaum, M., &amp; Oesterle, M. (2007). 40 years of research on internationalization and firm performance: More questions than answers?</w:t>
      </w:r>
      <w:r>
        <w:t xml:space="preserve"> </w:t>
      </w:r>
      <w:r>
        <w:rPr>
          <w:iCs/>
          <w:i/>
        </w:rPr>
        <w:t xml:space="preserve">Management International Review, 47</w:t>
      </w:r>
      <w:r>
        <w:t xml:space="preserve">(3), 307-317. https://doi.org/10.1007/s11575-007-0018-0</w:t>
      </w:r>
    </w:p>
    <w:p>
      <w:pPr>
        <w:pStyle w:val="BodyText"/>
      </w:pPr>
      <w:r>
        <w:t xml:space="preserve">Gaur, A. S., &amp; Kumar, V. (2009). International diversification, business group affiliation and firm performance: Empirical evidence from India.</w:t>
      </w:r>
      <w:r>
        <w:t xml:space="preserve"> </w:t>
      </w:r>
      <w:r>
        <w:rPr>
          <w:iCs/>
          <w:i/>
        </w:rPr>
        <w:t xml:space="preserve">British Journal of Management, 20</w:t>
      </w:r>
      <w:r>
        <w:t xml:space="preserve">(2), 172-186. https://doi.org/10.1111/j.1467-8551.2008.00558.x</w:t>
      </w:r>
    </w:p>
    <w:p>
      <w:pPr>
        <w:pStyle w:val="BodyText"/>
      </w:pPr>
      <w:r>
        <w:t xml:space="preserve">Graves, C., &amp; Shan, Y. G. (2014). An empirical analysis of the effect of internationalization on the performance of unlisted family and nonfamily firms in Australia.</w:t>
      </w:r>
      <w:r>
        <w:t xml:space="preserve"> </w:t>
      </w:r>
      <w:r>
        <w:rPr>
          <w:iCs/>
          <w:i/>
        </w:rPr>
        <w:t xml:space="preserve">Family Business Review, 27</w:t>
      </w:r>
      <w:r>
        <w:t xml:space="preserve">(2), 142-160. https://doi.org/10.1177/0894486513510534</w:t>
      </w:r>
    </w:p>
    <w:p>
      <w:pPr>
        <w:pStyle w:val="BodyText"/>
      </w:pPr>
      <w:r>
        <w:t xml:space="preserve">Hilmersson, M. (2014). Small and medium-sized enterprise internationalisation strategy and performance in times of market turbulence.</w:t>
      </w:r>
      <w:r>
        <w:t xml:space="preserve"> </w:t>
      </w:r>
      <w:r>
        <w:rPr>
          <w:iCs/>
          <w:i/>
        </w:rPr>
        <w:t xml:space="preserve">International Small Business Journal, 32</w:t>
      </w:r>
      <w:r>
        <w:t xml:space="preserve">(4), 386-400. https://doi.org/10.1177/0266242613485778</w:t>
      </w:r>
    </w:p>
    <w:p>
      <w:pPr>
        <w:pStyle w:val="BodyText"/>
      </w:pPr>
      <w:r>
        <w:t xml:space="preserve">Hojnik, J., Ruzzier, M., &amp; Konecnik Ruzzier, M. (2018). Internationalisation and economic performance: The mediating role of innovation.</w:t>
      </w:r>
      <w:r>
        <w:t xml:space="preserve"> </w:t>
      </w:r>
      <w:r>
        <w:rPr>
          <w:iCs/>
          <w:i/>
        </w:rPr>
        <w:t xml:space="preserve">Economics Research-Ekonomska Istraživanja, 31</w:t>
      </w:r>
      <w:r>
        <w:t xml:space="preserve">(1), 1770-1789. https://doi.org/10.1080/1331677X.2018.1504673</w:t>
      </w:r>
    </w:p>
    <w:p>
      <w:pPr>
        <w:pStyle w:val="BodyText"/>
      </w:pPr>
      <w:r>
        <w:t xml:space="preserve">Juniati, S., &amp; Wahyuni, S. (2019). Internationalization and performance: Evidence from Indonesian firms.</w:t>
      </w:r>
      <w:r>
        <w:t xml:space="preserve"> </w:t>
      </w:r>
      <w:r>
        <w:rPr>
          <w:iCs/>
          <w:i/>
        </w:rPr>
        <w:t xml:space="preserve">International Journal of Business and Society, 20</w:t>
      </w:r>
      <w:r>
        <w:t xml:space="preserve">(3), 1134-1152.</w:t>
      </w:r>
    </w:p>
    <w:p>
      <w:pPr>
        <w:pStyle w:val="BodyText"/>
      </w:pPr>
      <w:r>
        <w:t xml:space="preserve">Kongkaew, W., Kraiwanit, T., &amp; Limna, P. (2021). Internationalization and business performance of Thai SMEs.</w:t>
      </w:r>
      <w:r>
        <w:t xml:space="preserve"> </w:t>
      </w:r>
      <w:r>
        <w:rPr>
          <w:iCs/>
          <w:i/>
        </w:rPr>
        <w:t xml:space="preserve">Journal of International Business and Economy, 22</w:t>
      </w:r>
      <w:r>
        <w:t xml:space="preserve">(2), 1-22.</w:t>
      </w:r>
    </w:p>
    <w:p>
      <w:pPr>
        <w:pStyle w:val="BodyText"/>
      </w:pPr>
      <w:r>
        <w:t xml:space="preserve">Kumar, N., &amp; Singh, N. (2008). Internationalization and performance of Indian pharmaceutical firms.</w:t>
      </w:r>
      <w:r>
        <w:t xml:space="preserve"> </w:t>
      </w:r>
      <w:r>
        <w:rPr>
          <w:iCs/>
          <w:i/>
        </w:rPr>
        <w:t xml:space="preserve">Vikalpa: The Journal for Decision Makers, 33</w:t>
      </w:r>
      <w:r>
        <w:t xml:space="preserve">(4), 13-24.</w:t>
      </w:r>
    </w:p>
    <w:p>
      <w:pPr>
        <w:pStyle w:val="BodyText"/>
      </w:pPr>
      <w:r>
        <w:t xml:space="preserve">Kumar, V., &amp; Gaur, A. S. (2007). Internationalization and performance of Indian firms.</w:t>
      </w:r>
      <w:r>
        <w:t xml:space="preserve"> </w:t>
      </w:r>
      <w:r>
        <w:rPr>
          <w:iCs/>
          <w:i/>
        </w:rPr>
        <w:t xml:space="preserve">International Business: Research, Teaching, and Practice, 1</w:t>
      </w:r>
      <w:r>
        <w:t xml:space="preserve">(1), 1-20.</w:t>
      </w:r>
    </w:p>
    <w:p>
      <w:pPr>
        <w:pStyle w:val="BodyText"/>
      </w:pPr>
      <w:r>
        <w:t xml:space="preserve">Lee, C. Y. (2013). The effect of internationalization on business performance: The case of Korean firms.</w:t>
      </w:r>
      <w:r>
        <w:t xml:space="preserve"> </w:t>
      </w:r>
      <w:r>
        <w:rPr>
          <w:iCs/>
          <w:i/>
        </w:rPr>
        <w:t xml:space="preserve">Asian Review of Accounting, 21</w:t>
      </w:r>
      <w:r>
        <w:t xml:space="preserve">(2), 115-133. https://doi.org/10.1108/ARA-09-2012-0061</w:t>
      </w:r>
    </w:p>
    <w:p>
      <w:pPr>
        <w:pStyle w:val="BodyText"/>
      </w:pPr>
      <w:r>
        <w:t xml:space="preserve">Leung, T., &amp; Sharma, P. (2021). Differences in the impact of R&amp;D intensity and R&amp;D internationalization on firm performance: Mediating role of innovation performance.</w:t>
      </w:r>
      <w:r>
        <w:t xml:space="preserve"> </w:t>
      </w:r>
      <w:r>
        <w:rPr>
          <w:iCs/>
          <w:i/>
        </w:rPr>
        <w:t xml:space="preserve">Journal of Business Research, 131</w:t>
      </w:r>
      <w:r>
        <w:t xml:space="preserve">, 81-91. https://doi.org/10.1016/j.jbusres.2021.03.060</w:t>
      </w:r>
    </w:p>
    <w:p>
      <w:pPr>
        <w:pStyle w:val="BodyText"/>
      </w:pPr>
      <w:r>
        <w:t xml:space="preserve">Lee, J.-Y., Woo, C.-W., &amp; Shim, W.-S. (2019). The effect of internationalization on performance of Korean firms: Moderating effect of technological capability.</w:t>
      </w:r>
      <w:r>
        <w:t xml:space="preserve"> </w:t>
      </w:r>
      <w:r>
        <w:rPr>
          <w:iCs/>
          <w:i/>
        </w:rPr>
        <w:t xml:space="preserve">International Journal of Trade, Economics and Finance, 10</w:t>
      </w:r>
      <w:r>
        <w:t xml:space="preserve">(3), 84-89. https://doi.org/10.18178/ijtef.2019.10.3.645</w:t>
      </w:r>
    </w:p>
    <w:p>
      <w:pPr>
        <w:pStyle w:val="BodyText"/>
      </w:pPr>
      <w:r>
        <w:t xml:space="preserve">Majocchi, A., &amp; Zucchella, A. (2003). Internationalization and performance: Findings from a set of Italian SMEs.</w:t>
      </w:r>
      <w:r>
        <w:t xml:space="preserve"> </w:t>
      </w:r>
      <w:r>
        <w:rPr>
          <w:iCs/>
          <w:i/>
        </w:rPr>
        <w:t xml:space="preserve">International Small Business Journal, 21</w:t>
      </w:r>
      <w:r>
        <w:t xml:space="preserve">(3), 249-268. https://doi.org/10.1177/0266242603021003001</w:t>
      </w:r>
    </w:p>
    <w:p>
      <w:pPr>
        <w:pStyle w:val="BodyText"/>
      </w:pPr>
      <w:r>
        <w:t xml:space="preserve">McDougall, P. P., &amp; Oviatt, B. M. (1996). New venture internationalization, strategic change, and performance: A follow-up study.</w:t>
      </w:r>
      <w:r>
        <w:t xml:space="preserve"> </w:t>
      </w:r>
      <w:r>
        <w:rPr>
          <w:iCs/>
          <w:i/>
        </w:rPr>
        <w:t xml:space="preserve">Journal of Business Venturing, 11</w:t>
      </w:r>
      <w:r>
        <w:t xml:space="preserve">(1), 23-40. https://doi.org/10.1016/0883-9026(95)00081-X</w:t>
      </w:r>
    </w:p>
    <w:p>
      <w:pPr>
        <w:pStyle w:val="BodyText"/>
      </w:pPr>
      <w:r>
        <w:t xml:space="preserve">Miller, S. R., Lavie, D., &amp; Delios, A. (2016). International intensity, diversity, and distance: Unpacking the internationalization-performance relationship.</w:t>
      </w:r>
      <w:r>
        <w:t xml:space="preserve"> </w:t>
      </w:r>
      <w:r>
        <w:rPr>
          <w:iCs/>
          <w:i/>
        </w:rPr>
        <w:t xml:space="preserve">International Business Review, 25</w:t>
      </w:r>
      <w:r>
        <w:t xml:space="preserve">(4), 907-920. https://doi.org/10.1016/j.ibusrev.2015.12.001</w:t>
      </w:r>
    </w:p>
    <w:p>
      <w:pPr>
        <w:pStyle w:val="BodyText"/>
      </w:pPr>
      <w:r>
        <w:t xml:space="preserve">Mohr, A., &amp; Batsakis, G. (2016). Internationalization speed and firm performance: A study of the market-seeking expansion of retail MNEs.</w:t>
      </w:r>
      <w:r>
        <w:t xml:space="preserve"> </w:t>
      </w:r>
      <w:r>
        <w:rPr>
          <w:iCs/>
          <w:i/>
        </w:rPr>
        <w:t xml:space="preserve">Management International Review, 57</w:t>
      </w:r>
      <w:r>
        <w:t xml:space="preserve">(2), 153-177. https://doi.org/10.1007/s11575-016-0284-7</w:t>
      </w:r>
    </w:p>
    <w:p>
      <w:pPr>
        <w:pStyle w:val="BodyText"/>
      </w:pPr>
      <w:r>
        <w:t xml:space="preserve">Nguyen, Q., &amp; Kim, S. (2020). The multinationality and performance relationship: Revisiting the literature and exploring the implications.</w:t>
      </w:r>
      <w:r>
        <w:t xml:space="preserve"> </w:t>
      </w:r>
      <w:r>
        <w:rPr>
          <w:iCs/>
          <w:i/>
        </w:rPr>
        <w:t xml:space="preserve">International Business Review, 29</w:t>
      </w:r>
      <w:r>
        <w:t xml:space="preserve">(6), Article 101670. https://doi.org/10.1016/j.ibusrev.2020.101670</w:t>
      </w:r>
    </w:p>
    <w:p>
      <w:pPr>
        <w:pStyle w:val="BodyText"/>
      </w:pPr>
      <w:r>
        <w:t xml:space="preserve">Nosi, C., Pucci, T., Silvestri, L., &amp; Zanni, L. (2017). Firm performance and legitimacy in internationalization processes of Italian SMEs.</w:t>
      </w:r>
      <w:r>
        <w:t xml:space="preserve"> </w:t>
      </w:r>
      <w:r>
        <w:rPr>
          <w:iCs/>
          <w:i/>
        </w:rPr>
        <w:t xml:space="preserve">Sinergie Italian Journal of Management, 35</w:t>
      </w:r>
      <w:r>
        <w:t xml:space="preserve">(102), 49-70. https://doi.org/10.7433/s102.2017.04</w:t>
      </w:r>
    </w:p>
    <w:p>
      <w:pPr>
        <w:pStyle w:val="BodyText"/>
      </w:pPr>
      <w:r>
        <w:t xml:space="preserve">Pattnaik, C., &amp; Elango, B. (2009). The impact of firm resources on the internationalization and performance relationship: A study of Indian manufacturing firms.</w:t>
      </w:r>
      <w:r>
        <w:t xml:space="preserve"> </w:t>
      </w:r>
      <w:r>
        <w:rPr>
          <w:iCs/>
          <w:i/>
        </w:rPr>
        <w:t xml:space="preserve">Multinational Business Review, 17</w:t>
      </w:r>
      <w:r>
        <w:t xml:space="preserve">(2), 69-90. https://doi.org/10.1108/1525383X200900012</w:t>
      </w:r>
    </w:p>
    <w:p>
      <w:pPr>
        <w:pStyle w:val="BodyText"/>
      </w:pPr>
      <w:r>
        <w:t xml:space="preserve">Polat, G., &amp; Mutlu, H. M. (2012). Internationalization performance of construction companies: Evidence from Turkey.</w:t>
      </w:r>
      <w:r>
        <w:t xml:space="preserve"> </w:t>
      </w:r>
      <w:r>
        <w:rPr>
          <w:iCs/>
          <w:i/>
        </w:rPr>
        <w:t xml:space="preserve">Engineering, Construction and Architectural Management, 19</w:t>
      </w:r>
      <w:r>
        <w:t xml:space="preserve">(2), 202-220. https://doi.org/10.1108/09699981211205849</w:t>
      </w:r>
    </w:p>
    <w:p>
      <w:pPr>
        <w:pStyle w:val="BodyText"/>
      </w:pPr>
      <w:r>
        <w:t xml:space="preserve">Pouresmaeili, M., Salamzadeh, A., Salamzadeh, Y., &amp; Braga, V. (2018). Internationalization of Iranian SMEs and its impact on firm performance.</w:t>
      </w:r>
      <w:r>
        <w:t xml:space="preserve"> </w:t>
      </w:r>
      <w:r>
        <w:rPr>
          <w:iCs/>
          <w:i/>
        </w:rPr>
        <w:t xml:space="preserve">International Journal of Business and Globalisation, 21</w:t>
      </w:r>
      <w:r>
        <w:t xml:space="preserve">(3), 388-404. https://doi.org/10.1504/IJBG.2018.095267</w:t>
      </w:r>
    </w:p>
    <w:p>
      <w:pPr>
        <w:pStyle w:val="BodyText"/>
      </w:pPr>
      <w:r>
        <w:t xml:space="preserve">Purkayastha, S., &amp; Gupta, V. K. (2022). Business group affiliation and internationalization-performance relationship: The moderating role of product diversification.</w:t>
      </w:r>
      <w:r>
        <w:t xml:space="preserve"> </w:t>
      </w:r>
      <w:r>
        <w:rPr>
          <w:iCs/>
          <w:i/>
        </w:rPr>
        <w:t xml:space="preserve">International Business Review, 31</w:t>
      </w:r>
      <w:r>
        <w:t xml:space="preserve">(3), Article 101968. https://doi.org/10.1016/j.ibusrev.2021.101968</w:t>
      </w:r>
    </w:p>
    <w:p>
      <w:pPr>
        <w:pStyle w:val="BodyText"/>
      </w:pPr>
      <w:r>
        <w:t xml:space="preserve">Purkayastha, S., Manolova, T. S., &amp; Edelman, L. F. (2018). Business group effects on the R&amp;D intensity-internationalization relationship: Empirical evidence from India.</w:t>
      </w:r>
      <w:r>
        <w:t xml:space="preserve"> </w:t>
      </w:r>
      <w:r>
        <w:rPr>
          <w:iCs/>
          <w:i/>
        </w:rPr>
        <w:t xml:space="preserve">Journal of World Business, 53</w:t>
      </w:r>
      <w:r>
        <w:t xml:space="preserve">(5), 645-657. https://doi.org/10.1016/j.jwb.2018.03.006</w:t>
      </w:r>
    </w:p>
    <w:p>
      <w:pPr>
        <w:pStyle w:val="BodyText"/>
      </w:pPr>
      <w:r>
        <w:t xml:space="preserve">Putri, W. H., &amp; Pan, L. (2022). The relationship between internationalization and performance: Evidence from Indonesian manufacturing firms.</w:t>
      </w:r>
      <w:r>
        <w:t xml:space="preserve"> </w:t>
      </w:r>
      <w:r>
        <w:rPr>
          <w:iCs/>
          <w:i/>
        </w:rPr>
        <w:t xml:space="preserve">Cogent Business &amp; Management, 9</w:t>
      </w:r>
      <w:r>
        <w:t xml:space="preserve">(1), Article 2079802. https://doi.org/10.1080/23311975.2022.2079802</w:t>
      </w:r>
    </w:p>
    <w:p>
      <w:pPr>
        <w:pStyle w:val="BodyText"/>
      </w:pPr>
      <w:r>
        <w:t xml:space="preserve">Qian, G. (2002). Multinationality, product diversification, and profitability of emerging US small- and medium-sized enterprises.</w:t>
      </w:r>
      <w:r>
        <w:t xml:space="preserve"> </w:t>
      </w:r>
      <w:r>
        <w:rPr>
          <w:iCs/>
          <w:i/>
        </w:rPr>
        <w:t xml:space="preserve">Journal of Business Venturing, 17</w:t>
      </w:r>
      <w:r>
        <w:t xml:space="preserve">(6), 611-633. https://doi.org/10.1016/S0883-9026(01)00079-5</w:t>
      </w:r>
    </w:p>
    <w:p>
      <w:pPr>
        <w:pStyle w:val="BodyText"/>
      </w:pPr>
      <w:r>
        <w:t xml:space="preserve">Ruigrok, W., Amann, W., &amp; Wagner, H. (2007). The internationalization-performance relationship at Swiss firms: A test of the S-shape and extreme degrees of internationalization.</w:t>
      </w:r>
      <w:r>
        <w:t xml:space="preserve"> </w:t>
      </w:r>
      <w:r>
        <w:rPr>
          <w:iCs/>
          <w:i/>
        </w:rPr>
        <w:t xml:space="preserve">Management International Review, 47</w:t>
      </w:r>
      <w:r>
        <w:t xml:space="preserve">(3), 349-368. https://doi.org/10.1007/s11575-007-0015-4</w:t>
      </w:r>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Siddharthan, N. S., &amp; Lall, S. (1982). The recent growth of the largest US multinationals.</w:t>
      </w:r>
      <w:r>
        <w:t xml:space="preserve"> </w:t>
      </w:r>
      <w:r>
        <w:rPr>
          <w:iCs/>
          <w:i/>
        </w:rPr>
        <w:t xml:space="preserve">Oxford Bulletin of Economics and Statistics, 44</w:t>
      </w:r>
      <w:r>
        <w:t xml:space="preserve">(1), 1-13. https://doi.org/10.1111/j.1468-0084.1982.mp44001001.x</w:t>
      </w:r>
    </w:p>
    <w:p>
      <w:pPr>
        <w:pStyle w:val="BodyText"/>
      </w:pPr>
      <w:r>
        <w:t xml:space="preserve">Tashman, P., Marano, V., &amp; Kostova, T. (2019). Walking the walk or talking the talk? Corporate social responsibility and internationalization intensity in the Fortune Global 500.</w:t>
      </w:r>
      <w:r>
        <w:t xml:space="preserve"> </w:t>
      </w:r>
      <w:r>
        <w:rPr>
          <w:iCs/>
          <w:i/>
        </w:rPr>
        <w:t xml:space="preserve">Journal of International Business Studies, 50</w:t>
      </w:r>
      <w:r>
        <w:t xml:space="preserve">(2), 253-261. https://doi.org/10.1057/s41267-018-0197-4</w:t>
      </w:r>
    </w:p>
    <w:p>
      <w:pPr>
        <w:pStyle w:val="BodyText"/>
      </w:pPr>
      <w:r>
        <w:t xml:space="preserve">Thomas, D. E. (2006). International diversification and firm performance in Mexican firms: A curvilinear relationship.</w:t>
      </w:r>
      <w:r>
        <w:t xml:space="preserve"> </w:t>
      </w:r>
      <w:r>
        <w:rPr>
          <w:iCs/>
          <w:i/>
        </w:rPr>
        <w:t xml:space="preserve">Journal of Business Research, 59</w:t>
      </w:r>
      <w:r>
        <w:t xml:space="preserve">(4), 501-507. https://doi.org/10.1016/j.jbusres.2005.09.008</w:t>
      </w:r>
    </w:p>
    <w:p>
      <w:pPr>
        <w:pStyle w:val="BodyText"/>
      </w:pPr>
      <w:r>
        <w:t xml:space="preserve">Thomas, D. E., &amp; Eden, L. (2004). What is the shape of the multinationality-performance relationship?</w:t>
      </w:r>
      <w:r>
        <w:t xml:space="preserve"> </w:t>
      </w:r>
      <w:r>
        <w:rPr>
          <w:iCs/>
          <w:i/>
        </w:rPr>
        <w:t xml:space="preserve">Multinational Business Review, 12</w:t>
      </w:r>
      <w:r>
        <w:t xml:space="preserve">(1), 89-110. https://doi.org/10.1108/1525383X200400005</w:t>
      </w:r>
    </w:p>
    <w:p>
      <w:pPr>
        <w:pStyle w:val="BodyText"/>
      </w:pPr>
      <w:r>
        <w:t xml:space="preserve">Tsao, S.-M., &amp; Chen, G.-Z. (2012). The impact of internationalization on performance and innovation: The moderating effects of ownership concentration.</w:t>
      </w:r>
      <w:r>
        <w:t xml:space="preserve"> </w:t>
      </w:r>
      <w:r>
        <w:rPr>
          <w:iCs/>
          <w:i/>
        </w:rPr>
        <w:t xml:space="preserve">Asia Pacific Journal of Management, 29</w:t>
      </w:r>
      <w:r>
        <w:t xml:space="preserve">(3), 617-642. https://doi.org/10.1007/s10490-010-9240-5</w:t>
      </w:r>
    </w:p>
    <w:p>
      <w:pPr>
        <w:pStyle w:val="BodyText"/>
      </w:pPr>
      <w:r>
        <w:t xml:space="preserve">Tsao, S.-M., &amp; Lien, W.-H. (2013). Family management and internationalization: The impact on firm performance and innovation.</w:t>
      </w:r>
      <w:r>
        <w:t xml:space="preserve"> </w:t>
      </w:r>
      <w:r>
        <w:rPr>
          <w:iCs/>
          <w:i/>
        </w:rPr>
        <w:t xml:space="preserve">Management International Review, 53</w:t>
      </w:r>
      <w:r>
        <w:t xml:space="preserve">(2), 175-193. https://doi.org/10.1007/s11575-012-0135-1</w:t>
      </w:r>
    </w:p>
    <w:p>
      <w:pPr>
        <w:pStyle w:val="BodyText"/>
      </w:pPr>
      <w:r>
        <w:t xml:space="preserve">Upadhyayula, R. S., Bhatt, D., &amp; Gaur, A. S. (2016). International expansion and performance of Indian firms: Moderating role of board structure.</w:t>
      </w:r>
      <w:r>
        <w:t xml:space="preserve"> </w:t>
      </w:r>
      <w:r>
        <w:rPr>
          <w:iCs/>
          <w:i/>
        </w:rPr>
        <w:t xml:space="preserve">Journal of Indian Business Research, 8</w:t>
      </w:r>
      <w:r>
        <w:t xml:space="preserve">(2), 130-149. https://doi.org/10.1108/JIBR-10-2015-0087</w:t>
      </w:r>
    </w:p>
    <w:p>
      <w:pPr>
        <w:pStyle w:val="BodyText"/>
      </w:pPr>
      <w:r>
        <w:t xml:space="preserve">Vélez-Calle, A., Sánchez-Henriquez, F., &amp; MacLennan, A. F. (2018). Peer influence and internationalization intentions of Latin American firms.</w:t>
      </w:r>
      <w:r>
        <w:t xml:space="preserve"> </w:t>
      </w:r>
      <w:r>
        <w:rPr>
          <w:iCs/>
          <w:i/>
        </w:rPr>
        <w:t xml:space="preserve">International Journal of Emerging Markets, 13</w:t>
      </w:r>
      <w:r>
        <w:t xml:space="preserve">(1), 95-118. https://doi.org/10.1108/IJoEM-11-2016-0298</w:t>
      </w:r>
    </w:p>
    <w:p>
      <w:pPr>
        <w:pStyle w:val="BodyText"/>
      </w:pPr>
      <w:r>
        <w:t xml:space="preserve">Vilas-Boas da Silva, J., &amp; González Pérez, M. A. (2007). Internationalization and performance: Evidence from Spanish firms.</w:t>
      </w:r>
      <w:r>
        <w:t xml:space="preserve"> </w:t>
      </w:r>
      <w:r>
        <w:rPr>
          <w:iCs/>
          <w:i/>
        </w:rPr>
        <w:t xml:space="preserve">Cuadernos de Economía y Dirección de la Empresa, 10</w:t>
      </w:r>
      <w:r>
        <w:t xml:space="preserve">(33), 31-62.</w:t>
      </w:r>
    </w:p>
    <w:p>
      <w:pPr>
        <w:pStyle w:val="BodyText"/>
      </w:pPr>
      <w:r>
        <w:t xml:space="preserve">Zhou, L., &amp; Wu, A. (2014). Earliness of internationalization and performance outcomes: Exploring the moderating effects of venture age and international commitment.</w:t>
      </w:r>
      <w:r>
        <w:t xml:space="preserve"> </w:t>
      </w:r>
      <w:r>
        <w:rPr>
          <w:iCs/>
          <w:i/>
        </w:rPr>
        <w:t xml:space="preserve">Journal of World Business, 49</w:t>
      </w:r>
      <w:r>
        <w:t xml:space="preserve">(1), 132-142. https://doi.org/10.1016/j.jwb.2013.04.003</w:t>
      </w:r>
    </w:p>
    <w:bookmarkEnd w:id="192"/>
    <w:bookmarkStart w:id="193" w:name="Xd7e1b1ec1596ddfb204126def34f28100020172"/>
    <w:p>
      <w:pPr>
        <w:pStyle w:val="Heading2"/>
      </w:pPr>
      <w:r>
        <w:t xml:space="preserve">Nghiên cứu bổ sung — P6 Meta-Analysis (từ scite.ai/Consensus, tháng 5/2026)</w:t>
      </w:r>
    </w:p>
    <w:p>
      <w:pPr>
        <w:pStyle w:val="FirstParagraph"/>
      </w:pPr>
      <w:r>
        <w:t xml:space="preserve">Ahsan, F. M., &amp; Sinha, A. (2022). Internationalization motives, location advantages and performance: The case of Indian firms from knowledge-intensive industries.</w:t>
      </w:r>
      <w:r>
        <w:t xml:space="preserve"> </w:t>
      </w:r>
      <w:r>
        <w:rPr>
          <w:iCs/>
          <w:i/>
        </w:rPr>
        <w:t xml:space="preserve">Cross Cultural &amp; Strategic Management</w:t>
      </w:r>
      <w:r>
        <w:t xml:space="preserve">. https://doi.org/10.1108/ccsm-07-2021-0119</w:t>
      </w:r>
    </w:p>
    <w:p>
      <w:pPr>
        <w:pStyle w:val="BodyText"/>
      </w:pPr>
      <w:r>
        <w:t xml:space="preserve">Azman, M. A. H., Hon, C. K. H., Xia, B., Lee, B. L., &amp; Skitmore, M. (2022). Internationalization and productivity of construction firms in a developing country: The effect of institutional environment and ownership on Malaysian construction firms.</w:t>
      </w:r>
      <w:r>
        <w:t xml:space="preserve"> </w:t>
      </w:r>
      <w:r>
        <w:rPr>
          <w:iCs/>
          <w:i/>
        </w:rPr>
        <w:t xml:space="preserve">Journal of Management in Engineering, 38</w:t>
      </w:r>
      <w:r>
        <w:t xml:space="preserve">(3). https://doi.org/10.1061/(asce)me.1943-5479.0000985</w:t>
      </w:r>
    </w:p>
    <w:p>
      <w:pPr>
        <w:pStyle w:val="BodyTex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 https://doi.org/10.15678/eber.2021.090206</w:t>
      </w:r>
    </w:p>
    <w:p>
      <w:pPr>
        <w:pStyle w:val="BodyTex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 https://doi.org/10.24136/oc.2021.003</w:t>
      </w:r>
    </w:p>
    <w:p>
      <w:pPr>
        <w:pStyle w:val="BodyText"/>
      </w:pPr>
      <w:r>
        <w:t xml:space="preserve">Calabrese, G., &amp; Manello, A. (2018). Firm internationalization and performance: Evidence for designing policies.</w:t>
      </w:r>
      <w:r>
        <w:t xml:space="preserve"> </w:t>
      </w:r>
      <w:r>
        <w:rPr>
          <w:iCs/>
          <w:i/>
        </w:rPr>
        <w:t xml:space="preserve">Journal of Policy Modeling, 40</w:t>
      </w:r>
      <w:r>
        <w:t xml:space="preserve">(5), 1022-1039. https://doi.org/10.1016/j.jpolmod.2018.01.008</w:t>
      </w:r>
    </w:p>
    <w:p>
      <w:pPr>
        <w:pStyle w:val="BodyText"/>
      </w:pPr>
      <w:r>
        <w:t xml:space="preserve">Cao, X., Li, P., Huang, X., &amp; Fan, L. (2022). The dual mechanism of social networks on the relationship between internationalization and firm performance: Empirical evidence from China.</w:t>
      </w:r>
      <w:r>
        <w:t xml:space="preserve"> </w:t>
      </w:r>
      <w:r>
        <w:rPr>
          <w:iCs/>
          <w:i/>
        </w:rPr>
        <w:t xml:space="preserve">PLoS ONE, 17</w:t>
      </w:r>
      <w:r>
        <w:t xml:space="preserve">(2), Article e0263674. https://doi.org/10.1371/journal.pone.0263674</w:t>
      </w:r>
    </w:p>
    <w:p>
      <w:pPr>
        <w:pStyle w:val="BodyText"/>
      </w:pPr>
      <w:r>
        <w:t xml:space="preserve">Carr, J. C., Haggard, K. S., Hmieleski, K. M., &amp; Zahra, S. A. (2010). A study of the moderating effects of firm age at internationalization on firm survival and short-term growth.</w:t>
      </w:r>
      <w:r>
        <w:t xml:space="preserve"> </w:t>
      </w:r>
      <w:r>
        <w:rPr>
          <w:iCs/>
          <w:i/>
        </w:rPr>
        <w:t xml:space="preserve">Strategic Entrepreneurship Journal, 4</w:t>
      </w:r>
      <w:r>
        <w:t xml:space="preserve">(2), 183-192. https://doi.org/10.1002/sej.90</w:t>
      </w:r>
    </w:p>
    <w:p>
      <w:pPr>
        <w:pStyle w:val="BodyText"/>
      </w:pPr>
      <w:r>
        <w:t xml:space="preserve">Chen, H., &amp; Hsu, C. (2010). Internationalization, resource allocation and firm performance.</w:t>
      </w:r>
      <w:r>
        <w:t xml:space="preserve"> </w:t>
      </w:r>
      <w:r>
        <w:rPr>
          <w:iCs/>
          <w:i/>
        </w:rPr>
        <w:t xml:space="preserve">Industrial Marketing Management, 39</w:t>
      </w:r>
      <w:r>
        <w:t xml:space="preserve">(7), 1103-1110. https://doi.org/10.1016/j.indmarman.2009.10.001</w:t>
      </w:r>
    </w:p>
    <w:p>
      <w:pPr>
        <w:pStyle w:val="BodyText"/>
      </w:pP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p>
    <w:p>
      <w:pPr>
        <w:pStyle w:val="BodyText"/>
      </w:pPr>
      <w:r>
        <w:t xml:space="preserve">Cuervo-Cazurra, A., Ciravegna, L., Melgarejo, M., &amp; Lopez, L. (2017).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https://doi.org/10.1016/j.jwb.2017.11.002</w:t>
      </w:r>
    </w:p>
    <w:p>
      <w:pPr>
        <w:pStyle w:val="BodyText"/>
      </w:pPr>
      <w:r>
        <w:t xml:space="preserve">Da Cunha, H. M., Amal, M., Floriani, D. E., &amp; Fleury, M. T. L. (2023). Firm internationalization approaches and performance: The moderating role of the home country’s formal institutions.</w:t>
      </w:r>
      <w:r>
        <w:t xml:space="preserve"> </w:t>
      </w:r>
      <w:r>
        <w:rPr>
          <w:iCs/>
          <w:i/>
        </w:rPr>
        <w:t xml:space="preserve">International Journal of Emerging Markets</w:t>
      </w:r>
      <w:r>
        <w:t xml:space="preserve">. https://doi.org/10.1108/ijoem-08-2021-1299</w:t>
      </w:r>
    </w:p>
    <w:p>
      <w:pPr>
        <w:pStyle w:val="BodyText"/>
      </w:pPr>
      <w:r>
        <w:t xml:space="preserve">Debicki, B. J., Miao, C., &amp; Qian, S. (2020). Internationalization and family firm performance.</w:t>
      </w:r>
      <w:r>
        <w:t xml:space="preserve"> </w:t>
      </w:r>
      <w:r>
        <w:rPr>
          <w:iCs/>
          <w:i/>
        </w:rPr>
        <w:t xml:space="preserve">Cross Cultural &amp; Strategic Management, 27</w:t>
      </w:r>
      <w:r>
        <w:t xml:space="preserve">(1), 1-25. https://doi.org/10.1108/ccsm-04-2019-0075</w:t>
      </w:r>
    </w:p>
    <w:p>
      <w:pPr>
        <w:pStyle w:val="BodyText"/>
      </w:pPr>
      <w:r>
        <w:t xml:space="preserve">Dikova, D., &amp; Veselova, A. (2020). Performance effects of internationalization: Contingency theory analysis of Russian internationalized firms.</w:t>
      </w:r>
      <w:r>
        <w:t xml:space="preserve"> </w:t>
      </w:r>
      <w:r>
        <w:rPr>
          <w:iCs/>
          <w:i/>
        </w:rPr>
        <w:t xml:space="preserve">Management and Organization Review, 17</w:t>
      </w:r>
      <w:r>
        <w:t xml:space="preserve">(1), 173-197. https://doi.org/10.1017/mor.2020.39</w:t>
      </w:r>
    </w:p>
    <w:p>
      <w:pPr>
        <w:pStyle w:val="BodyText"/>
      </w:pPr>
      <w:r>
        <w:t xml:space="preserve">Elango, B. (2012). How industry dynamics influence the internationalization-performance relationship: Evidence from technology-intensive firms.</w:t>
      </w:r>
      <w:r>
        <w:t xml:space="preserve"> </w:t>
      </w:r>
      <w:r>
        <w:rPr>
          <w:iCs/>
          <w:i/>
        </w:rPr>
        <w:t xml:space="preserve">Thunderbird International Business Review, 54</w:t>
      </w:r>
      <w:r>
        <w:t xml:space="preserve">(5), 653-665. https://doi.org/10.1002/tie.21491</w:t>
      </w:r>
    </w:p>
    <w:p>
      <w:pPr>
        <w:pStyle w:val="BodyText"/>
      </w:pPr>
      <w:r>
        <w:t xml:space="preserve">Espinosa-Méndez, C., &amp; Jara, M. (2021). International diversification and performance in family firm: Exploring nonlinear relationships with the governance structure in an emerging economy.</w:t>
      </w:r>
      <w:r>
        <w:t xml:space="preserve"> </w:t>
      </w:r>
      <w:r>
        <w:rPr>
          <w:iCs/>
          <w:i/>
        </w:rPr>
        <w:t xml:space="preserve">Spanish Journal of Finance and Accounting, 50</w:t>
      </w:r>
      <w:r>
        <w:t xml:space="preserve">(4), 441-468. https://doi.org/10.1080/02102412.2021.1886453</w:t>
      </w:r>
    </w:p>
    <w:p>
      <w:pPr>
        <w:pStyle w:val="BodyText"/>
      </w:pPr>
      <w:r>
        <w:t xml:space="preserve">Fu, Y. (2024). Enterprises’ internationalization, R&amp;D investment and enterprise performance.</w:t>
      </w:r>
      <w:r>
        <w:t xml:space="preserve"> </w:t>
      </w:r>
      <w:r>
        <w:rPr>
          <w:iCs/>
          <w:i/>
        </w:rPr>
        <w:t xml:space="preserve">Finance Research Letters, 68</w:t>
      </w:r>
      <w:r>
        <w:t xml:space="preserve">. https://doi.org/10.1016/j.frl.2024.105721</w:t>
      </w:r>
    </w:p>
    <w:p>
      <w:pPr>
        <w:pStyle w:val="BodyText"/>
      </w:pPr>
      <w:r>
        <w:t xml:space="preserve">Hosseini, M., Brege, S., &amp; Nord, T. (2018). A combined focused industry and company size investigation of the internationalization-performance relationship: The case of small and medium-sized enterprises (SMEs) within the Swedish wood manufacturing industry.</w:t>
      </w:r>
      <w:r>
        <w:t xml:space="preserve"> </w:t>
      </w:r>
      <w:r>
        <w:rPr>
          <w:iCs/>
          <w:i/>
        </w:rPr>
        <w:t xml:space="preserve">Forest Policy and Economics</w:t>
      </w:r>
      <w:r>
        <w:t xml:space="preserve">. https://doi.org/10.1016/j.forpol.2018.09.013</w:t>
      </w:r>
    </w:p>
    <w:p>
      <w:pPr>
        <w:pStyle w:val="BodyText"/>
      </w:pPr>
      <w:r>
        <w:t xml:space="preserve">Huang, L., &amp; Marciano, D. (2020). Interdependence relationship of internationalization-performance in manufacturing firms listed in Indonesia Stock Exchange and Chinese Stock Exchanges. In</w:t>
      </w:r>
      <w:r>
        <w:t xml:space="preserve"> </w:t>
      </w:r>
      <w:r>
        <w:rPr>
          <w:iCs/>
          <w:i/>
        </w:rPr>
        <w:t xml:space="preserve">Proceedings of the 17th International Symposium on Management (INSYMA 2020)</w:t>
      </w:r>
      <w:r>
        <w:t xml:space="preserve">. https://doi.org/10.2991/aebmr.k.200127.085</w:t>
      </w:r>
    </w:p>
    <w:p>
      <w:pPr>
        <w:pStyle w:val="BodyText"/>
      </w:pPr>
      <w:r>
        <w:t xml:space="preserve">Kayaci, A. (2022). The relationship between internationalization level and financial performance: A study with BİST companies.</w:t>
      </w:r>
      <w:r>
        <w:t xml:space="preserve"> </w:t>
      </w:r>
      <w:r>
        <w:rPr>
          <w:iCs/>
          <w:i/>
        </w:rPr>
        <w:t xml:space="preserve">Cumhuriyet Üniversitesi İktisadi ve İdari Bilimler Dergisi</w:t>
      </w:r>
      <w:r>
        <w:t xml:space="preserve">. https://doi.org/10.37880/cumuiibf.1077104</w:t>
      </w:r>
    </w:p>
    <w:p>
      <w:pPr>
        <w:pStyle w:val="BodyText"/>
      </w:pPr>
      <w:r>
        <w:t xml:space="preserve">Khatua, A., Mondal, A., &amp; Dhanda, S. (2024). The internationalization and performance of INVs: Liability or learning advantages of newness?</w:t>
      </w:r>
      <w:r>
        <w:t xml:space="preserve"> </w:t>
      </w:r>
      <w:r>
        <w:rPr>
          <w:iCs/>
          <w:i/>
        </w:rPr>
        <w:t xml:space="preserve">Journal of International Entrepreneurship</w:t>
      </w:r>
      <w:r>
        <w:t xml:space="preserve">. Advance online publication. https://doi.org/10.1007/s10843-023-00345-2</w:t>
      </w:r>
    </w:p>
    <w:p>
      <w:pPr>
        <w:pStyle w:val="BodyTex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p>
      <w:pPr>
        <w:pStyle w:val="BodyText"/>
      </w:pPr>
      <w:r>
        <w:t xml:space="preserve">Manotas, E. C., &amp; Gonzalez-Perez, M. A. (2020). Internationalization and performance of small and medium-sized enterprises from emerging economies.</w:t>
      </w:r>
      <w:r>
        <w:t xml:space="preserve"> </w:t>
      </w:r>
      <w:r>
        <w:rPr>
          <w:iCs/>
          <w:i/>
        </w:rPr>
        <w:t xml:space="preserve">Competitiveness Review: An International Business Journal, 31</w:t>
      </w:r>
      <w:r>
        <w:t xml:space="preserve">(4), 642-662. https://doi.org/10.1108/cr-03-2019-0028</w:t>
      </w:r>
    </w:p>
    <w:p>
      <w:pPr>
        <w:pStyle w:val="BodyText"/>
      </w:pPr>
      <w:r>
        <w:t xml:space="preserve">Olmos, M. F., &amp; Díez-Vial, I. (2015). Internationalization pathways and the performance of SMEs.</w:t>
      </w:r>
      <w:r>
        <w:t xml:space="preserve"> </w:t>
      </w:r>
      <w:r>
        <w:rPr>
          <w:iCs/>
          <w:i/>
        </w:rPr>
        <w:t xml:space="preserve">European Journal of Marketing, 49</w:t>
      </w:r>
      <w:r>
        <w:t xml:space="preserve">(3/4), 420-443. https://doi.org/10.1108/ejm-06-2012-0365</w:t>
      </w:r>
    </w:p>
    <w:p>
      <w:pPr>
        <w:pStyle w:val="BodyText"/>
      </w:pPr>
      <w:r>
        <w:t xml:space="preserve">Phan, A. T., Tran, T. M., &amp; Lu, T. M. (2020). The existence of W-shaped relationship between internationalization and firm performance: An empirical study of enterprises in Cameroon.</w:t>
      </w:r>
      <w:r>
        <w:t xml:space="preserve"> </w:t>
      </w:r>
      <w:r>
        <w:rPr>
          <w:iCs/>
          <w:i/>
        </w:rPr>
        <w:t xml:space="preserve">Decision Science Letters, 9</w:t>
      </w:r>
      <w:r>
        <w:t xml:space="preserve">(4), 573-580. https://doi.org/10.5267/j.dsl.2020.7.001</w:t>
      </w:r>
    </w:p>
    <w:p>
      <w:pPr>
        <w:pStyle w:val="BodyTex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 30</w:t>
      </w:r>
      <w:r>
        <w:t xml:space="preserve">(3), Article 101122. https://doi.org/10.1016/j.intman.2024.101122</w:t>
      </w:r>
    </w:p>
    <w:p>
      <w:pPr>
        <w:pStyle w:val="BodyText"/>
      </w:pPr>
      <w:r>
        <w:t xml:space="preserve">Purkayastha, A., Kumar, V., &amp; Gupta, V. (2021). Emerging market internationalizing firms: Learning through internationalization to achieve entrepreneurial orientation.</w:t>
      </w:r>
      <w:r>
        <w:t xml:space="preserve"> </w:t>
      </w:r>
      <w:r>
        <w:rPr>
          <w:iCs/>
          <w:i/>
        </w:rPr>
        <w:t xml:space="preserve">Journal of World Business, 56</w:t>
      </w:r>
      <w:r>
        <w:t xml:space="preserve">(4), Article 101207. https://doi.org/10.1016/j.jwb.2021.101207</w:t>
      </w:r>
    </w:p>
    <w:p>
      <w:pPr>
        <w:pStyle w:val="BodyText"/>
      </w:pPr>
      <w:r>
        <w:t xml:space="preserve">Rienda, L., &amp; Andreu, R. (2021). The role of family firms heterogeneity on the internationalisation and performance relationship.</w:t>
      </w:r>
      <w:r>
        <w:t xml:space="preserve"> </w:t>
      </w:r>
      <w:r>
        <w:rPr>
          <w:iCs/>
          <w:i/>
        </w:rPr>
        <w:t xml:space="preserve">European Journal of Family Business, 11</w:t>
      </w:r>
      <w:r>
        <w:t xml:space="preserve">(2). https://doi.org/10.24310/ejfbejfb.v11i2.10591</w:t>
      </w:r>
    </w:p>
    <w:p>
      <w:pPr>
        <w:pStyle w:val="BodyText"/>
      </w:pPr>
      <w:r>
        <w:t xml:space="preserve">Ruzzier, M., &amp; Ruzzier, M. K. (2014). On the relationship between firm size, resources, age at entry and internationalization: The case of Slovenian SMEs.</w:t>
      </w:r>
      <w:r>
        <w:t xml:space="preserve"> </w:t>
      </w:r>
      <w:r>
        <w:rPr>
          <w:iCs/>
          <w:i/>
        </w:rPr>
        <w:t xml:space="preserve">Journal of Business Economics and Management, 16</w:t>
      </w:r>
      <w:r>
        <w:t xml:space="preserve">(1), 52-73. https://doi.org/10.3846/16111699.2012.745812</w:t>
      </w:r>
    </w:p>
    <w:p>
      <w:pPr>
        <w:pStyle w:val="BodyText"/>
      </w:pPr>
      <w:r>
        <w:t xml:space="preserve">Schmuck, A., Lagerström, K., &amp; Sallis, J. F. (2022). Turning the tables: The relationship between performance and multinationality.</w:t>
      </w:r>
      <w:r>
        <w:t xml:space="preserve"> </w:t>
      </w:r>
      <w:r>
        <w:rPr>
          <w:iCs/>
          <w:i/>
        </w:rPr>
        <w:t xml:space="preserve">Management International Review, 62</w:t>
      </w:r>
      <w:r>
        <w:t xml:space="preserve">(1), 3-26. https://doi.org/10.1007/s11575-022-00464-3</w:t>
      </w:r>
    </w:p>
    <w:p>
      <w:pPr>
        <w:pStyle w:val="BodyText"/>
      </w:pPr>
      <w:r>
        <w:t xml:space="preserve">Singla, C., &amp; George, R. (2013). Internationalization and performance: A contextual analysis of Indian firms.</w:t>
      </w:r>
      <w:r>
        <w:t xml:space="preserve"> </w:t>
      </w:r>
      <w:r>
        <w:rPr>
          <w:iCs/>
          <w:i/>
        </w:rPr>
        <w:t xml:space="preserve">Journal of Business Research, 66</w:t>
      </w:r>
      <w:r>
        <w:t xml:space="preserve">(12), 2500-2506. https://doi.org/10.1016/j.jbusres.2013.05.041</w:t>
      </w:r>
    </w:p>
    <w:p>
      <w:pPr>
        <w:pStyle w:val="BodyText"/>
      </w:pPr>
      <w:r>
        <w:t xml:space="preserve">Sun, W., Price, J. M., &amp; Ding, Y. (2019). The longitudinal effects of internationalization on firm performance: The moderating role of marketing capability.</w:t>
      </w:r>
      <w:r>
        <w:t xml:space="preserve"> </w:t>
      </w:r>
      <w:r>
        <w:rPr>
          <w:iCs/>
          <w:i/>
        </w:rPr>
        <w:t xml:space="preserve">Journal of Business Research, 95</w:t>
      </w:r>
      <w:r>
        <w:t xml:space="preserve">, 326-337. https://doi.org/10.1016/j.jbusres.2018.08.014</w:t>
      </w:r>
    </w:p>
    <w:p>
      <w:pPr>
        <w:pStyle w:val="BodyText"/>
      </w:pPr>
      <w:r>
        <w:t xml:space="preserve">Tongurai, J., &amp; Vithessonthi, C. (2022). Learning, foreign operations and operating performance.</w:t>
      </w:r>
      <w:r>
        <w:t xml:space="preserve"> </w:t>
      </w:r>
      <w:r>
        <w:rPr>
          <w:iCs/>
          <w:i/>
        </w:rPr>
        <w:t xml:space="preserve">Global Finance Journal, 54</w:t>
      </w:r>
      <w:r>
        <w:t xml:space="preserve">, Article 100721. https://doi.org/10.1016/j.gfj.2022.100721</w:t>
      </w:r>
    </w:p>
    <w:p>
      <w:pPr>
        <w:pStyle w:val="BodyText"/>
      </w:pPr>
      <w:r>
        <w:t xml:space="preserve">Tsionas, M. G., &amp; Tzeremes, N. G. (2021). The degree of internationalization and firm productivity: Empirical evidence from large multinationals.</w:t>
      </w:r>
      <w:r>
        <w:t xml:space="preserve"> </w:t>
      </w:r>
      <w:r>
        <w:rPr>
          <w:iCs/>
          <w:i/>
        </w:rPr>
        <w:t xml:space="preserve">British Journal of Management, 32</w:t>
      </w:r>
      <w:r>
        <w:t xml:space="preserve">(4), 1032-1052. https://doi.org/10.1111/1467-8551.12560</w:t>
      </w:r>
    </w:p>
    <w:p>
      <w:pPr>
        <w:pStyle w:val="BodyText"/>
      </w:pPr>
      <w:r>
        <w:t xml:space="preserve">Vithessonthi, C., &amp; Racela, O. C. (2016). Short- and long-run effects of internationalization and R&amp;D intensity on firm performance.</w:t>
      </w:r>
      <w:r>
        <w:t xml:space="preserve"> </w:t>
      </w:r>
      <w:r>
        <w:rPr>
          <w:iCs/>
          <w:i/>
        </w:rPr>
        <w:t xml:space="preserve">Journal of Multinational Financial Management, 34</w:t>
      </w:r>
      <w:r>
        <w:t xml:space="preserve">, 28-45. https://doi.org/10.1016/j.mulfin.2015.12.001</w:t>
      </w:r>
    </w:p>
    <w:p>
      <w:pPr>
        <w:pStyle w:val="BodyText"/>
      </w:pPr>
      <w:r>
        <w:t xml:space="preserve">Wang, G., Zhang, H., Xia, B., Wu, G., &amp; Han, Y. (2020). Relationship between internationalization and financial performance: Evidence from ENR-listed Chinese firms.</w:t>
      </w:r>
      <w:r>
        <w:t xml:space="preserve"> </w:t>
      </w:r>
      <w:r>
        <w:rPr>
          <w:iCs/>
          <w:i/>
        </w:rPr>
        <w:t xml:space="preserve">Journal of Management in Engineering, 36</w:t>
      </w:r>
      <w:r>
        <w:t xml:space="preserve">(2), Article 04019044. https://doi.org/10.1061/(asce)me.1943-5479.0000736</w:t>
      </w:r>
    </w:p>
    <w:p>
      <w:pPr>
        <w:pStyle w:val="BodyTex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 https://doi.org/10.1155/2021/5528972</w:t>
      </w:r>
    </w:p>
    <w:p>
      <w:pPr>
        <w:pStyle w:val="BodyText"/>
      </w:pPr>
      <w:r>
        <w:t xml:space="preserve">Xiong, Z., Sun, C., &amp; Zhao, M. (2024). Internationalization speed and corporate long-term performance: Exploring the inverted U-shaped relationship.</w:t>
      </w:r>
      <w:r>
        <w:t xml:space="preserve"> </w:t>
      </w:r>
      <w:r>
        <w:rPr>
          <w:iCs/>
          <w:i/>
        </w:rPr>
        <w:t xml:space="preserve">Finance Research Letters</w:t>
      </w:r>
      <w:r>
        <w:t xml:space="preserve">. https://doi.org/10.1016/j.frl.2024.106247</w:t>
      </w:r>
    </w:p>
    <w:p>
      <w:pPr>
        <w:pStyle w:val="BodyText"/>
      </w:pPr>
      <w:r>
        <w:t xml:space="preserve">Yip, G. S., Biscarri, J. G., &amp; Monti, J. A. (2000). The role of the internationalization process in the performance of newly internationalizing firms.</w:t>
      </w:r>
      <w:r>
        <w:t xml:space="preserve"> </w:t>
      </w:r>
      <w:r>
        <w:rPr>
          <w:iCs/>
          <w:i/>
        </w:rPr>
        <w:t xml:space="preserve">Journal of International Marketing, 8</w:t>
      </w:r>
      <w:r>
        <w:t xml:space="preserve">(3), 10-35. https://doi.org/10.1509/jimk.8.3.10.19635</w:t>
      </w:r>
    </w:p>
    <w:p>
      <w:pPr>
        <w:pStyle w:val="BodyText"/>
      </w:pPr>
      <w:r>
        <w:t xml:space="preserve">Zeng, S. X., Xie, X. M., Tam, C. M., &amp; Wan, T. W. (2009). Relationships between business factors and performance in internationalization: An empirical study in China.</w:t>
      </w:r>
      <w:r>
        <w:t xml:space="preserve"> </w:t>
      </w:r>
      <w:r>
        <w:rPr>
          <w:iCs/>
          <w:i/>
        </w:rPr>
        <w:t xml:space="preserve">Management Decision, 47</w:t>
      </w:r>
      <w:r>
        <w:t xml:space="preserve">(2), 308-329. https://doi.org/10.1108/00251740910938939</w:t>
      </w:r>
    </w:p>
    <w:p>
      <w:pPr>
        <w:pStyle w:val="BodyText"/>
      </w:pPr>
      <w:r>
        <w:t xml:space="preserve">Zhou, X. (2018). Effects of foreign direct investment on the efficiency of Chinese firms.</w:t>
      </w:r>
      <w:r>
        <w:t xml:space="preserve"> </w:t>
      </w:r>
      <w:r>
        <w:rPr>
          <w:iCs/>
          <w:i/>
        </w:rPr>
        <w:t xml:space="preserve">Applied Economics, 50</w:t>
      </w:r>
      <w:r>
        <w:t xml:space="preserve">(2), 135-148. https://doi.org/10.1080/00036846.2017.1321839</w:t>
      </w:r>
    </w:p>
    <w:p>
      <w:pPr>
        <w:pStyle w:val="BodyText"/>
      </w:pPr>
      <w:r>
        <w:t xml:space="preserve">Cantele, S., Vernizzi, S., &amp; Zardini, A. (2016). Does export affect the performance of Italian SMEs? An empirical analysis.</w:t>
      </w:r>
      <w:r>
        <w:t xml:space="preserve"> </w:t>
      </w:r>
      <w:r>
        <w:rPr>
          <w:iCs/>
          <w:i/>
        </w:rPr>
        <w:t xml:space="preserve">Economia e Diritto del Terziario, 28</w:t>
      </w:r>
      <w:r>
        <w:t xml:space="preserve">(1), 5-22.</w:t>
      </w:r>
    </w:p>
    <w:p>
      <w:pPr>
        <w:pStyle w:val="BodyText"/>
      </w:pPr>
      <w:r>
        <w:t xml:space="preserve">Lee, S. M., Lim, S.-B., &amp; Pathak, R. D. (2014). Culture and entrepreneurial orientation: A multi-country study.</w:t>
      </w:r>
      <w:r>
        <w:t xml:space="preserve"> </w:t>
      </w:r>
      <w:r>
        <w:rPr>
          <w:iCs/>
          <w:i/>
        </w:rPr>
        <w:t xml:space="preserve">International Entrepreneurship and Management Journal, 10</w:t>
      </w:r>
      <w:r>
        <w:t xml:space="preserve">(1), 1-15. https://doi.org/10.1007/s11365-011-0218-8</w:t>
      </w:r>
    </w:p>
    <w:bookmarkEnd w:id="193"/>
    <w:bookmarkStart w:id="194" w:name="Xac3469c407a51be8ab1bf290cd8561897ea439c"/>
    <w:p>
      <w:pPr>
        <w:pStyle w:val="Heading2"/>
      </w:pPr>
      <w:r>
        <w:t xml:space="preserve">S. Tổng quan hệ thống 2026 — Bổ sung v2.9 (12/05/2026)</w:t>
      </w:r>
    </w:p>
    <w:p>
      <w:pPr>
        <w:pStyle w:val="BlockText"/>
      </w:pPr>
      <w:r>
        <w:t xml:space="preserve">Tài liệu bổ sung được xác định qua tổng quan hệ thống WoS/Scopus mở rộng đến tháng 1/2026. Chỉ gồm các entries CHƯA có trong các phần trên. Nghiên cứu sơ cấp ứng viên (có r): xem</w:t>
      </w:r>
      <w:r>
        <w:t xml:space="preserve"> </w:t>
      </w:r>
      <w:r>
        <w:rPr>
          <w:rStyle w:val="VerbatimChar"/>
        </w:rPr>
        <w:t xml:space="preserve">p6/p6_primary_studies_apa7.md</w:t>
      </w:r>
      <w:r>
        <w:t xml:space="preserve"> </w:t>
      </w:r>
      <w:r>
        <w:t xml:space="preserve">Phần 2.</w:t>
      </w:r>
    </w:p>
    <w:p>
      <w:pPr>
        <w:pStyle w:val="FirstParagraph"/>
      </w:pPr>
      <w:r>
        <w:t xml:space="preserve">Falahat, M., Ramayah, T., Soto-Acosta, P., &amp; Lee, Y.-Y. (2020). SMEs internationalization: The role of product innovation, market intelligence, pricing and marketing communication capabilities as drivers of SMEs’ international performance.</w:t>
      </w:r>
      <w:r>
        <w:t xml:space="preserve"> </w:t>
      </w:r>
      <w:r>
        <w:rPr>
          <w:iCs/>
          <w:i/>
        </w:rPr>
        <w:t xml:space="preserve">Technological Forecasting and Social Change, 152</w:t>
      </w:r>
      <w:r>
        <w:t xml:space="preserve">, Article 119908. https://doi.org/10.1016/j.techfore.2020.119908</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https://doi.org/10.1002/gsj.1383</w:t>
      </w:r>
    </w:p>
    <w:p>
      <w:pPr>
        <w:pStyle w:val="BodyText"/>
      </w:pP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p>
    <w:bookmarkEnd w:id="194"/>
    <w:bookmarkStart w:id="195" w:name="X15e01107f5fc0341333f11988493a9502b35627"/>
    <w:p>
      <w:pPr>
        <w:pStyle w:val="Heading2"/>
      </w:pPr>
      <w:r>
        <w:t xml:space="preserve">U. P6 Meta-Analysis + Supplementary References v3.0 (17/05/2026)</w:t>
      </w:r>
    </w:p>
    <w:p>
      <w:pPr>
        <w:pStyle w:val="BlockText"/>
      </w:pPr>
      <w:r>
        <w:t xml:space="preserve">Các entries dưới đây được xác định qua APA7 audit toàn diện cho P6 manuscript, CD1, và CD2. Chỉ gồm entries CHƯA có dạng formatted đầy đủ trong các phần trên.</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 https://doi.org/10.1177/0149206310370708</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Cameron, A. C., &amp; Miller, D. L. (2015). A practitioner’s guide to cluster-robust inference.</w:t>
      </w:r>
      <w:r>
        <w:t xml:space="preserve"> </w:t>
      </w:r>
      <w:r>
        <w:rPr>
          <w:iCs/>
          <w:i/>
        </w:rPr>
        <w:t xml:space="preserve">Journal of Human Resources, 50</w:t>
      </w:r>
      <w:r>
        <w:t xml:space="preserve">(2), 317-372. https://doi.org/10.3368/jhr.50.2.317</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 https://doi.org/10.1111/j.2042-5805.2012.01043.x</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 https://doi.org/10.1257/000282804322970814</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 https://doi.org/10.2307/2097958</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 https://doi.org/10.1007/s11846-022-00588-8</w:t>
      </w:r>
    </w:p>
    <w:p>
      <w:pPr>
        <w:pStyle w:val="BodyText"/>
      </w:pPr>
      <w:r>
        <w:t xml:space="preserve">Landis, J. R., &amp; Koch, G. G. (1977). The measurement of observer agreement for categorical data.</w:t>
      </w:r>
      <w:r>
        <w:t xml:space="preserve"> </w:t>
      </w:r>
      <w:r>
        <w:rPr>
          <w:iCs/>
          <w:i/>
        </w:rPr>
        <w:t xml:space="preserve">Biometrics, 33</w:t>
      </w:r>
      <w:r>
        <w:t xml:space="preserve">(1), 159-174. https://doi.org/10.2307/2529310</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 https://doi.org/10.1037/0021-9010.90.1.175</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Sachs, J. D., &amp; Warner, A. M. (2001). The curse of natural resources.</w:t>
      </w:r>
      <w:r>
        <w:t xml:space="preserve"> </w:t>
      </w:r>
      <w:r>
        <w:rPr>
          <w:iCs/>
          <w:i/>
        </w:rPr>
        <w:t xml:space="preserve">European Economic Review, 45</w:t>
      </w:r>
      <w:r>
        <w:t xml:space="preserve">(4-6), 827-838. https://doi.org/10.1016/S0014-2921(01)00125-8</w:t>
      </w:r>
    </w:p>
    <w:p>
      <w:pPr>
        <w:pStyle w:val="BodyText"/>
      </w:pPr>
      <w:r>
        <w:t xml:space="preserve">Sahay, R., von Allmen, U. E., Lahreche, A., Khera, P., Ogawa, S., Bazarbash, M., &amp; Beaton, K. (2020).</w:t>
      </w:r>
      <w:r>
        <w:t xml:space="preserve"> </w:t>
      </w:r>
      <w:r>
        <w:rPr>
          <w:iCs/>
          <w:i/>
        </w:rPr>
        <w:t xml:space="preserve">The promise of fintech: Financial inclusion in the post COVID-19 era</w:t>
      </w:r>
      <w:r>
        <w:t xml:space="preserve"> </w:t>
      </w:r>
      <w:r>
        <w:t xml:space="preserve">(IMF Departmental Paper No. DP/2020/09). International Monetary Fund.</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 https://doi.org/10.1002/jrsm.1095</w:t>
      </w:r>
    </w:p>
    <w:p>
      <w:pPr>
        <w:pStyle w:val="BodyText"/>
      </w:pPr>
      <w:r>
        <w:t xml:space="preserve">Sutton, A. J., &amp; Higgins, J. P. T. (2008). Recent developments in meta-analysis.</w:t>
      </w:r>
      <w:r>
        <w:t xml:space="preserve"> </w:t>
      </w:r>
      <w:r>
        <w:rPr>
          <w:iCs/>
          <w:i/>
        </w:rPr>
        <w:t xml:space="preserve">Statistics in Medicine, 27</w:t>
      </w:r>
      <w:r>
        <w:t xml:space="preserve">(5), 625-650. https://doi.org/10.1002/sim.2982</w:t>
      </w:r>
    </w:p>
    <w:p>
      <w:pPr>
        <w:pStyle w:val="BodyText"/>
      </w:pPr>
      <w:r>
        <w:t xml:space="preserve">Viechtbauer, W. (2010). Conducting meta-analyses in R with the metafor package.</w:t>
      </w:r>
      <w:r>
        <w:t xml:space="preserve"> </w:t>
      </w:r>
      <w:r>
        <w:rPr>
          <w:iCs/>
          <w:i/>
        </w:rPr>
        <w:t xml:space="preserve">Journal of Statistical Software, 36</w:t>
      </w:r>
      <w:r>
        <w:t xml:space="preserve">(3), 1-48. https://doi.org/10.18637/jss.v036.i03</w:t>
      </w:r>
    </w:p>
    <w:p>
      <w:pPr>
        <w:pStyle w:val="BodyText"/>
      </w:pPr>
      <w:r>
        <w:t xml:space="preserve">Williamson, O. E. (1985).</w:t>
      </w:r>
      <w:r>
        <w:t xml:space="preserve"> </w:t>
      </w:r>
      <w:r>
        <w:rPr>
          <w:iCs/>
          <w:i/>
        </w:rPr>
        <w:t xml:space="preserve">The economic institutions of capitalism</w:t>
      </w:r>
      <w:r>
        <w:t xml:space="preserve">. Free Press.</w:t>
      </w:r>
    </w:p>
    <w:p>
      <w:r>
        <w:pict>
          <v:rect style="width:0;height:1.5pt" o:hralign="center" o:hrstd="t" o:hr="t"/>
        </w:pict>
      </w:r>
    </w:p>
    <w:bookmarkEnd w:id="195"/>
    <w:bookmarkStart w:id="199" w:name="X5cd8a8b98c5930790a226592bde9793b6e0e242"/>
    <w:p>
      <w:pPr>
        <w:pStyle w:val="Heading2"/>
      </w:pPr>
      <w:r>
        <w:t xml:space="preserve">V. Citation Audit v3.1 (20/05/2026) — Entries chưa có trong refs</w:t>
      </w:r>
    </w:p>
    <w:p>
      <w:pPr>
        <w:pStyle w:val="BlockText"/>
      </w:pPr>
      <w:r>
        <w:t xml:space="preserve">Các entries dưới đây được thêm từ audit format-apa7 toàn bộ 5 chương luận án (20/05/2026). Gồm: 3 self-citations mới (P6 IBR, P7 JIBS, P8 World Dev), 8 entries từ</w:t>
      </w:r>
      <w:r>
        <w:t xml:space="preserve"> </w:t>
      </w:r>
      <w:r>
        <w:t xml:space="preserve">“</w:t>
      </w:r>
      <w:r>
        <w:t xml:space="preserve">Giữ nguyên</w:t>
      </w:r>
      <w:r>
        <w:t xml:space="preserve">”</w:t>
      </w:r>
      <w:r>
        <w:t xml:space="preserve"> </w:t>
      </w:r>
      <w:r>
        <w:t xml:space="preserve">blocks chưa được expand, và 2 auxiliary entries.</w:t>
      </w:r>
    </w:p>
    <w:bookmarkStart w:id="196" w:name="X041759103c7c799db9799d6bd71834307a428c8"/>
    <w:p>
      <w:pPr>
        <w:pStyle w:val="Heading3"/>
      </w:pPr>
      <w:r>
        <w:t xml:space="preserve">Công trình của tác giả luận án — Cập nhật Section M</w:t>
      </w:r>
    </w:p>
    <w:p>
      <w:pPr>
        <w:pStyle w:val="FirstParagraph"/>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Do, T. H., &amp; Phan, A. T. (2026a). Firm performance heterogeneity in emerging Asia: Evidence from World Bank Enterprise Surveys.</w:t>
      </w:r>
      <w:r>
        <w:t xml:space="preserve"> </w:t>
      </w:r>
      <w:r>
        <w:rPr>
          <w:iCs/>
          <w:i/>
        </w:rPr>
        <w:t xml:space="preserve">Vietnam Economic &amp; Financial Review</w:t>
      </w:r>
      <w:r>
        <w:t xml:space="preserve">,</w:t>
      </w:r>
      <w:r>
        <w:t xml:space="preserve"> </w:t>
      </w:r>
      <w:r>
        <w:rPr>
          <w:iCs/>
          <w:i/>
        </w:rPr>
        <w:t xml:space="preserve">2</w:t>
      </w:r>
      <w:r>
        <w:t xml:space="preserve">(1), 111-115.</w:t>
      </w:r>
    </w:p>
    <w:p>
      <w:pPr>
        <w:pStyle w:val="BodyText"/>
      </w:pPr>
      <w:r>
        <w:t xml:space="preserve">Do, T. H., &amp; Phan, A. T. (2026b). Unveiling the impact of Chinese manufacturing SMEs’ internationalization on performance.</w:t>
      </w:r>
      <w:r>
        <w:t xml:space="preserve"> </w:t>
      </w:r>
      <w:r>
        <w:rPr>
          <w:iCs/>
          <w:i/>
        </w:rPr>
        <w:t xml:space="preserve">Journal of Finance &amp; Accounting Research</w:t>
      </w:r>
      <w:r>
        <w:t xml:space="preserve">,</w:t>
      </w:r>
      <w:r>
        <w:t xml:space="preserve"> </w:t>
      </w:r>
      <w:r>
        <w:rPr>
          <w:iCs/>
          <w:i/>
        </w:rPr>
        <w:t xml:space="preserve">39</w:t>
      </w:r>
      <w:r>
        <w:t xml:space="preserve">(2), 287-291.</w:t>
      </w:r>
    </w:p>
    <w:bookmarkEnd w:id="196"/>
    <w:bookmarkStart w:id="197" w:name="X03425170776bdc22411e9d4a6a3935a0796568a"/>
    <w:p>
      <w:pPr>
        <w:pStyle w:val="Heading3"/>
      </w:pPr>
      <w:r>
        <w:t xml:space="preserve">Phương pháp kinh tế lượng + Meta-analysis (Section J mở rộng)</w:t>
      </w:r>
    </w:p>
    <w:p>
      <w:pPr>
        <w:pStyle w:val="FirstParagraph"/>
      </w:pPr>
      <w:r>
        <w:t xml:space="preserve">Arte, L., &amp; Larimo, J. (2022). Moderating influence of psychic distance on the international diversification-performance relationship: Insights from a meta-analysis.</w:t>
      </w:r>
      <w:r>
        <w:t xml:space="preserve"> </w:t>
      </w:r>
      <w:r>
        <w:rPr>
          <w:iCs/>
          <w:i/>
        </w:rPr>
        <w:t xml:space="preserve">Journal of Business Research, 139</w:t>
      </w:r>
      <w:r>
        <w:t xml:space="preserve">, 230-245. https://doi.org/10.1016/j.jbusres.2021.09.060</w:t>
      </w:r>
    </w:p>
    <w:p>
      <w:pPr>
        <w:pStyle w:val="BodyText"/>
      </w:pPr>
      <w:r>
        <w:t xml:space="preserve">Aterido, R., Hallward-Driemeier, M., &amp; Pagés, C. (2011). Big constraints to small firms’ growth? Business environment and employment growth across firms.</w:t>
      </w:r>
      <w:r>
        <w:t xml:space="preserve"> </w:t>
      </w:r>
      <w:r>
        <w:rPr>
          <w:iCs/>
          <w:i/>
        </w:rPr>
        <w:t xml:space="preserve">Economic Development and Cultural Change, 59</w:t>
      </w:r>
      <w:r>
        <w:t xml:space="preserve">(3), 609-647. https://doi.org/10.1086/658349</w:t>
      </w:r>
    </w:p>
    <w:p>
      <w:pPr>
        <w:pStyle w:val="BodyText"/>
      </w:pPr>
      <w:r>
        <w:t xml:space="preserve">Borenstein, M., Hedges, L. V., Higgins, J. P. T., &amp; Rothstein, H. R. (2009).</w:t>
      </w:r>
      <w:r>
        <w:t xml:space="preserve"> </w:t>
      </w:r>
      <w:r>
        <w:rPr>
          <w:iCs/>
          <w:i/>
        </w:rPr>
        <w:t xml:space="preserve">Introduction to meta-analysis</w:t>
      </w:r>
      <w:r>
        <w:t xml:space="preserve">. Wiley. https://doi.org/10.1002/9780470743386</w:t>
      </w:r>
      <w:r>
        <w:t xml:space="preserve"> </w:t>
      </w:r>
      <w:r>
        <w:rPr>
          <w:iCs/>
          <w:i/>
        </w:rPr>
        <w:t xml:space="preserve">(Lần xuất bản đầu — khác với Borenstein et al. 2021 [2nd ed.].)</w:t>
      </w:r>
    </w:p>
    <w:p>
      <w:pPr>
        <w:pStyle w:val="BodyText"/>
      </w:pPr>
      <w:r>
        <w:t xml:space="preserve">Breusch, T. S., &amp; Pagan, A. R. (1979). A simple test for heteroscedasticity and random coefficient variation.</w:t>
      </w:r>
      <w:r>
        <w:t xml:space="preserve"> </w:t>
      </w:r>
      <w:r>
        <w:rPr>
          <w:iCs/>
          <w:i/>
        </w:rPr>
        <w:t xml:space="preserve">Econometrica, 47</w:t>
      </w:r>
      <w:r>
        <w:t xml:space="preserve">(5), 1287-1294. https://doi.org/10.2307/1911963</w:t>
      </w:r>
    </w:p>
    <w:p>
      <w:pPr>
        <w:pStyle w:val="BodyText"/>
      </w:pPr>
      <w:r>
        <w:t xml:space="preserve">Hair, J. F., Black, W. C., Babin, B. J., &amp; Anderson, R. E. (2019).</w:t>
      </w:r>
      <w:r>
        <w:t xml:space="preserve"> </w:t>
      </w:r>
      <w:r>
        <w:rPr>
          <w:iCs/>
          <w:i/>
        </w:rPr>
        <w:t xml:space="preserve">Multivariate data analysis</w:t>
      </w:r>
      <w:r>
        <w:t xml:space="preserve"> </w:t>
      </w:r>
      <w:r>
        <w:t xml:space="preserve">(8th ed.). Cengage.</w:t>
      </w:r>
    </w:p>
    <w:p>
      <w:pPr>
        <w:pStyle w:val="BodyText"/>
      </w:pPr>
      <w:r>
        <w:t xml:space="preserve">Higgins, J. P. T., Thompson, S. G., Deeks, J. J., &amp; Altman, D. G. (2003). Measuring inconsistency in meta-analyses.</w:t>
      </w:r>
      <w:r>
        <w:t xml:space="preserve"> </w:t>
      </w:r>
      <w:r>
        <w:rPr>
          <w:iCs/>
          <w:i/>
        </w:rPr>
        <w:t xml:space="preserve">BMJ, 327</w:t>
      </w:r>
      <w:r>
        <w:t xml:space="preserve">(7414), 557-560. https://doi.org/10.1136/bmj.327.7414.557</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 https://doi.org/10.1017/S1876404511200046</w:t>
      </w:r>
    </w:p>
    <w:bookmarkEnd w:id="197"/>
    <w:bookmarkStart w:id="198" w:name="lý-thuyết-bổ-sung-section-ac-mở-rộng"/>
    <w:p>
      <w:pPr>
        <w:pStyle w:val="Heading3"/>
      </w:pPr>
      <w:r>
        <w:t xml:space="preserve">Lý thuyết — bổ sung (Section A/C mở rộng)</w:t>
      </w:r>
    </w:p>
    <w:p>
      <w:pPr>
        <w:pStyle w:val="FirstParagraph"/>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bookmarkEnd w:id="198"/>
    <w:bookmarkEnd w:id="199"/>
    <w:bookmarkEnd w:id="20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2026-05-27T01:27:45Z</dcterms:created>
  <dcterms:modified xsi:type="dcterms:W3CDTF">2026-05-27T01:27:45Z</dcterms:modified>
</cp:coreProperties>
</file>

<file path=docProps/custom.xml><?xml version="1.0" encoding="utf-8"?>
<Properties xmlns="http://schemas.openxmlformats.org/officeDocument/2006/custom-properties" xmlns:vt="http://schemas.openxmlformats.org/officeDocument/2006/docPropsVTypes"/>
</file>