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A parallel stream of work emphasises institutional context (Kirca et al., 2012), dynamic capabilities (Teece, 2007), and digital transformation (Nambisan, Wright and Feldman, 2019; Vial, 2019) as moderating conditions. Most studies, however, draw on multi-country samples, use aggregate export-to-sales ratios as the internationalisation measure, and capture performance at a single cross-section (Shaver, 2020). Two questions remain underexplored: whether the inverted-U shape is itself temporally stable within a given institutional context, and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that bracket a decade of structural change: 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This study contributes to the I–P literature in three ways. It provides the first within-country, two-wave test of threshold stability for China using WBES data, and it operationalises technological capability through a validated composite index (TCI_full) rather than single-item proxies. The null moderation finding then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TCI_full-to-lnLP relationship via a sequential mediation path (TCI_full to DAI_core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 including BRI reorientation, trade friction, and the COVID-19 shock, and it challenges the environmental-determinism reading of I–P curvature (H2a). The result is consistent with the meta-analytic evidence of Bausch and Krist (2007) and the institutional-moderator synthesis of Marano et al. (2016), which together suggest that inverted-U curvature is a robust cross-context regularity rather than a sample-specific artifact.</w:t>
      </w:r>
    </w:p>
    <w:p>
      <w:pPr>
        <w:pStyle w:val="BodyText"/>
      </w:pPr>
      <w:r>
        <w:t xml:space="preserve">For Chinese private firms, the threshold around 48 % export intensity operates as a</w:t>
      </w:r>
      <w:r>
        <w:t xml:space="preserve"> </w:t>
      </w:r>
      <w:r>
        <w:rPr>
          <w:iCs/>
          <w:i/>
        </w:rPr>
        <w:t xml:space="preserve">survival constant</w:t>
      </w:r>
      <w:r>
        <w:t xml:space="preserve">, reflecting a structural tension between learning-by-exporting gains (active below threshold) and coordination cost escalation (active above threshold) that is not mediated by a decade of policy and macroeconomic change. The mechanism underlying this durability is</w:t>
      </w:r>
      <w:r>
        <w:t xml:space="preserve"> </w:t>
      </w:r>
      <w:r>
        <w:rPr>
          <w:iCs/>
          <w:i/>
        </w:rPr>
        <w:t xml:space="preserve">structural over-embeddedness</w:t>
      </w:r>
      <w:r>
        <w:t xml:space="preserve"> </w:t>
      </w:r>
      <w:r>
        <w:t xml:space="preserve">combined with</w:t>
      </w:r>
      <w:r>
        <w:t xml:space="preserve"> </w:t>
      </w:r>
      <w:r>
        <w:rPr>
          <w:iCs/>
          <w:i/>
        </w:rPr>
        <w:t xml:space="preserve">working-capital constraints</w:t>
      </w:r>
      <w:r>
        <w:t xml:space="preserve">: beyond the threshold, firms become over-dependent on international customers and value chains and face severe working-capital pressure from cross-border payment terms (extended receivables, international logistics costs, currency risk, Manova, 2013), so productivity erodes regardless of the macro environment.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(F2 = 3.26, p = .039, which does not survive Bonferroni correction at α* = .017, and is consistent with H4b) has a precise interpretation. TCI_full raises the productivity intercept in both waves (β_z = +0.28 in 2012, +0.43 in 2024) but does not shift the turning-point location or change the curvature. This pattern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to DAI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Labour productivity (log sales/employees) further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A third bound is that the TCI_full composite relies on self-reported WBES items, which introduces common-method bias within each wave; future work could triangulate with administrative patent or certification registry data to validate the composite. The single-item DAI_core binary proxy, finally,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Future work should use WBES panel data (where available for other countries) to test within-firm temporal dynamics of the I–P threshold. The level-shift strengthening of TCI_full between waves also invites investigation of the mechanisms by which technological capability became more productivity-enhancing between 2012 and 2024, while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asked whether the inverted-U I–P relationship in Chinese private firms is structurally durable or wave-specific, and whether technological capability moderates the curvature. Using WBES microdata for China (2012 and 2024), we find that the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2026-05-27T01:26:44Z</dcterms:created>
  <dcterms:modified xsi:type="dcterms:W3CDTF">2026-05-27T01:26:44Z</dcterms:modified>
</cp:coreProperties>
</file>

<file path=docProps/custom.xml><?xml version="1.0" encoding="utf-8"?>
<Properties xmlns="http://schemas.openxmlformats.org/officeDocument/2006/custom-properties" xmlns:vt="http://schemas.openxmlformats.org/officeDocument/2006/docPropsVTypes"/>
</file>