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shape is</w:t>
      </w:r>
      <w:r>
        <w:t xml:space="preserve"> </w:t>
      </w:r>
      <w:r>
        <w:rPr>
          <w:iCs/>
          <w:i/>
        </w:rPr>
        <w:t xml:space="preserve">jointly conditioned</w:t>
      </w:r>
      <w:r>
        <w:t xml:space="preserve"> </w:t>
      </w:r>
      <w:r>
        <w:t xml:space="preserve">by the institutional regime in which a firm operates and by the firm’s digital capability, with the institutional regime governing the curve’s amplitude and digital capability reshaping it, the latter operating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compressing ascending-limb returns at low FSTS and attenuating performance decline at high FSTS (FSTS×DAI p &lt; .01; FSTS²×DAI p &lt; .01 in M8–M9),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ranging from 34.1% to 39.5%,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higher TCI raises baseline performance</w:t>
      </w:r>
    </w:p>
    <w:p>
      <w:pPr>
        <w:numPr>
          <w:ilvl w:val="0"/>
          <w:numId w:val="1001"/>
        </w:numPr>
        <w:pStyle w:val="Compact"/>
      </w:pPr>
      <w:r>
        <w:t xml:space="preserve">FSTS×TCI: β = −0.090 (NS),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negative FSTS×DAI and positive FSTS²×DAI,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controlling for TCI, DAI, and firm characteristics,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 DAI×ICRV interaction (β =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3"/>
    <w:bookmarkStart w:id="5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2026-05-27T01:27:07Z</dcterms:created>
  <dcterms:modified xsi:type="dcterms:W3CDTF">2026-05-27T01:27:07Z</dcterms:modified>
</cp:coreProperties>
</file>

<file path=docProps/custom.xml><?xml version="1.0" encoding="utf-8"?>
<Properties xmlns="http://schemas.openxmlformats.org/officeDocument/2006/custom-properties" xmlns:vt="http://schemas.openxmlformats.org/officeDocument/2006/docPropsVTypes"/>
</file>