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I²=62.4% (L2 within=54.1%, L3 between=8.4%). ICRV Q_M(4)=17.35 (p=.002) omnibus có ý nghĩa (gradient E1a/E1b không đơn điệu);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International Business Review</w:t>
      </w:r>
      <w:r>
        <w:t xml:space="preserve"> </w:t>
      </w:r>
      <w:r>
        <w:t xml:space="preserve">hoặc</w:t>
      </w:r>
      <w:r>
        <w:t xml:space="preserve"> </w:t>
      </w:r>
      <w:r>
        <w:rPr>
          <w:iCs/>
          <w:i/>
        </w:rPr>
        <w:t xml:space="preserve">Journal of World Business</w:t>
      </w:r>
      <w:r>
        <w:t xml:space="preserve"> </w:t>
      </w:r>
      <w:r>
        <w:t xml:space="preserve">(sau khi hoàn thành WoS/Scopus formal search + phân tích</w:t>
      </w:r>
      <w:r>
        <w:t xml:space="preserve"> </w:t>
      </w:r>
      <w:r>
        <w:rPr>
          <w:rStyle w:val="VerbatimChar"/>
        </w:rPr>
        <w:t xml:space="preserve">metafor</w:t>
      </w:r>
      <w:r>
        <w:t xml:space="preserve">).</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trong châu Á và Pacific;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độ tin cậy liên coder Cohen’s</w:t>
      </w:r>
      <w:r>
        <w:t xml:space="preserve"> </w:t>
      </w:r>
      <m:oMath>
        <m:r>
          <m:t>κ</m:t>
        </m:r>
        <m:r>
          <m:rPr>
            <m:sty m:val="p"/>
          </m:rPr>
          <m:t>≥</m:t>
        </m:r>
        <m:r>
          <m:t>0.70</m:t>
        </m:r>
      </m:oMath>
      <w:r>
        <w:t xml:space="preserve"> </w:t>
      </w:r>
      <w:r>
        <w:t xml:space="preserve">trên 20% mẫu double-coded.</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62.4</m:t>
        </m:r>
        <m:r>
          <m:rPr>
            <m:sty m:val="p"/>
          </m:rPr>
          <m:t>%</m:t>
        </m:r>
      </m:oMath>
      <w:r>
        <w:t xml:space="preserve">) chủ yếu nằm ở trong-nghiên-cứu L2 (54.1%) hơn là giữa-nghiên-cứu L3 (8.4%),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(các regime khác biệt), nhưng không có gradient đơn điệu E1a/E1b do</w:t>
      </w:r>
      <w:r>
        <w:t xml:space="preserve"> </w:t>
      </w:r>
      <m:oMath>
        <m:sSub>
          <m:e>
            <m:r>
              <m:t>Q</m:t>
            </m:r>
          </m:e>
          <m:sub>
            <m:r>
              <m:t>M</m:t>
            </m:r>
          </m:sub>
        </m:sSub>
      </m:oMath>
      <w:r>
        <w:t xml:space="preserve"> </w:t>
      </w:r>
      <w:r>
        <w:t xml:space="preserve">bị chi phối bởi ô Frontier nhỏ (k=3).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châu Á + Pacific,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 trong khu vực châu Á và Pacific</w:t>
      </w:r>
      <w:r>
        <w:t xml:space="preserve"> </w:t>
      </w:r>
      <w:r>
        <w:t xml:space="preserve">chưa được mã hóa một cách hệ thống. Marano et al. (2016) phân tách home country institutions thành sáu nhóm tổng quát toàn cầu, nhưng chưa có meta nào áp dụng phân loại ICRV 6-regime (Institutional Context Regime Variation) cho riêng châu Á và Pacific — khu vực có phổ thể chế rộng nhất thế giới,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60c7c592f499a3ec865d8ca638b499335c825b2"/>
    <w:p>
      <w:pPr>
        <w:pStyle w:val="Heading3"/>
      </w:pPr>
      <w:r>
        <w:t xml:space="preserve">1.4 Gap 2: ICRV 6-regime chưa áp dụng cho châu Á + Pacific</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khu vực châu Á và Pacific — nơi sự dị biệt thể chế lớn nhất. Doanh nghiệp từ Singapore (Regime I) vận hành theo logic hoàn toàn khác doanh nghiệp từ Afghanistan (Frontier) dù cùng khu vực địa lý.</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 (3) Inter-coder reliability với Cohen’s</w:t>
      </w:r>
      <w:r>
        <w:t xml:space="preserve"> </w:t>
      </w:r>
      <m:oMath>
        <m:r>
          <m:t>κ</m:t>
        </m:r>
        <m:r>
          <m:rPr>
            <m:sty m:val="p"/>
          </m:rPr>
          <m:t>≥</m:t>
        </m:r>
        <m:r>
          <m:t>0.7</m:t>
        </m:r>
      </m:oMath>
      <w:r>
        <w:t xml:space="preserve"> </w:t>
      </w:r>
      <w:r>
        <w:t xml:space="preserve">trên 20% double-coded subset.</w:t>
      </w:r>
    </w:p>
    <w:p>
      <w:pPr>
        <w:pStyle w:val="BodyText"/>
      </w:pPr>
      <w:r>
        <w:rPr>
          <w:bCs/>
          <w:b/>
        </w:rPr>
        <w:t xml:space="preserve">Theoretical</w:t>
      </w:r>
      <w:r>
        <w:t xml:space="preserve">: (4) Kiểm định ICRV 6-regime đầu tiên cho khu vực châu Á + Pacific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lớn nhất từ trước đến nay trong literature I→P cho khu vực châu Á và Pacific; (8) Subgroup analysis theo khung ICRV 6-regime — với 5 ô có dữ liệu (ô SIDS/Nhóm VI không có nghiên cứu đạt chuẩn) — khu vực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đặc thù cho châu Á và Pacific.</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được thiết kế đặc thù cho châu Á + Pacific,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Inter-coder reliability</w:t>
      </w:r>
      <w:r>
        <w:t xml:space="preserve">: Double-code 20% sample (≈26 studies) với coder thứ hai (RA hoặc peer). Tính Cohen’s</w:t>
      </w:r>
      <w:r>
        <w:t xml:space="preserve"> </w:t>
      </w:r>
      <m:oMath>
        <m:r>
          <m:t>κ</m:t>
        </m:r>
      </m:oMath>
      <w:r>
        <w:t xml:space="preserve"> </w:t>
      </w:r>
      <w:r>
        <w:t xml:space="preserve">riêng cho ICRV, cDAI, DPL. Target</w:t>
      </w:r>
      <w:r>
        <w:t xml:space="preserve"> </w:t>
      </w:r>
      <m:oMath>
        <m:r>
          <m:t>κ</m:t>
        </m:r>
        <m:r>
          <m:rPr>
            <m:sty m:val="p"/>
          </m:rPr>
          <m:t>≥</m:t>
        </m:r>
        <m:r>
          <m:t>0.70</m:t>
        </m:r>
      </m:oMath>
      <w:r>
        <w:t xml:space="preserve">. Resolve disagreements qua discussion; document trong Appendix C.</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inter-coder-reliability"/>
    <w:p>
      <w:pPr>
        <w:pStyle w:val="Heading3"/>
      </w:pPr>
      <w:r>
        <w:t xml:space="preserve">3.7 Inter-coder reliability</w:t>
      </w:r>
    </w:p>
    <w:p>
      <w:pPr>
        <w:pStyle w:val="FirstParagraph"/>
      </w:pPr>
      <w:r>
        <w:rPr>
          <w:bCs/>
          <w:b/>
        </w:rPr>
        <w:t xml:space="preserve">Protocol</w:t>
      </w:r>
      <w:r>
        <w:t xml:space="preserve">: Coder 1 (NCS) code tất cả 234 studies. Coder 2 (RA hoặc peer) double-code ngẫu nhiên 47 studies (20%). Tính Cohen’s</w:t>
      </w:r>
      <w:r>
        <w:t xml:space="preserve"> </w:t>
      </w:r>
      <m:oMath>
        <m:r>
          <m:t>κ</m:t>
        </m:r>
      </m:oMath>
      <w:r>
        <w:t xml:space="preserve"> </w:t>
      </w:r>
      <w:r>
        <w:t xml:space="preserve">riêng cho: (a) ICRV regime (5 nhóm), (b) cDAI quartile (3 nhóm), (c) DPL phase (3 nhóm).</w:t>
      </w:r>
    </w:p>
    <w:p>
      <w:pPr>
        <w:pStyle w:val="BodyText"/>
      </w:pPr>
      <w:r>
        <w:rPr>
          <w:bCs/>
          <w:b/>
        </w:rPr>
        <w:t xml:space="preserve">Target</w:t>
      </w:r>
      <w:r>
        <w:t xml:space="preserve">:</w:t>
      </w:r>
      <w:r>
        <w:t xml:space="preserve"> </w:t>
      </w:r>
      <m:oMath>
        <m:r>
          <m:t>κ</m:t>
        </m:r>
        <m:r>
          <m:rPr>
            <m:sty m:val="p"/>
          </m:rPr>
          <m:t>≥</m:t>
        </m:r>
        <m:r>
          <m:t>0.70</m:t>
        </m:r>
      </m:oMath>
      <w:r>
        <w:t xml:space="preserve"> </w:t>
      </w:r>
      <w:r>
        <w:t xml:space="preserve">cho cả ba moderator. Nếu</w:t>
      </w:r>
      <w:r>
        <w:t xml:space="preserve"> </w:t>
      </w:r>
      <m:oMath>
        <m:r>
          <m:t>κ</m:t>
        </m:r>
        <m:r>
          <m:rPr>
            <m:sty m:val="p"/>
          </m:rPr>
          <m:t>&lt;</m:t>
        </m:r>
        <m:r>
          <m:t>0.70</m:t>
        </m:r>
      </m:oMath>
      <w:r>
        <w:t xml:space="preserve">: (i) thảo luận để resolve disagreements, (ii) refine coding protocol, (iii) double-code thêm 20 studies, (iv) re-calculate.</w:t>
      </w:r>
    </w:p>
    <w:p>
      <w:pPr>
        <w:pStyle w:val="BodyText"/>
      </w:pPr>
      <w:r>
        <w:rPr>
          <w:bCs/>
          <w:b/>
        </w:rPr>
        <w:t xml:space="preserve">Ngưỡng diễn giải</w:t>
      </w:r>
      <w:r>
        <w:t xml:space="preserve">:</w:t>
      </w:r>
      <w:r>
        <w:t xml:space="preserve"> </w:t>
      </w:r>
      <m:oMath>
        <m:r>
          <m:t>κ</m:t>
        </m:r>
        <m:r>
          <m:rPr>
            <m:sty m:val="p"/>
          </m:rPr>
          <m:t>=</m:t>
        </m:r>
        <m:r>
          <m:t>0.61</m:t>
        </m:r>
        <m:r>
          <m:rPr>
            <m:sty m:val="p"/>
          </m:rPr>
          <m:t>−</m:t>
        </m:r>
        <m:r>
          <m:t>0.80</m:t>
        </m:r>
      </m:oMath>
      <w:r>
        <w:t xml:space="preserve"> </w:t>
      </w:r>
      <w:r>
        <w:t xml:space="preserve">(substantial),</w:t>
      </w:r>
      <w:r>
        <w:t xml:space="preserve"> </w:t>
      </w:r>
      <m:oMath>
        <m:r>
          <m:t>κ</m:t>
        </m:r>
        <m:r>
          <m:rPr>
            <m:sty m:val="p"/>
          </m:rPr>
          <m:t>&gt;</m:t>
        </m:r>
        <m:r>
          <m:t>0.80</m:t>
        </m:r>
      </m:oMath>
      <w:r>
        <w:t xml:space="preserve"> </w:t>
      </w:r>
      <w:r>
        <w:t xml:space="preserve">(almost perfect) — Landis &amp; Koch (1977).</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62.4</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54.1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8.4</m:t>
        </m:r>
        <m:r>
          <m:rPr>
            <m:sty m:val="p"/>
          </m:rPr>
          <m:t>%</m:t>
        </m:r>
      </m:oMath>
      <w:r>
        <w:t xml:space="preserve"> </w:t>
      </w:r>
      <w:r>
        <w:t xml:space="preserve">(Level 3, between-study).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(xác nhận rằng hiệu ứng I→P khác biệt giữa các regime thể chế), nhưng sự khác biệt KHÔNG hình thành một gradient đơn điệu theo chiều kỳ vọng E1a/E1b — phần lớn</w:t>
      </w:r>
      <w:r>
        <w:t xml:space="preserve"> </w:t>
      </w:r>
      <m:oMath>
        <m:sSub>
          <m:e>
            <m:r>
              <m:t>Q</m:t>
            </m:r>
          </m:e>
          <m:sub>
            <m:r>
              <m:t>M</m:t>
            </m:r>
          </m:sub>
        </m:sSub>
      </m:oMath>
      <w:r>
        <w:t xml:space="preserve"> </w:t>
      </w:r>
      <w:r>
        <w:t xml:space="preserve">do ô Frontier nhỏ, hiệu ứng cao tạo ra:</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Hm2 chỉ</w:t>
      </w:r>
      <w:r>
        <w:t xml:space="preserve"> </w:t>
      </w:r>
      <w:r>
        <w:t xml:space="preserve">“</w:t>
      </w:r>
      <w:r>
        <w:t xml:space="preserve">partially supported</w:t>
      </w:r>
      <w:r>
        <w:t xml:space="preserve">”</w:t>
      </w:r>
      <w:r>
        <w:t xml:space="preserve"> </w:t>
      </w:r>
      <w:r>
        <w:t xml:space="preserve">do FR anomaly.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w:t>
      </w:r>
      <m:oMath>
        <m:sSub>
          <m:e>
            <m:r>
              <m:t>Q</m:t>
            </m:r>
          </m:e>
          <m:sub>
            <m:r>
              <m:t>M</m:t>
            </m:r>
          </m:sub>
        </m:sSub>
        <m:r>
          <m:rPr>
            <m:sty m:val="p"/>
          </m:rPr>
          <m:t>=</m:t>
        </m:r>
        <m:r>
          <m:t>17.35</m:t>
        </m:r>
      </m:oMath>
      <w:r>
        <w:t xml:space="preserve">,</w:t>
      </w:r>
      <w:r>
        <w:t xml:space="preserve"> </w:t>
      </w:r>
      <m:oMath>
        <m:r>
          <m:t>p</m:t>
        </m:r>
        <m:r>
          <m:rPr>
            <m:sty m:val="p"/>
          </m:rPr>
          <m:t>=</m:t>
        </m:r>
        <m:r>
          <m:t>.002</m:t>
        </m:r>
      </m:oMath>
      <w:r>
        <w:t xml:space="preserve">; Hm2 ở khía cạnh</w:t>
      </w:r>
      <w:r>
        <w:t xml:space="preserve"> </w:t>
      </w:r>
      <w:r>
        <w:t xml:space="preserve">“</w:t>
      </w:r>
      <w:r>
        <w:t xml:space="preserve">các regime khác biệt</w:t>
      </w:r>
      <w:r>
        <w:t xml:space="preserve">”</w:t>
      </w:r>
      <w:r>
        <w:t xml:space="preserve"> </w:t>
      </w:r>
      <w:r>
        <w:t xml:space="preserve">được ủng hộ), nhưng KHÔNG hình thành gradient đơn điệu — FR anomaly (k=3) là nguồn chính của</w:t>
      </w:r>
      <w:r>
        <w:t xml:space="preserve"> </w:t>
      </w:r>
      <m:oMath>
        <m:sSub>
          <m:e>
            <m:r>
              <m:t>Q</m:t>
            </m:r>
          </m:e>
          <m:sub>
            <m:r>
              <m:t>M</m:t>
            </m:r>
          </m:sub>
        </m:sSub>
      </m:oMath>
      <w:r>
        <w:t xml:space="preserve">, nên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54.1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8.4</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nhưng không đơn điệu</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thống kê — các regime thể chế khác biệt — nhưng FR anomaly (k=3) là driver chính, nên không có gradient ICRV đơn điệu từ data thực tế;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là yếu tố quan trọng (kiểm định ICRV omnibus có ý nghĩa, p=.002)</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62.4</m:t>
        </m:r>
        <m:r>
          <m:rPr>
            <m:sty m:val="p"/>
          </m:rPr>
          <m:t>%</m:t>
        </m:r>
      </m:oMath>
      <w:r>
        <w:t xml:space="preserve"> </w:t>
      </w:r>
      <w:r>
        <w:t xml:space="preserve">chủ yếu nằm ở within-study variance (Level 2, 54.1%) hơn là between-study (Level 3, 8.4%),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(Q_M=17.35, p=.002) — các regime thể chế khác biệt — nhưng gradient đơn điệu E1a/E1b không được xác nhận do FR anomaly (k=3) chi phối;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không điền số liệu chưa được xác nhận.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2026-05-27T01:25:57Z</dcterms:created>
  <dcterms:modified xsi:type="dcterms:W3CDTF">2026-05-27T01:25:57Z</dcterms:modified>
</cp:coreProperties>
</file>

<file path=docProps/custom.xml><?xml version="1.0" encoding="utf-8"?>
<Properties xmlns="http://schemas.openxmlformats.org/officeDocument/2006/custom-properties" xmlns:vt="http://schemas.openxmlformats.org/officeDocument/2006/docPropsVTypes"/>
</file>