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(phân tích tổng hợp); (ii) bối cảnh thể chế tiên tiến dựa trên đổi mới tại Singapore (Singapore); (iii) bối cảnh thể chế trung bình cao tại Trung Quốc (Trung Quốc); (iv) bối cảnh chuyển đổi bậc thấp đến trung tại Việt Nam (Việt Nam); (v) kiểm định toàn mẫu châu Á đa bối cảnh (phân tích đa quốc gia 45 nền kinh tế); và (vi) trường hợp biên là các nền kinh tế đảo nhỏ đang phát triển ở Thái Bình Dương (SIDS).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9bb57b0609fea0ddde9257310db550f867d6069"/>
    <w:p>
      <w:pPr>
        <w:pStyle w:val="Heading2"/>
      </w:pPr>
      <w:r>
        <w:t xml:space="preserve">4.1 Kết quả tổng hợp định lượng — Meta-analysis ba tầng (phân tích tổng hợp)</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phân tích tổng hợp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b124998e2d79929aa6018013056e405cd1ddcd5"/>
    <w:p>
      <w:pPr>
        <w:pStyle w:val="Heading2"/>
      </w:pPr>
      <w:r>
        <w:t xml:space="preserve">4.2 Kết quả bối cảnh thể chế tiên tiến — Đổi mới: Singapore (Singapore)</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phân tích đa quốc gia (45 nền kinh tế) sau đó xác nhận DAI có hiệu ứng nâng mặt bằng phổ quát (β=+0,172***) cùng cơ chế thay thế số cho thể chế: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6edb9ae80b7d847640f4e694254852942ad5dcb"/>
    <w:p>
      <w:pPr>
        <w:pStyle w:val="Heading2"/>
      </w:pPr>
      <w:r>
        <w:t xml:space="preserve">4.3 Kết quả bối cảnh thể chế trung bình cao: Trung Quốc, 2012–2024 (Trung Quốc)</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phân tích Trung Quốc.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a8b3817fbe17e1bec5f1d1210b343ecd4aad824"/>
    <w:p>
      <w:pPr>
        <w:pStyle w:val="Heading2"/>
      </w:pPr>
      <w:r>
        <w:t xml:space="preserve">4.4 Kết quả bối cảnh chuyển đổi bậc thấp—trung: Việt Nam (Việt Nam)</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Kết quả này không nhất thiết bác bỏ H3 mà có thể phản ánh hạn chế về đo lường: Tier-1 DAI chỉ nắm bắt mức độ chấp nhận số bề mặt (website, thư điện tử, bán hàng trực tuyến) chứ không đo được chiều sâu năng lực số. Với dữ liệu WBES Việt Nam chỉ cung cấp Tier-1, độ phân giải đo lường không đủ để phát hiện hiệu ứng điều tiết tinh tế hơn.</w:t>
      </w:r>
    </w:p>
    <w:p>
      <w:r>
        <w:pict>
          <v:rect style="width:0;height:1.5pt" o:hralign="center" o:hrstd="t" o:hr="t"/>
        </w:pict>
      </w:r>
    </w:p>
    <w:bookmarkEnd w:id="37"/>
    <w:bookmarkEnd w:id="38"/>
    <w:bookmarkStart w:id="42" w:name="X051a113dc725f2c8c1c34c73c5178640a3cd634"/>
    <w:p>
      <w:pPr>
        <w:pStyle w:val="Heading2"/>
      </w:pPr>
      <w:r>
        <w:t xml:space="preserve">4.5 Kết quả kiểm định toàn mẫu đa bối cảnh châu Á (phân tích đa quốc gia 45 nền kinh tế)</w:t>
      </w:r>
    </w:p>
    <w:bookmarkStart w:id="39" w:name="mẫu-và-mô-hình-chính"/>
    <w:p>
      <w:pPr>
        <w:pStyle w:val="Heading3"/>
      </w:pPr>
      <w:r>
        <w:t xml:space="preserve">4.5.1 Mẫu và mô hình chính</w:t>
      </w:r>
    </w:p>
    <w:p>
      <w:pPr>
        <w:pStyle w:val="FirstParagraph"/>
      </w:pPr>
      <w:r>
        <w:t xml:space="preserve">Phân tích phân tích đa quốc gia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36.772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671</m:t>
        </m:r>
      </m:oMath>
      <w:r>
        <w:t xml:space="preserve">), ước lượng điểm uốn tổng thể:</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34,1–39,5%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phân tích đa quốc gia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phân tích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lợi thế năng suất khoảng 19%).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phân tích đa quốc gia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9a320625732781af5e62d3803f9cebc6028ac8f"/>
    <w:p>
      <w:pPr>
        <w:pStyle w:val="Heading2"/>
      </w:pPr>
      <w:r>
        <w:t xml:space="preserve">4.6 Kết quả trường hợp biên SIDS — Các nền kinh tế đảo nhỏ đang phát triển (SIDS)</w:t>
      </w:r>
    </w:p>
    <w:bookmarkStart w:id="43" w:name="đặc-điểm-mẫu-sids"/>
    <w:p>
      <w:pPr>
        <w:pStyle w:val="Heading3"/>
      </w:pPr>
      <w:r>
        <w:t xml:space="preserve">4.6.1 Đặc điểm mẫu SIDS</w:t>
      </w:r>
    </w:p>
    <w:p>
      <w:pPr>
        <w:pStyle w:val="FirstParagraph"/>
      </w:pPr>
      <w:r>
        <w:t xml:space="preserve">Phân tích phân tích SIDS Thái Bình Dương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phân tích đa quốc gia),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đa quốc gia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đa quốc gia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(β=+0,172***) và cả hai curvature interactions có ý nghĩa trong phân tích đa quốc gia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phân tích đa quốc gia (nhà quản trị nữ β=+0,202***);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MARA và gradient ICRV từ phân tích đa quốc gia</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(phân tích đa quốc gia 45 nền kinh tế).</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phân tích Việt Nam, Trung Quốc phân tích Trung Quốc, toàn mẫu đa quốc gia: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(phân tích Việt Nam); trên toàn mẫu đa quốc gia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đa quốc gia, DAI có hiệu ứng nâng mặt bằng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(phân tích Singapore,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(phân tích Việt Nam,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 năng lực số 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(Việt Nam)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phân tích tổng hợp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phân tích tổng hợp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 năng lực số 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6"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hạn-chế-và-hướng-nghiên-cứu-tương-lai"/>
    <w:p>
      <w:pPr>
        <w:pStyle w:val="Heading2"/>
      </w:pPr>
      <w:r>
        <w:t xml:space="preserve">5.5 Hạn chế và hướng nghiên cứu tương lai</w:t>
      </w:r>
    </w:p>
    <w:bookmarkStart w:id="6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(Việt Nam),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7"/>
    <w:bookmarkStart w:id="68"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8"/>
    <w:bookmarkStart w:id="69"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69"/>
    <w:bookmarkStart w:id="70"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0"/>
    <w:bookmarkEnd w:id="71"/>
    <w:bookmarkStart w:id="76" w:name="kết-luận-chương-và-luận-án"/>
    <w:p>
      <w:pPr>
        <w:pStyle w:val="Heading2"/>
      </w:pPr>
      <w:r>
        <w:t xml:space="preserve">5.6 Kết luận chương và luận án</w:t>
      </w:r>
    </w:p>
    <w:bookmarkStart w:id="72"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phân tích Việt Nam</w:t>
      </w:r>
      <w:r>
        <w:t xml:space="preserve">: phân tích Việt Nam (Lower-mid Transition), xác nhận chữ U ngược với TP = 39,3–46,2%, trong đó TCI là yếu tố điều tiết dương có ý nghĩa.</w:t>
      </w:r>
    </w:p>
    <w:p>
      <w:pPr>
        <w:numPr>
          <w:ilvl w:val="0"/>
          <w:numId w:val="1006"/>
        </w:numPr>
      </w:pPr>
      <w:r>
        <w:rPr>
          <w:bCs/>
          <w:b/>
        </w:rPr>
        <w:t xml:space="preserve">phân tích Singapore</w:t>
      </w:r>
      <w:r>
        <w:t xml:space="preserve">: phân tích Singapore (Advanced Innovation), xác nhận inverted-U với TP ≈ 82% (rộng CI), DAI khuếch đại tại mức FSTS cao.</w:t>
      </w:r>
    </w:p>
    <w:p>
      <w:pPr>
        <w:numPr>
          <w:ilvl w:val="0"/>
          <w:numId w:val="1006"/>
        </w:numPr>
      </w:pPr>
      <w:r>
        <w:rPr>
          <w:bCs/>
          <w:b/>
        </w:rPr>
        <w:t xml:space="preserve">phân tích Trung Quốc</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phân tích tổng hợp</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phân tích đa quốc gia</w:t>
      </w:r>
      <w:r>
        <w:t xml:space="preserve">: kiểm định toàn mẫu châu Á và Thái Bình Dương</w:t>
      </w:r>
      <w:r>
        <w:t xml:space="preserve"> </w:t>
      </w:r>
      <m:oMath>
        <m:r>
          <m:t>N</m:t>
        </m:r>
        <m:r>
          <m:rPr>
            <m:sty m:val="p"/>
          </m:rPr>
          <m:t>=</m:t>
        </m:r>
        <m:r>
          <m:t>82.302</m:t>
        </m:r>
      </m:oMath>
      <w:r>
        <w:t xml:space="preserve"> </w:t>
      </w:r>
      <w:r>
        <w:t xml:space="preserve">(M2) /</w:t>
      </w:r>
      <w:r>
        <w:t xml:space="preserve"> </w:t>
      </w:r>
      <m:oMath>
        <m:r>
          <m:t>36.772</m:t>
        </m:r>
      </m:oMath>
      <w:r>
        <w:t xml:space="preserve"> </w:t>
      </w:r>
      <w:r>
        <w:t xml:space="preserve">(M3–M5 với controls), TP = 34,1–39,5%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phân tích SIDS Thái Bình Dương</w:t>
      </w:r>
      <w:r>
        <w:t xml:space="preserve">: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(phân tích tổng hợp) và 82.302 doanh nghiệp tại 45 nền kinh tế châu Á và Thái Bình Dương (phân tích đa quốc gia 45 nền kinh tế)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3"/>
    <w:bookmarkStart w:id="7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4"/>
    <w:bookmarkStart w:id="7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phân tích Việt Nam–phân tích SIDS Thái Bình Dương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2026-05-27T01:27:39Z</dcterms:created>
  <dcterms:modified xsi:type="dcterms:W3CDTF">2026-05-27T01:27:39Z</dcterms:modified>
</cp:coreProperties>
</file>

<file path=docProps/custom.xml><?xml version="1.0" encoding="utf-8"?>
<Properties xmlns="http://schemas.openxmlformats.org/officeDocument/2006/custom-properties" xmlns:vt="http://schemas.openxmlformats.org/officeDocument/2006/docPropsVTypes"/>
</file>