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3-phương-pháp-nghiên-cứu"/>
    <w:p>
      <w:pPr>
        <w:pStyle w:val="Heading1"/>
      </w:pPr>
      <w:r>
        <w:t xml:space="preserve">CHƯƠNG 3: PHƯƠNG PHÁP NGHIÊN CỨU</w:t>
      </w:r>
    </w:p>
    <w:bookmarkEnd w:id="20"/>
    <w:p>
      <w:r>
        <w:pict>
          <v:rect style="width:0;height:1.5pt" o:hralign="center" o:hrstd="t" o:hr="t"/>
        </w:pict>
      </w:r>
    </w:p>
    <w:bookmarkStart w:id="26" w:name="thiết-kế-nghiên-cứu-tổng-thể"/>
    <w:p>
      <w:pPr>
        <w:pStyle w:val="Heading2"/>
      </w:pPr>
      <w:r>
        <w:t xml:space="preserve">3.1 Thiết kế nghiên cứu tổng thể</w:t>
      </w:r>
    </w:p>
    <w:bookmarkStart w:id="21"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đối thoại hai chiều: phân tích tổng hợp cung cấp cơ sở và gợi ý biến điều tiết cần kiểm định, còn thực nghiệm cung cấp bằng chứng bổ sung cho phân tích tổng hợp về bối cảnh châu Á và Pacific.</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hoạt động kinh doanh của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21"/>
    <w:bookmarkStart w:id="25"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23" name="Picture"/>
            <a:graphic>
              <a:graphicData uri="http://schemas.openxmlformats.org/drawingml/2006/picture">
                <pic:pic>
                  <pic:nvPicPr>
                    <pic:cNvPr descr="figures/fig_3_1_research_process.png" id="24" name="Picture"/>
                    <pic:cNvPicPr>
                      <a:picLocks noChangeArrowheads="1" noChangeAspect="1"/>
                    </pic:cNvPicPr>
                  </pic:nvPicPr>
                  <pic:blipFill>
                    <a:blip r:embed="rId22"/>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25"/>
    <w:bookmarkEnd w:id="26"/>
    <w:bookmarkStart w:id="31" w:name="giai-đoạn-1-phân-tích-tổng-hợp-19772026"/>
    <w:p>
      <w:pPr>
        <w:pStyle w:val="Heading2"/>
      </w:pPr>
      <w:r>
        <w:t xml:space="preserve">3.2 Giai đoạn 1: Phân tích tổng hợp 1977–2026</w:t>
      </w:r>
    </w:p>
    <w:bookmarkStart w:id="27"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27"/>
    <w:bookmarkStart w:id="28" w:name="đóng-góp-mớiđiều-chỉnh"/>
    <w:p>
      <w:pPr>
        <w:pStyle w:val="Heading3"/>
      </w:pPr>
      <w:r>
        <w:t xml:space="preserve">3.2.2 Đóng góp mới/điều chỉnh</w:t>
      </w:r>
    </w:p>
    <w:p>
      <w:pPr>
        <w:numPr>
          <w:ilvl w:val="0"/>
          <w:numId w:val="1001"/>
        </w:numPr>
        <w:pStyle w:val="Compact"/>
      </w:pPr>
      <w:r>
        <w:rPr>
          <w:bCs/>
          <w:b/>
        </w:rPr>
        <w:t xml:space="preserve">Mở rộng coverage time</w:t>
      </w:r>
      <w:r>
        <w:t xml:space="preserve">: từ 1977–2022 (bài ICBEF 2024)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1"/>
        </w:numPr>
        <w:pStyle w:val="Compact"/>
      </w:pPr>
      <w:r>
        <w:rPr>
          <w:bCs/>
          <w:b/>
        </w:rPr>
        <w:t xml:space="preserve">Mở rộng biến điều tiết coverage</w:t>
      </w:r>
      <w:r>
        <w:t xml:space="preserve">: thêm cụm biến điều tiết về năng lực số và 6 chế độ con ICRV, chưa được xem xét đầy đủ trong các các phân tích tổng hợp trước.</w:t>
      </w:r>
    </w:p>
    <w:p>
      <w:pPr>
        <w:numPr>
          <w:ilvl w:val="0"/>
          <w:numId w:val="1001"/>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2024 (K=200 / k=113).</w:t>
      </w:r>
    </w:p>
    <w:p>
      <w:pPr>
        <w:numPr>
          <w:ilvl w:val="0"/>
          <w:numId w:val="1001"/>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28"/>
    <w:bookmarkStart w:id="29"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hoạt động kinh doanh của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9"/>
    <w:bookmarkStart w:id="30" w:name="Xd4c164ee6604550537899b3ed376afa74960928"/>
    <w:p>
      <w:pPr>
        <w:pStyle w:val="Heading3"/>
      </w:pPr>
      <w:r>
        <w:t xml:space="preserve">3.2.4 Công cụ trích xuất dữ liệu và công bố sử dụng trí tuệ nhân tạo</w:t>
      </w:r>
    </w:p>
    <w:p>
      <w:pPr>
        <w:pStyle w:val="FirstParagraph"/>
      </w:pPr>
      <w:r>
        <w:t xml:space="preserve">Việc trích xuất cỡ ảnh hưởng từ K=288 ước lượng (k=238 nghiên cứu) được thực hiện bằng phần mềm chuyên dụng</w:t>
      </w:r>
      <w:r>
        <w:t xml:space="preserve"> </w:t>
      </w:r>
      <w:r>
        <w:rPr>
          <w:bCs/>
          <w:b/>
        </w:rPr>
        <w:t xml:space="preserve">M-AIDA</w:t>
      </w:r>
      <w:r>
        <w:t xml:space="preserve"> </w:t>
      </w:r>
      <w:r>
        <w:t xml:space="preserve">(Meta-Analysis Intelligent Data Assistant, phiên bản 7.0) do chính nghiên cứu sinh phát triển và đã nộp hồ sơ đăng ký quyền tác giả. M-AIDA dùng mô hình ngôn ngữ lớn (large language model, LLM) để đọc và trích các thống kê gốc (cỡ mẫu</w:t>
      </w:r>
      <w:r>
        <w:t xml:space="preserve"> </w:t>
      </w:r>
      <m:oMath>
        <m:r>
          <m:t>N</m:t>
        </m:r>
      </m:oMath>
      <w:r>
        <w:t xml:space="preserve">, hệ số tương quan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 khoảng tin cậy) từ bản PDF của từng nghiên cứu, kèm điểm tin cậy trích xuất (extraction confidence) ba mức — 1,0 khi lấy trực tiếp</w:t>
      </w:r>
      <w:r>
        <w:t xml:space="preserve"> </w:t>
      </w:r>
      <m:oMath>
        <m:r>
          <m:t>r</m:t>
        </m:r>
      </m:oMath>
      <w:r>
        <w:t xml:space="preserve">; 0,8 khi suy từ</w:t>
      </w:r>
      <w:r>
        <w:t xml:space="preserve"> </w:t>
      </w:r>
      <m:oMath>
        <m:r>
          <m:t>t</m:t>
        </m:r>
      </m:oMath>
      <w:r>
        <w:t xml:space="preserve">; 0,6 khi suy từ</w:t>
      </w:r>
      <w:r>
        <w:t xml:space="preserve"> </w:t>
      </w:r>
      <m:oMath>
        <m:r>
          <m:t>β</m:t>
        </m:r>
      </m:oMath>
      <w:r>
        <w:t xml:space="preserve"> </w:t>
      </w:r>
      <w:r>
        <w:t xml:space="preserve">theo Peterson và Brown (2005) — và tự động gắn cờ cần xác minh đối với mọi bản ghi có độ tin cậy dưới 0,7.</w:t>
      </w:r>
    </w:p>
    <w:p>
      <w:pPr>
        <w:pStyle w:val="BodyText"/>
      </w:pPr>
      <w:r>
        <w:t xml:space="preserve">Để bảo đảm liêm chính và khả năng tái lập, luận án áp dụng nguyên tắc</w:t>
      </w:r>
      <w:r>
        <w:t xml:space="preserve"> </w:t>
      </w:r>
      <w:r>
        <w:rPr>
          <w:bCs/>
          <w:b/>
        </w:rPr>
        <w:t xml:space="preserve">con người trong vòng lặp (human-in-the-loop) với kiểm chứng toàn bộ (100%) bởi nghiên cứu sinh</w:t>
      </w:r>
      <w:r>
        <w:t xml:space="preserve"> </w:t>
      </w:r>
      <w:r>
        <w:t xml:space="preserve">trong vai trò chủ trì nghiên cứu (Principal Investigator): (i) LLM</w:t>
      </w:r>
      <w:r>
        <w:t xml:space="preserve"> </w:t>
      </w:r>
      <w:r>
        <w:rPr>
          <w:bCs/>
          <w:b/>
        </w:rPr>
        <w:t xml:space="preserve">chỉ</w:t>
      </w:r>
      <w:r>
        <w:t xml:space="preserve"> </w:t>
      </w:r>
      <w:r>
        <w:t xml:space="preserve">trích xuất thống kê và</w:t>
      </w:r>
      <w:r>
        <w:t xml:space="preserve"> </w:t>
      </w:r>
      <w:r>
        <w:rPr>
          <w:bCs/>
          <w:b/>
        </w:rPr>
        <w:t xml:space="preserve">không</w:t>
      </w:r>
      <w:r>
        <w:t xml:space="preserve"> </w:t>
      </w:r>
      <w:r>
        <w:t xml:space="preserve">suy đoán các biến điều tiết thể chế — các nhãn chế độ ICRV, pha DPL và chỉ số cDAI do nghiên cứu sinh gán thủ công từ bảng tra cứu ngoài (WGI Rule of Law, năm dữ liệu trung vị, Digital Adoption Index), bảo đảm tính kiểm chứng độc lập; (ii) mỗi bản ghi phải được nghiên cứu sinh phê duyệt — với quyền ghi đè bất kỳ trường nào — trước khi được</w:t>
      </w:r>
      <w:r>
        <w:t xml:space="preserve"> </w:t>
      </w:r>
      <w:r>
        <w:rPr>
          <w:bCs/>
          <w:b/>
        </w:rPr>
        <w:t xml:space="preserve">khóa bất biến (irreversible data lock)</w:t>
      </w:r>
      <w:r>
        <w:t xml:space="preserve"> </w:t>
      </w:r>
      <w:r>
        <w:t xml:space="preserve">kèm dấu thời gian; (iii) chỉ các bản ghi đã khóa mới được đưa vào tập phân tích tổng hợp. Cơ chế hai bước phê duyệt–khóa tạo dấu vết kiểm toán (audit trail) phân tách rạch ròi phần do máy trích xuất và phần do con người quyết định, phù hợp với chuẩn mực công bố sử dụng trí tuệ nhân tạo ngày càng được các tạp chí học thuật yêu cầu. Kiến trúc, quy trình trích xuất–chuyển đổi cỡ ảnh hưởng và cơ chế quản trị dữ liệu của M-AIDA được trình bày chi tiết ở</w:t>
      </w:r>
      <w:r>
        <w:t xml:space="preserve"> </w:t>
      </w:r>
      <w:r>
        <w:rPr>
          <w:bCs/>
          <w:b/>
        </w:rPr>
        <w:t xml:space="preserve">Phụ lục B</w:t>
      </w:r>
      <w:r>
        <w:t xml:space="preserve">.</w:t>
      </w:r>
    </w:p>
    <w:bookmarkEnd w:id="30"/>
    <w:bookmarkEnd w:id="31"/>
    <w:bookmarkStart w:id="48" w:name="X2f2dc61cf51b22160123af8668c978f8ce43175"/>
    <w:p>
      <w:pPr>
        <w:pStyle w:val="Heading2"/>
      </w:pPr>
      <w:r>
        <w:t xml:space="preserve">3.3 Giai đoạn 2: Phân tích thực nghiệm đa quốc gia</w:t>
      </w:r>
    </w:p>
    <w:bookmarkStart w:id="32"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2006–2026</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32"/>
    <w:bookmarkStart w:id="33"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module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đặc tả để bảo đảm kết quả không bị chi phối bởi cơ chế khuyết. Toàn bộ thao tác chi tiết của quy trình sáu bước, cùng dòng dữ liệu kiểu PRISMA và mã tái lập, được trình bày đầy đủ ở Phụ lục A.</w:t>
      </w:r>
    </w:p>
    <w:bookmarkEnd w:id="33"/>
    <w:bookmarkStart w:id="34"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năng suất lao động được sử dụng rộng rãi trong nghiên cứu WBES và trong tài liệu về firm productivity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financial statement đầy đủ, nên năng suất lao động phù hợp hơn ROA/ROE/ROS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hiệu quả hoạt động kinh doanh của doanh nghiệp là khái niệm đa chiều và việc lựa chọn thước đo phải phù hợp với bối cảnh dữ liệu (xem Chương 2).</w:t>
      </w:r>
    </w:p>
    <w:bookmarkEnd w:id="34"/>
    <w:bookmarkStart w:id="35"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35"/>
    <w:bookmarkStart w:id="36"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cường độ xuất khẩu (FSTS, tỷ lệ doanh thu xuất khẩu trên tổng doanh thu). Mô hình đưa vào đồng thời</w:t>
      </w:r>
      <w:r>
        <w:t xml:space="preserve"> </w:t>
      </w:r>
      <m:oMath>
        <m:r>
          <m:t>F</m:t>
        </m:r>
        <m:r>
          <m:t>S</m:t>
        </m:r>
        <m:r>
          <m:t>T</m:t>
        </m:r>
        <m:r>
          <m:t>S</m:t>
        </m:r>
      </m:oMath>
      <w:r>
        <w:t xml:space="preserve"> </w:t>
      </w:r>
      <w:r>
        <w:t xml:space="preserve">và</w:t>
      </w:r>
      <w:r>
        <w:t xml:space="preserve"> </w:t>
      </w:r>
      <m:oMath>
        <m:r>
          <m:t>F</m:t>
        </m:r>
        <m:r>
          <m:t>S</m:t>
        </m:r>
        <m:r>
          <m:t>T</m:t>
        </m:r>
        <m:sSup>
          <m:e>
            <m: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 FSTS là thước đo quốc tế hóa phổ biến nhất trong tài liệu về quan hệ quốc tế hóa và hiệu quả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 FSTS, làm cơ sở cho việc kiểm định mở rộng trong luận án.</w:t>
      </w:r>
    </w:p>
    <w:bookmarkEnd w:id="36"/>
    <w:bookmarkStart w:id="37"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37"/>
    <w:bookmarkStart w:id="38"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t>F</m:t>
        </m:r>
        <m:r>
          <m:t>S</m:t>
        </m:r>
        <m:r>
          <m:t>T</m:t>
        </m:r>
        <m: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t>T</m:t>
        </m:r>
        <m: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t>F</m:t>
            </m:r>
            <m:r>
              <m:t>S</m:t>
            </m:r>
            <m:r>
              <m:t>T</m:t>
            </m:r>
            <m:r>
              <m:t>S</m:t>
            </m:r>
          </m:e>
        </m:bar>
      </m:oMath>
      <w:r>
        <w:t xml:space="preserve">.</w:t>
      </w:r>
    </w:p>
    <w:bookmarkEnd w:id="38"/>
    <w:bookmarkStart w:id="42" w:name="đo-lường-biến-điều-tiết"/>
    <w:p>
      <w:pPr>
        <w:pStyle w:val="Heading3"/>
      </w:pPr>
      <w:r>
        <w:t xml:space="preserve">3.3.4 Đo lường biến điều tiết</w:t>
      </w:r>
    </w:p>
    <w:bookmarkStart w:id="39" w:name="digital-constructs-tci-và-dai"/>
    <w:p>
      <w:pPr>
        <w:pStyle w:val="Heading4"/>
      </w:pPr>
      <w:r>
        <w:t xml:space="preserve">Digital constructs (TCI và DAI)</w:t>
      </w:r>
    </w:p>
    <w:p>
      <w:pPr>
        <w:pStyle w:val="FirstParagraph"/>
      </w:pPr>
      <w:r>
        <w:t xml:space="preserve">Luận án phân biệt rõ hai cấu trúc:</w:t>
      </w:r>
    </w:p>
    <w:p>
      <w:pPr>
        <w:numPr>
          <w:ilvl w:val="0"/>
          <w:numId w:val="1002"/>
        </w:numPr>
        <w:pStyle w:val="Compact"/>
      </w:pPr>
      <w:r>
        <w:rPr>
          <w:bCs/>
          <w:b/>
        </w:rPr>
        <w:t xml:space="preserve">Technological Capability Index (TCI)</w:t>
      </w:r>
      <w:r>
        <w:t xml:space="preserve">: chiều sâu năng lực công nghệ, tổng hợp từ cấp phép công nghệ nước ngoài, chi tiêu nghiên cứu và phát triển, đổi mới sản phẩm, và chứng nhận chất lượng.</w:t>
      </w:r>
    </w:p>
    <w:p>
      <w:pPr>
        <w:numPr>
          <w:ilvl w:val="0"/>
          <w:numId w:val="1002"/>
        </w:numPr>
        <w:pStyle w:val="Compact"/>
      </w:pPr>
      <w:r>
        <w:rPr>
          <w:bCs/>
          <w:b/>
        </w:rPr>
        <w:t xml:space="preserve">Digital Adoption Index (DAI)</w:t>
      </w:r>
      <w:r>
        <w:t xml:space="preserve">: mức độ chấp nhận số bề mặt, tổng hợp từ website, thư điện tử, bán hàng trực tuyến (DAI_thin) hoặc bổ sung thanh toán điện tử và nhà cung cấp điện tử (DAI_rich).</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3"/>
        </w:numPr>
        <w:pStyle w:val="Compact"/>
      </w:pPr>
      <w:r>
        <w:rPr>
          <w:bCs/>
          <w:b/>
        </w:rPr>
        <w:t xml:space="preserve">TCI_thin</w:t>
      </w:r>
      <w:r>
        <w:t xml:space="preserve"> </w:t>
      </w:r>
      <w:r>
        <w:t xml:space="preserve">= chuẩn hóa z của trung bình hai mục cốt lõi: chứng chỉ chất lượng quốc tế (b8) và cấp phép công nghệ nước ngoài (e6). Dùng trong các nghiên cứu Việt Nam (P3), Singapore (P4), đa quốc gia (P7) và đảo nhỏ Thái Bình Dương (P8).</w:t>
      </w:r>
    </w:p>
    <w:p>
      <w:pPr>
        <w:numPr>
          <w:ilvl w:val="0"/>
          <w:numId w:val="1003"/>
        </w:numPr>
        <w:pStyle w:val="Compact"/>
      </w:pPr>
      <w:r>
        <w:rPr>
          <w:bCs/>
          <w:b/>
        </w:rPr>
        <w:t xml:space="preserve">TCI_full</w:t>
      </w:r>
      <w:r>
        <w:t xml:space="preserve"> </w:t>
      </w:r>
      <w:r>
        <w:t xml:space="preserve">= chuẩn hóa z của trung bình bốn mục: b8, e6, đổi mới sản phẩm (h1), và chi R&amp;D (h8). Dùng trong nghiên cứu Trung Quốc (P5), nơi cả hai sóng 2012 và 2024 đều có đủ module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39"/>
    <w:bookmarkStart w:id="40"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chế độ con ICRV (classification từ Khanna &amp; Palepu, 2010 mở rộng).</w:t>
      </w:r>
    </w:p>
    <w:p>
      <w:pPr>
        <w:pStyle w:val="BodyText"/>
      </w:pPr>
      <w:r>
        <w:rPr>
          <w:bCs/>
          <w:b/>
        </w:rPr>
        <w:t xml:space="preserve">Cơ sở kế thừa</w:t>
      </w:r>
      <w:r>
        <w:t xml:space="preserve">: Khanna và Palepu (2010) với khoảng trống thể chế; North (1990) với institutional analysis; Marano et al. (2016) với phân tích tổng hợp evidence về institutional các biến điều tiết.</w:t>
      </w:r>
    </w:p>
    <w:bookmarkEnd w:id="40"/>
    <w:bookmarkStart w:id="41"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độ vững chứ không bắt buộc trong mô hình chính.</w:t>
      </w:r>
    </w:p>
    <w:bookmarkEnd w:id="41"/>
    <w:bookmarkEnd w:id="42"/>
    <w:bookmarkStart w:id="43"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Tầng 1 ghi nhận hiện diện số bề mặt qua chỉ báo website (trường c22b), một mục nhị phân khả dụng ở hầu hết các đợt khảo sát. Tầng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Tầng 1 (đơn biến nhị phân) dùng ở Việt Nam và đảo nhỏ Thái Bình Dương, biến thể Tầng 1 cộng Tầng 2 dùng ở Singapore và khung đa quốc gia khi trường k33 có mặt, và biến thể thu gọn về Tầng 1 khi trường Tầng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43"/>
    <w:bookmarkStart w:id="44"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module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Tầng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Tầng 2 thanh toán điện tử và Tầng 3 đám mây/hệ hoạch định nguồn lực doanh nghiệp. Khung đa quốc gia dùng biến thể Tầng 1 cộng Tầng 2 khi trường thanh toán điện tử có mặt và thu gọn về Tầng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44"/>
    <w:bookmarkStart w:id="45"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đặc tả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45"/>
    <w:bookmarkStart w:id="46"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mất cấu trúc;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46"/>
    <w:bookmarkStart w:id="47"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(FSTS²)</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Tầng 1: website (nhị phân); Tầng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47"/>
    <w:bookmarkEnd w:id="48"/>
    <w:bookmarkStart w:id="66" w:name="mô-hình-phân-tích"/>
    <w:p>
      <w:pPr>
        <w:pStyle w:val="Heading2"/>
      </w:pPr>
      <w:r>
        <w:t xml:space="preserve">3.4 Mô hình phân tích</w:t>
      </w:r>
    </w:p>
    <w:bookmarkStart w:id="49"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49"/>
    <w:bookmarkStart w:id="50"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50"/>
    <w:bookmarkStart w:id="51"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51"/>
    <w:bookmarkStart w:id="52"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phổ thể chế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52"/>
    <w:bookmarkStart w:id="55" w:name="mô-hình-điều-tiết-h2h6"/>
    <w:p>
      <w:pPr>
        <w:pStyle w:val="Heading3"/>
      </w:pPr>
      <w:r>
        <w:t xml:space="preserve">3.4.4 Mô hình điều tiết (H2–H6)</w:t>
      </w:r>
    </w:p>
    <w:bookmarkStart w:id="53"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53"/>
    <w:bookmarkStart w:id="54" w:name="tương-tác-ba-chiều-synthesis"/>
    <w:p>
      <w:pPr>
        <w:pStyle w:val="Heading4"/>
      </w:pPr>
      <w:r>
        <w:t xml:space="preserve">Tương tác ba chiều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three-way điều tiết digital × institutional × manager trong bối cảnh châu Á và Pacific với 50 nước chưa được kiểm định trước đây.</w:t>
      </w:r>
    </w:p>
    <w:bookmarkEnd w:id="54"/>
    <w:bookmarkEnd w:id="55"/>
    <w:bookmarkStart w:id="56"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56"/>
    <w:bookmarkStart w:id="57"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57"/>
    <w:bookmarkStart w:id="58"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tiếng Việt:</w:t>
      </w:r>
    </w:p>
    <w:p>
      <w:pPr>
        <w:numPr>
          <w:ilvl w:val="0"/>
          <w:numId w:val="1004"/>
        </w:numPr>
        <w:pStyle w:val="Compact"/>
      </w:pPr>
      <w:r>
        <w:rPr>
          <w:bCs/>
          <w:b/>
        </w:rPr>
        <w:t xml:space="preserve">lnNSLD_it</w:t>
      </w:r>
      <w:r>
        <w:t xml:space="preserve"> </w:t>
      </w:r>
      <w:r>
        <w:t xml:space="preserve">= lnLP_it: log năng suất lao động (ln doanh thu PPP / lao động thường xuyên)</w:t>
      </w:r>
    </w:p>
    <w:p>
      <w:pPr>
        <w:numPr>
          <w:ilvl w:val="0"/>
          <w:numId w:val="1004"/>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4"/>
        </w:numPr>
        <w:pStyle w:val="Compact"/>
      </w:pPr>
      <w:r>
        <w:rPr>
          <w:bCs/>
          <w:b/>
        </w:rPr>
        <w:t xml:space="preserve">CDDXK_c²_it</w:t>
      </w:r>
      <w:r>
        <w:t xml:space="preserve"> </w:t>
      </w:r>
      <w:r>
        <w:t xml:space="preserve">= FSTS_c²_it: bình phương cường độ xuất khẩu điều chỉnh</w:t>
      </w:r>
    </w:p>
    <w:p>
      <w:pPr>
        <w:numPr>
          <w:ilvl w:val="0"/>
          <w:numId w:val="1004"/>
        </w:numPr>
        <w:pStyle w:val="Compact"/>
      </w:pPr>
      <w:r>
        <w:rPr>
          <w:bCs/>
          <w:b/>
        </w:rPr>
        <w:t xml:space="preserve">NLCN_z_it</w:t>
      </w:r>
      <w:r>
        <w:t xml:space="preserve"> </w:t>
      </w:r>
      <w:r>
        <w:t xml:space="preserve">= TCI_z_it: năng lực công nghệ (chuẩn hoá z trong sóng)</w:t>
      </w:r>
    </w:p>
    <w:p>
      <w:pPr>
        <w:numPr>
          <w:ilvl w:val="0"/>
          <w:numId w:val="1004"/>
        </w:numPr>
        <w:pStyle w:val="Compact"/>
      </w:pPr>
      <w:r>
        <w:rPr>
          <w:bCs/>
          <w:b/>
        </w:rPr>
        <w:t xml:space="preserve">CSS_z_it</w:t>
      </w:r>
      <w:r>
        <w:t xml:space="preserve"> </w:t>
      </w:r>
      <w:r>
        <w:t xml:space="preserve">= DAI_z_it: chỉ số số hoá cơ sở, Tầng 1 (chuẩn hoá z trong sóng)</w:t>
      </w:r>
    </w:p>
    <w:p>
      <w:pPr>
        <w:numPr>
          <w:ilvl w:val="0"/>
          <w:numId w:val="1004"/>
        </w:numPr>
        <w:pStyle w:val="Compact"/>
      </w:pPr>
      <w:r>
        <w:rPr>
          <w:bCs/>
          <w:b/>
        </w:rPr>
        <w:t xml:space="preserve">lnLD, TuoiDN, SoHuuNuocNgoai</w:t>
      </w:r>
      <w:r>
        <w:t xml:space="preserve">: kiểm soát quy mô, tuổi, sở hữu</w:t>
      </w:r>
    </w:p>
    <w:p>
      <w:pPr>
        <w:numPr>
          <w:ilvl w:val="0"/>
          <w:numId w:val="1004"/>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e>
            </m:mr>
            <m:mr>
              <m:e/>
              <m:e>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CSS/DAI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e>
            </m:mr>
            <m:mr>
              <m:e/>
              <m:e>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e>
            </m:mr>
            <m:mr>
              <m:e/>
              <m:e>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Tầng 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58"/>
    <w:bookmarkStart w:id="59"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5"/>
        </w:numPr>
        <w:pStyle w:val="Compact"/>
      </w:pPr>
      <w:r>
        <w:rPr>
          <w:bCs/>
          <w:b/>
        </w:rPr>
        <w:t xml:space="preserve">lnNSLD_i</w:t>
      </w:r>
      <w:r>
        <w:t xml:space="preserve"> </w:t>
      </w:r>
      <w:r>
        <w:t xml:space="preserve">= lnLP_i: log năng suất lao động (ln doanh thu PPP / lao động thường xuyên)</w:t>
      </w:r>
    </w:p>
    <w:p>
      <w:pPr>
        <w:numPr>
          <w:ilvl w:val="0"/>
          <w:numId w:val="1005"/>
        </w:numPr>
        <w:pStyle w:val="Compact"/>
      </w:pPr>
      <w:r>
        <w:rPr>
          <w:bCs/>
          <w:b/>
        </w:rPr>
        <w:t xml:space="preserve">CDDXK_i</w:t>
      </w:r>
      <w:r>
        <w:t xml:space="preserve"> </w:t>
      </w:r>
      <w:r>
        <w:t xml:space="preserve">= FSTS_i: cường độ xuất khẩu trực tiếp (d3c / 100)</w:t>
      </w:r>
    </w:p>
    <w:p>
      <w:pPr>
        <w:numPr>
          <w:ilvl w:val="0"/>
          <w:numId w:val="1005"/>
        </w:numPr>
        <w:pStyle w:val="Compact"/>
      </w:pPr>
      <w:r>
        <w:rPr>
          <w:bCs/>
          <w:b/>
        </w:rPr>
        <w:t xml:space="preserve">CDDXK_c_i</w:t>
      </w:r>
      <w:r>
        <w:t xml:space="preserve"> </w:t>
      </w:r>
      <w:r>
        <w:t xml:space="preserve">= FSTS_c_i: CDDXK trung bình mẫu; CDDXK_c² là bình phương</w:t>
      </w:r>
    </w:p>
    <w:p>
      <w:pPr>
        <w:numPr>
          <w:ilvl w:val="0"/>
          <w:numId w:val="1005"/>
        </w:numPr>
        <w:pStyle w:val="Compact"/>
      </w:pPr>
      <w:r>
        <w:rPr>
          <w:bCs/>
          <w:b/>
        </w:rPr>
        <w:t xml:space="preserve">NLCN_z_i</w:t>
      </w:r>
      <w:r>
        <w:t xml:space="preserve"> </w:t>
      </w:r>
      <w:r>
        <w:t xml:space="preserve">= TCI_z_i: năng lực công nghệ, chuẩn hóa z của trung bình(b8₀₁, e6₀₁)</w:t>
      </w:r>
    </w:p>
    <w:p>
      <w:pPr>
        <w:numPr>
          <w:ilvl w:val="0"/>
          <w:numId w:val="1005"/>
        </w:numPr>
        <w:pStyle w:val="Compact"/>
      </w:pPr>
      <w:r>
        <w:rPr>
          <w:bCs/>
          <w:b/>
        </w:rPr>
        <w:t xml:space="preserve">CSS_z_i</w:t>
      </w:r>
      <w:r>
        <w:t xml:space="preserve"> </w:t>
      </w:r>
      <w:r>
        <w:t xml:space="preserve">= DAI_z_i: chỉ số số hoá</w:t>
      </w:r>
      <w:r>
        <w:t xml:space="preserve"> </w:t>
      </w:r>
      <w:r>
        <w:rPr>
          <w:bCs/>
          <w:b/>
        </w:rPr>
        <w:t xml:space="preserve">Tầng 1 và 2</w:t>
      </w:r>
      <w:r>
        <w:t xml:space="preserve">, chuẩn hóa z của trung bình(c22b₀₁, k33₀₁, k38₀₁); khác P3 ở chỗ bao gồm thanh toán điện tử hai chiều (Tầng 2)</w:t>
      </w:r>
    </w:p>
    <w:p>
      <w:pPr>
        <w:numPr>
          <w:ilvl w:val="0"/>
          <w:numId w:val="1005"/>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5"/>
        </w:numPr>
        <w:pStyle w:val="Compact"/>
      </w:pPr>
      <w:r>
        <w:rPr>
          <w:bCs/>
          <w:b/>
        </w:rPr>
        <w:t xml:space="preserve">δ_s</w:t>
      </w:r>
      <w:r>
        <w:t xml:space="preserve">: ngành hiệu ứng cố định (ISIC 1-chữ số)</w:t>
      </w:r>
    </w:p>
    <w:p>
      <w:pPr>
        <w:numPr>
          <w:ilvl w:val="0"/>
          <w:numId w:val="1005"/>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quốc tế hóa và hiệu quả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Tầng 1 và 2</w:t>
            </w:r>
          </w:p>
        </w:tc>
        <w:tc>
          <w:tcPr/>
          <w:p>
            <w:pPr>
              <w:pStyle w:val="Compact"/>
              <w:jc w:val="left"/>
            </w:pPr>
            <w:r>
              <w:t xml:space="preserve">Số hoá Tầng 1 và 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59"/>
    <w:bookmarkStart w:id="60"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6"/>
        </w:numPr>
        <w:pStyle w:val="Compact"/>
      </w:pPr>
      <w:r>
        <w:rPr>
          <w:bCs/>
          <w:b/>
        </w:rPr>
        <w:t xml:space="preserve">lnNSLD_it</w:t>
      </w:r>
      <w:r>
        <w:t xml:space="preserve"> </w:t>
      </w:r>
      <w:r>
        <w:t xml:space="preserve">= lnLP_it: log năng suất lao động (biến phụ thuộc)</w:t>
      </w:r>
    </w:p>
    <w:p>
      <w:pPr>
        <w:numPr>
          <w:ilvl w:val="0"/>
          <w:numId w:val="1006"/>
        </w:numPr>
        <w:pStyle w:val="Compact"/>
      </w:pPr>
      <w:r>
        <w:rPr>
          <w:bCs/>
          <w:b/>
        </w:rPr>
        <w:t xml:space="preserve">CDDXK_c_it</w:t>
      </w:r>
      <w:r>
        <w:t xml:space="preserve"> </w:t>
      </w:r>
      <w:r>
        <w:t xml:space="preserve">= FSTS_c_it: cường độ xuất khẩu centred theo trung bình sóng</w:t>
      </w:r>
    </w:p>
    <w:p>
      <w:pPr>
        <w:numPr>
          <w:ilvl w:val="0"/>
          <w:numId w:val="1006"/>
        </w:numPr>
        <w:pStyle w:val="Compact"/>
      </w:pPr>
      <w:r>
        <w:rPr>
          <w:bCs/>
          <w:b/>
        </w:rPr>
        <w:t xml:space="preserve">NLCN_z_it</w:t>
      </w:r>
      <w:r>
        <w:t xml:space="preserve"> </w:t>
      </w:r>
      <w:r>
        <w:t xml:space="preserve">= TCI_full_z_it: năng lực công nghệ toàn diện, chuẩn hóa z của TB(b8₀₁, e6₀₁, h1₀₁, h8₀₁); mở rộng hơn P3</w:t>
      </w:r>
    </w:p>
    <w:p>
      <w:pPr>
        <w:numPr>
          <w:ilvl w:val="0"/>
          <w:numId w:val="1006"/>
        </w:numPr>
        <w:pStyle w:val="Compact"/>
      </w:pPr>
      <w:r>
        <w:rPr>
          <w:bCs/>
          <w:b/>
        </w:rPr>
        <w:t xml:space="preserve">CSS_z_it</w:t>
      </w:r>
      <w:r>
        <w:t xml:space="preserve"> </w:t>
      </w:r>
      <w:r>
        <w:t xml:space="preserve">= DAI_core_it: chỉ số số hoá cơ bản, chỉ c22b₀₁ (Tầng 1 mỏng, một chỉ báo nhị phân)</w:t>
      </w:r>
    </w:p>
    <w:p>
      <w:pPr>
        <w:numPr>
          <w:ilvl w:val="0"/>
          <w:numId w:val="1006"/>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6"/>
        </w:numPr>
        <w:pStyle w:val="Compact"/>
      </w:pPr>
      <w:r>
        <w:rPr>
          <w:bCs/>
          <w:b/>
        </w:rPr>
        <w:t xml:space="preserve">δ_s</w:t>
      </w:r>
      <w:r>
        <w:t xml:space="preserve">: ngành hiệu ứng cố định;</w:t>
      </w:r>
      <w:r>
        <w:t xml:space="preserve"> </w:t>
      </w:r>
      <w:r>
        <w:rPr>
          <w:bCs/>
          <w:b/>
        </w:rPr>
        <w:t xml:space="preserve">λ_t</w:t>
      </w:r>
      <w:r>
        <w:t xml:space="preserve">: đợt hiệu ứng cố định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Tầng 1 đơn biến</w:t>
            </w:r>
            <w:r>
              <w:t xml:space="preserve"> </w:t>
            </w:r>
            <w:r>
              <w:t xml:space="preserve">(binary)</w:t>
            </w:r>
          </w:p>
        </w:tc>
        <w:tc>
          <w:tcPr/>
          <w:p>
            <w:pPr>
              <w:pStyle w:val="Compact"/>
              <w:jc w:val="left"/>
            </w:pPr>
            <w:r>
              <w:t xml:space="preserve">Số hoá Tầng 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Tầng 1 đơn biến, không đủ để kiểm định CDCM; hàm ý chính sách và lý thuyết khác với P4 Singapore (Tầng 1 và 2).</w:t>
      </w:r>
    </w:p>
    <w:p>
      <w:r>
        <w:pict>
          <v:rect style="width:0;height:1.5pt" o:hralign="center" o:hrstd="t" o:hr="t"/>
        </w:pict>
      </w:r>
    </w:p>
    <w:bookmarkEnd w:id="60"/>
    <w:bookmarkStart w:id="63"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tiếng Việt:</w:t>
      </w:r>
    </w:p>
    <w:p>
      <w:pPr>
        <w:numPr>
          <w:ilvl w:val="0"/>
          <w:numId w:val="1007"/>
        </w:numPr>
        <w:pStyle w:val="Compact"/>
      </w:pPr>
      <w:r>
        <w:rPr>
          <w:bCs/>
          <w:b/>
        </w:rPr>
        <w:t xml:space="preserve">lnNSLD_it</w:t>
      </w:r>
      <w:r>
        <w:t xml:space="preserve">: ln(năng suất lao động) = ln(doanh thu / lao động thường trực), biến phụ thuộc</w:t>
      </w:r>
    </w:p>
    <w:p>
      <w:pPr>
        <w:numPr>
          <w:ilvl w:val="0"/>
          <w:numId w:val="1007"/>
        </w:numPr>
        <w:pStyle w:val="Compact"/>
      </w:pPr>
      <w:r>
        <w:rPr>
          <w:bCs/>
          <w:b/>
        </w:rPr>
        <w:t xml:space="preserve">CDDXK_c_it</w:t>
      </w:r>
      <w:r>
        <w:t xml:space="preserve">: cường độ xuất khẩu mean-centred, FSTS_c = (d3c/100) − mean_pool(FSTS)</w:t>
      </w:r>
    </w:p>
    <w:p>
      <w:pPr>
        <w:numPr>
          <w:ilvl w:val="0"/>
          <w:numId w:val="1007"/>
        </w:numPr>
        <w:pStyle w:val="Compact"/>
      </w:pPr>
      <w:r>
        <w:rPr>
          <w:bCs/>
          <w:b/>
        </w:rPr>
        <w:t xml:space="preserve">CDDXK_c²_it</w:t>
      </w:r>
      <w:r>
        <w:t xml:space="preserve">: CDDXK_c bình phương, kiểm định phi tuyến</w:t>
      </w:r>
    </w:p>
    <w:p>
      <w:pPr>
        <w:numPr>
          <w:ilvl w:val="0"/>
          <w:numId w:val="1007"/>
        </w:numPr>
        <w:pStyle w:val="Compact"/>
      </w:pPr>
      <w:r>
        <w:rPr>
          <w:bCs/>
          <w:b/>
        </w:rPr>
        <w:t xml:space="preserve">NLCN_z_it</w:t>
      </w:r>
      <w:r>
        <w:t xml:space="preserve">: năng lực công nghệ z-standardised, TCI_z = chuẩn hóa z(b8, e6)</w:t>
      </w:r>
    </w:p>
    <w:p>
      <w:pPr>
        <w:numPr>
          <w:ilvl w:val="0"/>
          <w:numId w:val="1007"/>
        </w:numPr>
        <w:pStyle w:val="Compact"/>
      </w:pPr>
      <w:r>
        <w:rPr>
          <w:bCs/>
          <w:b/>
        </w:rPr>
        <w:t xml:space="preserve">CSS_z_it</w:t>
      </w:r>
      <w:r>
        <w:t xml:space="preserve">: chỉ số số hoá z-standardised, DAI_z = chuẩn hóa z(website + e-pay, Tầng 1 và 2: c22b/e1, k33)</w:t>
      </w:r>
    </w:p>
    <w:p>
      <w:pPr>
        <w:numPr>
          <w:ilvl w:val="0"/>
          <w:numId w:val="1007"/>
        </w:numPr>
        <w:pStyle w:val="Compact"/>
      </w:pPr>
      <w:r>
        <w:rPr>
          <w:bCs/>
          <w:b/>
        </w:rPr>
        <w:t xml:space="preserve">KNQLy_it</w:t>
      </w:r>
      <w:r>
        <w:t xml:space="preserve">: kinh nghiệm nhà quản lý trong ngành (năm, b7)</w:t>
      </w:r>
    </w:p>
    <w:p>
      <w:pPr>
        <w:numPr>
          <w:ilvl w:val="0"/>
          <w:numId w:val="1007"/>
        </w:numPr>
        <w:pStyle w:val="Compact"/>
      </w:pPr>
      <w:r>
        <w:rPr>
          <w:bCs/>
          <w:b/>
        </w:rPr>
        <w:t xml:space="preserve">NQL_nu_it</w:t>
      </w:r>
      <w:r>
        <w:t xml:space="preserve">: top manager là nữ (binary, b7a/b6a)</w:t>
      </w:r>
    </w:p>
    <w:p>
      <w:pPr>
        <w:numPr>
          <w:ilvl w:val="0"/>
          <w:numId w:val="1007"/>
        </w:numPr>
        <w:pStyle w:val="Compact"/>
      </w:pPr>
      <w:r>
        <w:rPr>
          <w:bCs/>
          <w:b/>
        </w:rPr>
        <w:t xml:space="preserve">ICRV_j</w:t>
      </w:r>
      <w:r>
        <w:t xml:space="preserve">: phân loại chế độ thể chế ICRV (integer 1–6, Advanced sang SIDS)</w:t>
      </w:r>
    </w:p>
    <w:p>
      <w:pPr>
        <w:numPr>
          <w:ilvl w:val="0"/>
          <w:numId w:val="1007"/>
        </w:numPr>
        <w:pStyle w:val="Compact"/>
      </w:pPr>
      <w:r>
        <w:rPr>
          <w:bCs/>
          <w:b/>
        </w:rPr>
        <w:t xml:space="preserve">lnLD_it</w:t>
      </w:r>
      <w:r>
        <w:t xml:space="preserve">: ln(lao động thường trực), kiểm soát quy mô doanh nghiệp</w:t>
      </w:r>
    </w:p>
    <w:p>
      <w:pPr>
        <w:numPr>
          <w:ilvl w:val="0"/>
          <w:numId w:val="1007"/>
        </w:numPr>
        <w:pStyle w:val="Compact"/>
      </w:pPr>
      <w:r>
        <w:rPr>
          <w:bCs/>
          <w:b/>
        </w:rPr>
        <w:t xml:space="preserve">TuoiDN_it</w:t>
      </w:r>
      <w:r>
        <w:t xml:space="preserve">: tuổi doanh nghiệp (năm_khảo_sát − b5)</w:t>
      </w:r>
    </w:p>
    <w:p>
      <w:pPr>
        <w:numPr>
          <w:ilvl w:val="0"/>
          <w:numId w:val="1007"/>
        </w:numPr>
        <w:pStyle w:val="Compact"/>
      </w:pPr>
      <w:r>
        <w:rPr>
          <w:bCs/>
          <w:b/>
        </w:rPr>
        <w:t xml:space="preserve">SoHuuNN_it</w:t>
      </w:r>
      <w:r>
        <w:t xml:space="preserve">: tỷ lệ sở hữu nước ngoài (b6a/100)</w:t>
      </w:r>
    </w:p>
    <w:p>
      <w:pPr>
        <w:numPr>
          <w:ilvl w:val="0"/>
          <w:numId w:val="1007"/>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088</m:t>
              </m:r>
            </m:e>
            <m:sup>
              <m:r>
                <m:rPr>
                  <m:sty m:val="p"/>
                </m:rPr>
                <m:t>*</m:t>
              </m:r>
            </m:sup>
          </m:sSup>
          <m:r>
            <m:t> </m:t>
          </m:r>
          <m:d>
            <m:dPr>
              <m:begChr m:val="("/>
              <m:endChr m:val=")"/>
              <m:sepChr m:val=""/>
              <m:grow/>
            </m:dPr>
            <m:e>
              <m:r>
                <m:t>p</m:t>
              </m:r>
              <m:r>
                <m:rPr>
                  <m:sty m:val="p"/>
                </m:rPr>
                <m:t>=</m:t>
              </m:r>
              <m:r>
                <m:rPr>
                  <m:sty m:val="p"/>
                </m:rPr>
                <m:t>,</m:t>
              </m:r>
              <m:r>
                <m:t>026</m:t>
              </m:r>
            </m:e>
          </m:d>
          <m:r>
            <m:rPr>
              <m:nor/>
              <m:sty m:val="p"/>
            </m:rPr>
            <m:t> (nữ quản lý cấp cao: hệ số mức âm nhẹ;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mất cấu trúc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chuẩn hóa z(website + thanh toán điện tử): Tầng 1 và 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Tầng 1 và 2 khi k33 có mặt, Tầng 1 only khi thiếu, khác với P3 Vietnam (chỉ Tầng 1) và đồng nhất với P4 Singapore (Tầng 1 và 2). ICRV là biến điều tiết liên tục (integer), không phải dummies, nhằm giữ N đủ lớn trong M10–M11.</w:t>
      </w:r>
    </w:p>
    <w:p>
      <w:r>
        <w:pict>
          <v:rect style="width:0;height:1.5pt" o:hralign="center" o:hrstd="t" o:hr="t"/>
        </w:pict>
      </w:r>
    </w:p>
    <w:bookmarkStart w:id="61" w:name="X7ae0fbe3e53b09e3ffb61b533c4c804e40982e2"/>
    <w:p>
      <w:pPr>
        <w:pStyle w:val="Heading4"/>
      </w:pPr>
      <w:r>
        <w:t xml:space="preserve">3.4.5.5 Mô hình cụ thể: Nghiên cứu 8: đảo nhỏ Thái Bình Dương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w:r>
              <w:t xml:space="preserve">CSS_z</w:t>
            </w:r>
          </w:p>
        </w:tc>
        <w:tc>
          <w:tcPr/>
          <w:p>
            <w:pPr>
              <w:pStyle w:val="Compact"/>
              <w:jc w:val="left"/>
            </w:pPr>
            <w:r>
              <w:t xml:space="preserve">Chỉ số số hoá (Tầng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Tầng 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CSS_z (DAI) là biến đại diện tĩnh Tầng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t>l</m:t>
                </m:r>
                <m:r>
                  <m:t>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e>
            </m:mr>
            <m:mr>
              <m:e/>
              <m:e>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chỉ doanh nghiệp xuất khẩu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z(website binary): Tầng 1 only</w:t>
            </w:r>
          </w:p>
        </w:tc>
        <w:tc>
          <w:tcPr/>
          <w:p>
            <w:pPr>
              <w:pStyle w:val="Compact"/>
              <w:jc w:val="left"/>
            </w:pPr>
            <w:r>
              <w:t xml:space="preserve">Số hoá, biến đại diện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Tầng 1 only, WBES không thu thập thang đo đầy đủ cho số hoá động tại SIDS.</w:t>
      </w:r>
    </w:p>
    <w:p>
      <w:r>
        <w:pict>
          <v:rect style="width:0;height:1.5pt" o:hralign="center" o:hrstd="t" o:hr="t"/>
        </w:pict>
      </w:r>
    </w:p>
    <w:bookmarkEnd w:id="61"/>
    <w:bookmarkStart w:id="62"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Tầng 2 (</w:t>
      </w:r>
      <w:r>
        <w:rPr>
          <w:rStyle w:val="VerbatimChar"/>
        </w:rPr>
        <w:t xml:space="preserve">k33</w:t>
      </w:r>
      <w:r>
        <w:t xml:space="preserve">, tỷ trọng doanh thu qua thanh toán điện tử) cho phép kiểm định điều tiết DAI Tầng 2, được xử lý như phân tích thăm dò vì chỉ có ở một đợt.</w:t>
      </w:r>
    </w:p>
    <w:bookmarkEnd w:id="62"/>
    <w:bookmarkEnd w:id="63"/>
    <w:bookmarkStart w:id="64"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64"/>
    <w:bookmarkStart w:id="65"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đặc tả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65"/>
    <w:bookmarkEnd w:id="66"/>
    <w:bookmarkStart w:id="77" w:name="kiểm-định-độ-vững"/>
    <w:p>
      <w:pPr>
        <w:pStyle w:val="Heading2"/>
      </w:pPr>
      <w:r>
        <w:t xml:space="preserve">3.5 Kiểm định độ vững</w:t>
      </w:r>
    </w:p>
    <w:bookmarkStart w:id="67"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Tầng 1 và biến thể gồm cả Tầng 2 trên mẫu con từ năm 2024 trở đi, nơi các chỉ báo số phong phú hơn đã sẵn có.</w:t>
      </w:r>
    </w:p>
    <w:bookmarkEnd w:id="67"/>
    <w:bookmarkStart w:id="68"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68"/>
    <w:bookmarkStart w:id="69"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69"/>
    <w:bookmarkStart w:id="70"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đặc tả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70"/>
    <w:bookmarkStart w:id="71"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71"/>
    <w:bookmarkStart w:id="72"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đặc tả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Tầng 1 và biến thể Tầng 1 cộng Tầng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72"/>
    <w:bookmarkStart w:id="73"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50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phổ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73"/>
    <w:bookmarkStart w:id="74"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Tầng 1 không khác biệt thống kê với không, một kết quả độ vững củng cố cách diễn giải tính lỗi thời của biến đại diện Tầng 1 trong môi trường số đã lan tỏa gần phổ quát.</w:t>
      </w:r>
    </w:p>
    <w:bookmarkEnd w:id="74"/>
    <w:bookmarkStart w:id="75"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75"/>
    <w:bookmarkStart w:id="76" w:name="X9d6404b3058a9ea6c8e6196550350ab05ad4e76"/>
    <w:p>
      <w:pPr>
        <w:pStyle w:val="Heading3"/>
      </w:pPr>
      <w:r>
        <w:t xml:space="preserve">3.5.6.3 Tính nhất quán về dấu qua nhiều đặc tả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đặc tả,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đặc tả: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76"/>
    <w:bookmarkEnd w:id="77"/>
    <w:bookmarkStart w:id="78"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hoạt động kinh doanh của doanh nghiệp đa chiều trong bối cảnh WBES</w:t>
            </w:r>
          </w:p>
        </w:tc>
      </w:tr>
      <w:tr>
        <w:tc>
          <w:tcPr/>
          <w:p>
            <w:pPr>
              <w:pStyle w:val="Compact"/>
              <w:jc w:val="left"/>
            </w:pPr>
            <w:r>
              <w:t xml:space="preserve">FSTS + FSTS²</w:t>
            </w:r>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điều tiết</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78"/>
    <w:bookmarkStart w:id="79"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bookmarkEnd w:id="7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2026-06-23T07:27:11Z</dcterms:created>
  <dcterms:modified xsi:type="dcterms:W3CDTF">2026-06-23T07:27:11Z</dcterms:modified>
</cp:coreProperties>
</file>

<file path=docProps/custom.xml><?xml version="1.0" encoding="utf-8"?>
<Properties xmlns="http://schemas.openxmlformats.org/officeDocument/2006/custom-properties" xmlns:vt="http://schemas.openxmlformats.org/officeDocument/2006/docPropsVTypes"/>
</file>