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29" w:name="Xff8cef3ed320f9cf6f3fba4ff558bfed3af19c6"/>
    <w:p>
      <w:pPr>
        <w:pStyle w:val="Heading2"/>
      </w:pPr>
      <w:r>
        <w:t xml:space="preserve">5.1 Bàn luận kết quả theo khung lý thuyết CDCM</w:t>
      </w:r>
    </w:p>
    <w:bookmarkStart w:id="22" w:name="X59bbe86bb1d3da1717dec30924f73547ba9a500"/>
    <w:p>
      <w:pPr>
        <w:pStyle w:val="Heading3"/>
      </w:pPr>
      <w:r>
        <w:t xml:space="preserve">5.1.1 Phổ ICRV: Xác nhận một phần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phổ thể chế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phổ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w:t>
      </w:r>
      <w:r>
        <w:t xml:space="preserve"> </w:t>
      </w:r>
      <w:r>
        <w:rPr>
          <w:bCs/>
          <w:b/>
        </w:rPr>
        <w:t xml:space="preserve">một phần</w:t>
      </w:r>
      <w:r>
        <w:t xml:space="preserve"> </w:t>
      </w:r>
      <w:r>
        <w:t xml:space="preserve">H5 và tầng thể chế của khung lý thuyết CDCM. Phần</w:t>
      </w:r>
      <w:r>
        <w:t xml:space="preserve"> </w:t>
      </w:r>
      <w:r>
        <w:rPr>
          <w:bCs/>
          <w:b/>
        </w:rPr>
        <w:t xml:space="preserve">lõi</w:t>
      </w:r>
      <w:r>
        <w:t xml:space="preserve"> </w:t>
      </w:r>
      <w:r>
        <w:t xml:space="preserve">của H5 được xác nhận vững từ hai nguồn độc lập: chế độ thể chế quyết định không chỉ một biến điều tiết đơn lẻ mà là</w:t>
      </w:r>
      <w:r>
        <w:t xml:space="preserve"> </w:t>
      </w:r>
      <w:r>
        <w:rPr>
          <w:bCs/>
          <w:b/>
        </w:rPr>
        <w:t xml:space="preserve">cả một chế độ thể chế</w:t>
      </w:r>
      <w:r>
        <w:t xml:space="preserve"> </w:t>
      </w:r>
      <w:r>
        <w:t xml:space="preserve">chi phối sự tồn tại và vị trí của dạng hàm chữ U ngược (kiểm định tổng thể</w:t>
      </w:r>
      <w:r>
        <w:t xml:space="preserve"> </w:t>
      </w:r>
      <m:oMath>
        <m:sSub>
          <m:e>
            <m:r>
              <m:t>Q</m:t>
            </m:r>
          </m:e>
          <m:sub>
            <m:r>
              <m:t>M</m:t>
            </m:r>
          </m:sub>
        </m:sSub>
        <m:r>
          <m:rPr>
            <m:sty m:val="p"/>
          </m:rPr>
          <m:t>=</m:t>
        </m:r>
        <m:r>
          <m:t>17</m:t>
        </m:r>
        <m:r>
          <m:rPr>
            <m:sty m:val="p"/>
          </m:rPr>
          <m:t>,</m:t>
        </m:r>
        <m:r>
          <m:t>35</m:t>
        </m:r>
      </m:oMath>
      <w:r>
        <w:t xml:space="preserve"> </w:t>
      </w:r>
      <w:r>
        <w:t xml:space="preserve">của P6; phổ điểm uốn theo ICRV của P7). Tuy nhiên,</w:t>
      </w:r>
      <w:r>
        <w:t xml:space="preserve"> </w:t>
      </w:r>
      <w:r>
        <w:rPr>
          <w:bCs/>
          <w:b/>
        </w:rPr>
        <w:t xml:space="preserve">định hướng phổ thể chế đơn điệu</w:t>
      </w:r>
      <w:r>
        <w:t xml:space="preserve"> </w:t>
      </w:r>
      <w:r>
        <w:t xml:space="preserve">như H5 phát biểu (tác động mạnh nhất ở nhóm thể chế yếu, giảm dần đến nhóm tiên tiến — vận hành hóa thành mệnh đề thăm dò E1a/E1b)</w:t>
      </w:r>
      <w:r>
        <w:t xml:space="preserve"> </w:t>
      </w:r>
      <w:r>
        <w:rPr>
          <w:bCs/>
          <w:b/>
        </w:rPr>
        <w:t xml:space="preserve">chưa được xác nhận</w:t>
      </w:r>
      <w:r>
        <w:t xml:space="preserve">: ở P6, ý nghĩa của</w:t>
      </w:r>
      <w:r>
        <w:t xml:space="preserve"> </w:t>
      </w:r>
      <m:oMath>
        <m:sSub>
          <m:e>
            <m:r>
              <m:t>Q</m:t>
            </m:r>
          </m:e>
          <m:sub>
            <m:r>
              <m:t>M</m:t>
            </m:r>
          </m:sub>
        </m:sSub>
      </m:oMath>
      <w:r>
        <w:t xml:space="preserve"> </w:t>
      </w:r>
      <w:r>
        <w:t xml:space="preserve">bị chi phối bởi nhóm Frontier</w:t>
      </w:r>
      <w:r>
        <w:t xml:space="preserve"> </w:t>
      </w:r>
      <m:oMath>
        <m:r>
          <m:t>k</m:t>
        </m:r>
        <m:r>
          <m:rPr>
            <m:sty m:val="p"/>
          </m:rPr>
          <m:t>=</m:t>
        </m:r>
        <m:r>
          <m:t>3</m:t>
        </m:r>
      </m:oMath>
      <w:r>
        <w:t xml:space="preserve"> </w:t>
      </w:r>
      <w:r>
        <w:t xml:space="preserve">(một nghiên cứu ngoại lai chi phối), còn các tương phản giữa các nhóm đông quan sát (I, II, III, MX) đều không có ý nghĩa; ở P7, gradient thực nghiệm mang dạng</w:t>
      </w:r>
      <w:r>
        <w:t xml:space="preserve"> </w:t>
      </w:r>
      <w:r>
        <w:rPr>
          <w:bCs/>
          <w:b/>
        </w:rPr>
        <w:t xml:space="preserve">ba vùng phi đơn điệu</w:t>
      </w:r>
      <w:r>
        <w:t xml:space="preserve"> </w:t>
      </w:r>
      <w:r>
        <w:t xml:space="preserve">(chữ U ngược sắc nét ở vùng giữa, duỗi thẳng ở biên trên, mất cấu trúc ở biên dưới) chứ không phải một dốc đơn điệu. Nói cách khác, bằng chứng xác nhận rằng thể chế</w:t>
      </w:r>
      <w:r>
        <w:t xml:space="preserve"> </w:t>
      </w:r>
      <w:r>
        <w:rPr>
          <w:iCs/>
          <w:i/>
        </w:rPr>
        <w:t xml:space="preserve">định hình</w:t>
      </w:r>
      <w:r>
        <w:t xml:space="preserve"> </w:t>
      </w:r>
      <w:r>
        <w:t xml:space="preserve">dạng quan hệ, nhưng</w:t>
      </w:r>
      <w:r>
        <w:t xml:space="preserve"> </w:t>
      </w:r>
      <w:r>
        <w:rPr>
          <w:iCs/>
          <w:i/>
        </w:rPr>
        <w:t xml:space="preserve">chiều</w:t>
      </w:r>
      <w:r>
        <w:t xml:space="preserve"> </w:t>
      </w:r>
      <w:r>
        <w:t xml:space="preserve">của phổ thể chế phong phú hơn giả thuyết đơn điệu ban đầu — một tinh chỉnh lý thuyết hơn là một bác bỏ. lý thuyết thể chế của North (1990) và Khanna và Palepu (2010) dự đoán rằng thể chế định hình chi phí giao dịch và cấu trúc khuyến khích; kết quả ICRV phổ thể chế là biểu hiện thực nghiệm của cơ chế này ở quy mô 50 nền kinh tế châu Á và Thái Bình Dương (P7).</w:t>
      </w:r>
    </w:p>
    <w:p>
      <w:pPr>
        <w:pStyle w:val="BodyText"/>
      </w:pPr>
      <w:r>
        <w:t xml:space="preserve">Về mặt lý thuyết, phổ thể chế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phổ thể chế: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22"/>
    <w:bookmarkStart w:id="23" w:name="X09a4922d1c0cba8acfc2d36ce447b46819a36c1"/>
    <w:p>
      <w:pPr>
        <w:pStyle w:val="Heading3"/>
      </w:pPr>
      <w:r>
        <w:t xml:space="preserve">5.1.2 TCI là Năng Lực Nền Tảng: Xác nhận một phần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quốc tế hóa và hiệu quả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năng lực hấp thụ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chỉ số chấp nhận số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Tầng 1 và 2), DAI phát huy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Tầng 1 only, IV-estimated), DAI không có ý nghĩa phản ánh hạn chế đo lường và thiên lệch chọn lựa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không có ý nghĩa về DAI tại Việt Nam (P3) và các bối cảnh thấp hơn không nhất thiết bác bỏ H3, mà còn phản ánh hạn chế đo lường: Tầng 1 DAI (website, email, online sales) chưa nắm bắt được chiều sâu của năng lực số. Khi DAI được đo bằng Tầng 1 và 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năng lực số</w:t>
      </w:r>
      <w:r>
        <w:t xml:space="preserve">”</w:t>
      </w:r>
      <w:r>
        <w:t xml:space="preserve"> </w:t>
      </w:r>
      <w:r>
        <w:t xml:space="preserve">theo nghĩa của năng lực động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=,087), nhất quán về chiều với lập luận này nhưng cần kiểm định nhân quả chặt hơn trước khi khẳng định.</w:t>
      </w:r>
    </w:p>
    <w:bookmarkEnd w:id="24"/>
    <w:bookmarkStart w:id="25"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104</m:t>
        </m:r>
      </m:oMath>
      <w:r>
        <w:t xml:space="preserve">,</w:t>
      </w:r>
      <w:r>
        <w:t xml:space="preserve"> </w:t>
      </w:r>
      <m:oMath>
        <m:r>
          <m:t>p</m:t>
        </m:r>
        <m:r>
          <m:rPr>
            <m:sty m:val="p"/>
          </m:rPr>
          <m:t>&lt;</m:t>
        </m:r>
        <m:r>
          <m:rPr>
            <m:sty m:val="p"/>
          </m:rPr>
          <m:t>,</m:t>
        </m:r>
        <m:r>
          <m:t>001</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gộp toàn mẫu (P7) và cần kiểm định riêng biệt theo từng bối cảnh ICRV để hiểu đầy đủ điều kiện biên của biến điều tiết cấp quản trị. kết quả không có ý nghĩa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của P8; cần đọc cùng giới hạn dữ liệu ở Mục 4.7.8, theo đó kết quả mang tính thăm dò và nhạy cảm với phiên bản dữ liệu)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hoạt động kinh doanh của doanh nghiệp.</w:t>
      </w:r>
    </w:p>
    <w:p>
      <w:pPr>
        <w:pStyle w:val="BodyText"/>
      </w:pPr>
      <w:r>
        <w:t xml:space="preserve">Phát hiện vững trên mẫu đầy đủ bảy nền đảo nhỏ Thái Bình Dương (</w:t>
      </w:r>
      <m:oMath>
        <m:r>
          <m:t>N</m:t>
        </m:r>
        <m:r>
          <m:rPr>
            <m:sty m:val="p"/>
          </m:rPr>
          <m:t>=</m:t>
        </m:r>
        <m:r>
          <m:t>1.450</m:t>
        </m:r>
      </m:oMath>
      <w:r>
        <w:t xml:space="preserve">) là</w:t>
      </w:r>
      <w:r>
        <w:t xml:space="preserve"> </w:t>
      </w:r>
      <w:r>
        <w:rPr>
          <w:bCs/>
          <w:b/>
        </w:rPr>
        <w:t xml:space="preserve">việc dạng chữ U ngược mất cấu trúc</w:t>
      </w:r>
      <w:r>
        <w:t xml:space="preserve"> </w:t>
      </w:r>
      <w:r>
        <w:t xml:space="preserve">(độ dốc không có ý nghĩa và độ cong chỉ đạt mức biên), tương phản sắc nét với chữ U ngược của lục địa; FIP được hiểu như</w:t>
      </w:r>
      <w:r>
        <w:t xml:space="preserve"> </w:t>
      </w:r>
      <w:r>
        <w:rPr>
          <w:bCs/>
          <w:b/>
        </w:rPr>
        <w:t xml:space="preserve">trường hợp giới hạn lý thuyết</w:t>
      </w:r>
      <w:r>
        <w:t xml:space="preserve"> </w:t>
      </w:r>
      <w:r>
        <w:t xml:space="preserve">của sự mất cấu trúc này, tức chiều hướng mà quan hệ nghiêng về khi quốc tế hóa cưỡng bức chi phối hoàn toàn, chứ không phải một quan hệ âm đơn điệu đã được ước lượng vững. Dù theo hướng giới hạn hay theo bằng chứng mất cấu trúc, hàm ý chung là không có mức FSTS nào mà doanh nghiệp SIDS có thể tận dụng để cải thiện hiệu quả thông qua xuất khẩu trong điều kiện hiện tại. Đây là ranh giới biên lý thuyết quan trọng cho các mô hình phi tuyến phổ quát trong tài liệu về quan hệ quốc tế hóa và hiệu quả.</w:t>
      </w:r>
    </w:p>
    <w:p>
      <w:r>
        <w:pict>
          <v:rect style="width:0;height:1.5pt" o:hralign="center" o:hrstd="t" o:hr="t"/>
        </w:pict>
      </w:r>
    </w:p>
    <w:bookmarkEnd w:id="26"/>
    <w:bookmarkStart w:id="2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Tầng 2 thay thế Tầng 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pPr>
        <w:pStyle w:val="BodyText"/>
      </w:pPr>
      <w:r>
        <w:t xml:space="preserve">Đặt trường hợp Ấn Độ cạnh hai bối cảnh chuyển đổi khác làm rõ kết luận về</w:t>
      </w:r>
      <w:r>
        <w:t xml:space="preserve"> </w:t>
      </w:r>
      <w:r>
        <w:rPr>
          <w:bCs/>
          <w:b/>
        </w:rPr>
        <w:t xml:space="preserve">dị biệt thời gian (H6)</w:t>
      </w:r>
      <w:r>
        <w:t xml:space="preserve">, vốn được kiểm định trực tiếp ở P5 và P3: tại Trung Quốc, điểm uốn ổn định giữa hai đợt 2012–2024 (kiểm định Paternoster không bác bỏ tính bằng nhau,</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trong khi tại Việt Nam điểm uốn dịch chuyển có ý nghĩa giữa 2009 và 2015. H6 do đó</w:t>
      </w:r>
      <w:r>
        <w:t xml:space="preserve"> </w:t>
      </w:r>
      <w:r>
        <w:rPr>
          <w:bCs/>
          <w:b/>
        </w:rPr>
        <w:t xml:space="preserve">không được xác nhận như một xu hướng thời gian đơn điệu</w:t>
      </w:r>
      <w:r>
        <w:t xml:space="preserve">, mà được tinh chỉnh thành một mệnh đề có điều kiện: dạng hàm quốc tế hóa–hiệu quả chỉ dịch chuyển (Việt Nam) hoặc mất cấu trúc (Ấn Độ 2025) khi tốc độ và biên độ thay đổi thể chế đủ lớn, còn giữ ổn định khi thể chế trưởng thành có trật tự (Trung Quốc) — nhất quán với cách đọc rằng thời gian tự nó không phải biến điều tiết, mà là vận tốc biến động thể chế tích lũy.</w:t>
      </w:r>
    </w:p>
    <w:p>
      <w:r>
        <w:pict>
          <v:rect style="width:0;height:1.5pt" o:hralign="center" o:hrstd="t" o:hr="t"/>
        </w:pict>
      </w:r>
    </w:p>
    <w:bookmarkEnd w:id="27"/>
    <w:bookmarkStart w:id="28" w:name="Xa3158dd5136100cab093ef0569110b9c1bb5fc2"/>
    <w:p>
      <w:pPr>
        <w:pStyle w:val="Heading3"/>
      </w:pPr>
      <w:r>
        <w:t xml:space="preserve">5.1.7 Tích hợp ba vùng của phổ thể chế: từ chữ U ngược đến mất cấu trúc và đảo dấu</w:t>
      </w:r>
    </w:p>
    <w:p>
      <w:pPr>
        <w:pStyle w:val="FirstParagraph"/>
      </w:pPr>
      <w:r>
        <w:t xml:space="preserve">Khi đặt cạnh nhau bảy nghiên cứu thành phần thực nghiệm, một cấu trúc ba vùng nổi lên như trục diễn giải trung tâm của khung lý thuyết CDCM, không phải dưới dạng ba kết quả rời rạc mà như ba đoạn liên tục của cùng một họ đường cong phụ thuộc bối cảnh. Ở vùng giữa của phổ thể chế (chế độ chuyển đổi bậc thấp–trung, Nhóm IV), chữ U ngược định hình rõ nét và tin cậy nhất: điểm uốn toàn mẫu của Nhóm IV ở mức 43,0% (P7) trùng khớp đáng kể với các ước lượng đơn quốc gia độc lập là Việt Nam 39–46% (P3) và Ấn Độ 40,7% năm 2022 (P9). Sự hội tụ của ba ước lượng từ ba nguồn dữ liệu khác nhau quanh một dải hẹp là bằng chứng nội tại mạnh về tính vững của dạng hàm trong chế độ chuyển đổi.</w:t>
      </w:r>
    </w:p>
    <w:p>
      <w:pPr>
        <w:pStyle w:val="BodyText"/>
      </w:pPr>
      <w:r>
        <w:t xml:space="preserve">Ở biên trên của phổ thể chế (chế độ tiên tiến đổi mới, Nhóm I), đường cong duỗi thẳng thành quan hệ gần tuyến tính dương, với nhánh đi xuống bị đẩy ra ngoài miền cường độ xuất khẩu quan sát được. Ba nguồn bằng chứng độc lập hội tụ về kết luận này: Singapore với điểm uốn ước lượng quanh 88,6% nhưng không định vị tin cậy (P4); ước lượng cấp nhóm Advanced trên khung 50 nền với điểm uốn ngoài miền dữ liệu (P7); và Nhật Bản với hiệu ứng tuyến tính dương cao (+0,671, p &lt; 0,001) trong khi số hạng bậc hai không bao giờ tiệm cận ý nghĩa qua mọi đặc tả (P10). Bằng chứng Nhật Bản mang sức nặng đặc biệt vì chính các tập đoàn đa quốc gia Nhật Bản là nơi giả thuyết phi tuyến được thiết lập ban đầu; việc nền kinh tế này, khi được quan sát trên bộ công cụ hài hòa, lại nằm trọn trên một nhánh đi lên dài, xác nhận rằng dạng phi tuyến cổ điển là kết quả có điều kiện chứ không phải quy luật phổ quát.</w:t>
      </w:r>
    </w:p>
    <w:p>
      <w:pPr>
        <w:pStyle w:val="BodyText"/>
      </w:pPr>
      <w:r>
        <w:t xml:space="preserve">Ở biên dưới của phổ thể chế (chế độ đang nổi và đảo nhỏ, Nhóm V và VI), quan hệ mất cấu trúc theo hai mức độ khác nhau. Tại Nhóm V, các hệ số không còn ý nghĩa thống kê và dạng hàm mất cấu trúc (P7). Tại Nhóm VI là các nền kinh tế đảo nhỏ, phát hiện vững là dạng chữ U ngược</w:t>
      </w:r>
      <w:r>
        <w:t xml:space="preserve"> </w:t>
      </w:r>
      <w:r>
        <w:rPr>
          <w:bCs/>
          <w:b/>
        </w:rPr>
        <w:t xml:space="preserve">mất cấu trúc</w:t>
      </w:r>
      <w:r>
        <w:t xml:space="preserve"> </w:t>
      </w:r>
      <w:r>
        <w:t xml:space="preserve">(độ dốc không có ý nghĩa và độ cong chỉ đạt mức biên trên mẫu đầy đủ bảy nền Thái Bình Dương), với quan hệ nghiêng về một dạng âm đơn điệu như trường hợp giới hạn lý thuyết, gánh nặng quốc tế hóa bắt buộc (hệ số −1,339 chỉ xuất hiện trên một bản dựng dữ liệu hạn chế ba cụm, mang tính minh họa và nhạy cảm với phiên bản dữ liệu, xem Mục 4.7.8). Như vậy, ba vùng không phải là ba hiện tượng tách biệt mà là biểu hiện liên tục của cùng một cơ chế thể chế: khi đệm thể chế dày, dư địa quốc tế hóa có lợi mở rộng đến mức nhánh suy giảm biến mất; khi đệm thể chế mỏng dần, điểm uốn dịch về phía trái và độ cong sắc nét lên; khi đệm thể chế cạn kiệt, bản thân điểm tối ưu biến mất và phần thưởng của quốc tế hóa chuyển thành tổn thất.</w:t>
      </w:r>
    </w:p>
    <w:p>
      <w:pPr>
        <w:pStyle w:val="BodyText"/>
      </w:pPr>
      <w:r>
        <w:t xml:space="preserve">Một sắc thái quan trọng phân biệt hai cơ chế tạo ra chữ U ngược dọc theo phổ thể chế. Bằng chứng Việt Nam (P3) cho thấy độ cong toàn mẫu trong chế độ chuyển đổi được nhận diện chủ yếu qua biên tham gia, tức bước nhảy năng suất khi doanh nghiệp chuyển từ không xuất khẩu sang xuất khẩu (biên tham gia), chứ không qua độ cong cường độ trong nhóm doanh nghiệp đã xuất khẩu (biên cường độ); khi tái ước lượng chỉ trên doanh nghiệp xuất khẩu, số hạng bậc hai mất ý nghĩa. Bằng chứng Nhật Bản (P10) cho thấy ở biên trên, cơ chế cũng vận hành qua biên tham gia nhưng theo logic tự chọn lọc Melitz (2003): câu hỏi ràng buộc không phải doanh nghiệp xuất khẩu bao nhiêu mà là có xuất khẩu hay không, với phần bù năng suất 25,8% cho doanh nghiệp xuất khẩu. Sự dịch chuyển trọng tâm từ biên cường độ ở chế độ chuyển đổi sang biên tham gia ở chế độ tiên tiến là một tinh chỉnh lý thuyết mà khung CDCM phiên bản ban đầu chưa nêu bật, và nó cung cấp một giải thích thống nhất cho việc vì sao đường cong duỗi thẳng ở biên trên.</w:t>
      </w:r>
    </w:p>
    <w:bookmarkEnd w:id="28"/>
    <w:bookmarkEnd w:id="29"/>
    <w:bookmarkStart w:id="37" w:name="so-sánh-với-nghiên-cứu-trước-đây"/>
    <w:p>
      <w:pPr>
        <w:pStyle w:val="Heading2"/>
      </w:pPr>
      <w:r>
        <w:t xml:space="preserve">5.2 So sánh với nghiên cứu trước đây</w:t>
      </w:r>
    </w:p>
    <w:bookmarkStart w:id="30" w:name="nhất-quán-với-cơ-sở-icbef-2024"/>
    <w:p>
      <w:pPr>
        <w:pStyle w:val="Heading3"/>
      </w:pPr>
      <w:r>
        <w:t xml:space="preserve">5.2.1 Nhất quán với cơ sở ICBEF 2024</w:t>
      </w:r>
    </w:p>
    <w:p>
      <w:pPr>
        <w:pStyle w:val="FirstParagraph"/>
      </w:pPr>
      <w:r>
        <w:t xml:space="preserve">Kết quả hiệu ứng gộp</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phân tích tổng hợp cơ sở đã công bố tại hội nghị ICBEF 2024 (nghiên cứu thành phần P1–P2 của luận án). Sự hội tụ này là đáng kể vì P6 mở rộng mẫu gộp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hiệu ứng gộp khi mở rộng mẫu gộp nghiên cứu là bằng chứng về tính ổn định của cơ sở ước lượng.</w:t>
      </w:r>
    </w:p>
    <w:p>
      <w:pPr>
        <w:pStyle w:val="BodyText"/>
      </w:pPr>
      <w:r>
        <w:t xml:space="preserve">Tuy nhiên, đóng góp của P6 so với cơ sở không phải ở gộp</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phân tích tổng hợp đơn tầng không cung cấp. Điều này thay đổi hiểu biết về nguồn gốc của dị biệt trong tài liệu, vấn đề chủ yếu là</w:t>
      </w:r>
      <w:r>
        <w:t xml:space="preserve"> </w:t>
      </w:r>
      <w:r>
        <w:rPr>
          <w:bCs/>
          <w:b/>
        </w:rPr>
        <w:t xml:space="preserve">đo lường bên trong nghiên cứu</w:t>
      </w:r>
      <w:r>
        <w:t xml:space="preserve">, không phải sự bất đồng căn bản giữa các nghiên cứu.</w:t>
      </w:r>
    </w:p>
    <w:bookmarkEnd w:id="30"/>
    <w:bookmarkStart w:id="31"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quốc tế hóa và hiệu quả. Lu và Beamish (2004) tìm điểm uốn khoảng 60% FSTS trong mẫu doanh nghiệp Nhật Bản, trong khi Contractor et al. (2003) đề xuất đường cong chữ S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tiên tiến đổi mới; lưu ý điểm uốn này không định vị tin cậy do CI vượt ngưỡng khả thi, xem Mục 4.3) đến TP ≈ 39,7% (Việt Nam pooled, chuyển đổi thu nhập trung bình thấp),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tại SIDS, nơi dạng chữ U ngược</w:t>
      </w:r>
      <w:r>
        <w:t xml:space="preserve"> </w:t>
      </w:r>
      <w:r>
        <w:rPr>
          <w:bCs/>
          <w:b/>
        </w:rPr>
        <w:t xml:space="preserve">mất cấu trúc</w:t>
      </w:r>
      <w:r>
        <w:t xml:space="preserve"> </w:t>
      </w:r>
      <w:r>
        <w:t xml:space="preserve">(không còn độ cong hay độ dốc có ý nghĩa) thay vì tuân theo đường cong chữ S hay chữ U ngược; FIP được nêu như trường hợp giới hạn lý thuyết của sự mất cấu trúc đó, một biên mà cả lý thuyết ba giai đoạn lẫn đường cong chữ S đều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tài liệu Lu và Beamish.</w:t>
      </w:r>
    </w:p>
    <w:bookmarkEnd w:id="31"/>
    <w:bookmarkStart w:id="32" w:name="Xeac187370c14c6793689f905820e65acbeee337"/>
    <w:p>
      <w:pPr>
        <w:pStyle w:val="Heading3"/>
      </w:pPr>
      <w:r>
        <w:t xml:space="preserve">5.2.3 Mở rộng Marano et al. (2016): ICRV thay thế phân loại thể chế nhị phân</w:t>
      </w:r>
    </w:p>
    <w:p>
      <w:pPr>
        <w:pStyle w:val="FirstParagraph"/>
      </w:pPr>
      <w:r>
        <w:t xml:space="preserve">Marano et al. (2016) là phân tích tổng hợp quan trọng nhất trong tài liệu gần đây, cung cấp bằng chứng về vai trò điều tiết của thể chế quốc gia nguồn trong quan hệ quốc tế hóa và hiệu quả. Tuy nhiên, nghiên cứu này sử dụng phân loại nhị phân (phát triển so với mới nổi) hoặc điểm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khung ICRV sáu chế độ nắm bắt được sự đa dạng trong nội bộ nhóm mới nổi, phân biệt nhóm trung bình cao của Trung Quốc với nhóm chuyển đổi thu nhập trung bình thấp của Việt Nam, với nhóm đang nổi của Campuchia và nhóm đảo nhỏ; đồng thời phân biệt trong nhóm tiên tiến giữa chế độ tiên tiến đổi mới của Singapore và chế độ tiên tiến tài nguyên của các nền vùng Vịnh. Phân loại nhị phân bỏ sót sự biến thiên quan trọng này, dẫn đến mất thông tin về phổ thể chế. Quan trọng hơn việc mất thông tin, phân loại nhị phân tạo ra một sai lệch triệt tiêu dấu khi gộp: dưới một nhãn</w:t>
      </w:r>
      <w:r>
        <w:t xml:space="preserve"> </w:t>
      </w:r>
      <w:r>
        <w:t xml:space="preserve">“</w:t>
      </w:r>
      <w:r>
        <w:t xml:space="preserve">mới nổi</w:t>
      </w:r>
      <w:r>
        <w:t xml:space="preserve">”</w:t>
      </w:r>
      <w:r>
        <w:t xml:space="preserve"> </w:t>
      </w:r>
      <w:r>
        <w:t xml:space="preserve">duy nhất, hệ số điều tiết của Marano et al. (2016) lấy trung bình đồng thời các nền có độ cong chữ U ngược âm rõ (Trung Quốc, Việt Nam), các nền gần tuyến tính, và các nền đảo nhỏ có quan hệ âm đơn điệu (FIP) với độ cong bậc hai không tạo điểm uốn nội vùng; kết quả là một hệ số điều tiết gộp che lấp chính sự phân kỳ mà nó cần bộc lộ. Đóng góp của ICRV do đó không nằm ở chỗ</w:t>
      </w:r>
      <w:r>
        <w:t xml:space="preserve"> </w:t>
      </w:r>
      <w:r>
        <w:t xml:space="preserve">“</w:t>
      </w:r>
      <w:r>
        <w:t xml:space="preserve">có nhiều nhóm hơn</w:t>
      </w:r>
      <w:r>
        <w:t xml:space="preserve">”</w:t>
      </w:r>
      <w:r>
        <w:t xml:space="preserve"> </w:t>
      </w:r>
      <w:r>
        <w:t xml:space="preserve">mà ở chỗ tránh được hiện tượng triệt tiêu dấu trong nội bộ nhóm mới nổi, qua đó phục hồi thông tin phổ thể chế mà thước đo nhị phân làm mất.</w:t>
      </w:r>
    </w:p>
    <w:p>
      <w:pPr>
        <w:pStyle w:val="BodyText"/>
      </w:pPr>
      <w:r>
        <w:t xml:space="preserve">Ngoài ra, luận án sử dụng phương pháp MARA ba tầng để phân tách cấu trúc dị biệt, một cải tiến phương pháp so với phân tích tổng hợp hiệu ứng ngẫu nhiên đơn tầng của Marano et al. (2016).</w:t>
      </w:r>
    </w:p>
    <w:bookmarkEnd w:id="32"/>
    <w:bookmarkStart w:id="33" w:name="X14b1aa9024c551eefd38cfde193b66356c9f149"/>
    <w:p>
      <w:pPr>
        <w:pStyle w:val="Heading3"/>
      </w:pPr>
      <w:r>
        <w:t xml:space="preserve">5.2.4 Lý giải các kết quả nhân rộng quy mô lớn còn phân tán</w:t>
      </w:r>
    </w:p>
    <w:p>
      <w:pPr>
        <w:pStyle w:val="FirstParagraph"/>
      </w:pPr>
      <w:r>
        <w:t xml:space="preserve">Một làn sóng nghiên cứu nhân rộng quy mô lớn gần đây đặt lại câu hỏi về tính bền vững của quan hệ quốc tế hóa và hiệu quả. Pisani và cộng sự (2020), khi nhân rộng quan hệ đa quốc gia và hiệu quả trên mẫu xuyên quốc gia cỡ lớn, tìm thấy một quan hệ yếu và không nhất quán giữa các nước; Berry và Kaul (2016) kiểm chứng lại đường cong chữ S và kết luận rằng dạng hàm này không nhân rộng vững chắc; Kirca và cộng sự (2012), qua phân tích tổng hợp, cho thấy bối cảnh điều tiết mạnh quan hệ này. Điểm chung của ba nghiên cứu là một kết quả gộp bị suy giảm hoặc bất nhất khi nhiều bối cảnh được gộp chung mà không phân tầng thể chế.</w:t>
      </w:r>
    </w:p>
    <w:p>
      <w:pPr>
        <w:pStyle w:val="BodyText"/>
      </w:pPr>
      <w:r>
        <w:t xml:space="preserve">Bằng chứng ba vùng của luận án cung cấp một lời giải thích cấu trúc cho mô thức phân tán này. Khi gộp các nền kinh tế thuộc những chế độ thể chế khác nhau vào một ước lượng duy nhất, người ta đang lấy trung bình của ba dạng quan hệ khác nhau về bản chất: chữ U ngược sắc nét ở vùng chuyển đổi (Nhóm IV, điểm uốn quanh 43%), quan hệ gần tuyến tính dương ở biên thể chế mạnh (Nhóm I, điểm uốn nằm ngoài miền quan sát), và quan hệ mất cấu trúc hoặc đảo dấu ở biên thể chế yếu (Nhóm V và VI). Phép lấy trung bình này tất yếu tạo ra một tín hiệu gộp bị nén và bất ổn, đúng như các nghiên cứu nhân rộng ghi nhận. Như vậy, kết quả của luận án không mâu thuẫn với tài liệu nhân rộng mà giải thích nó: tính phân tán của các kết quả gộp không phải bằng chứng rằng quan hệ quốc tế hóa và hiệu quả là giả tạo, mà là hệ quả đo lường của việc bỏ qua phân tầng thể chế. Việc một nghiên cứu đơn quốc gia có tìm thấy chữ U ngược hay không phụ thuộc vào vùng thể chế mà nền kinh tế đó chiếm giữ, và đây chính là biến số mà các phép nhân rộng gộp đã làm mờ đi.</w:t>
      </w:r>
    </w:p>
    <w:p>
      <w:pPr>
        <w:pStyle w:val="BodyText"/>
      </w:pPr>
      <w:r>
        <w:t xml:space="preserve">Một phản biện sắc bén có thể nêu là bản thân cấu trúc ba vùng có nguy cơ là tạo tác của việc nhà nghiên cứu tự chọn điểm cắt ICRV, tức một dạng dò tìm đặc tả hậu nghiệm thay vì một quy luật. Hai đặc điểm của thiết kế bác bỏ cách đọc này. Thứ nhất, các điểm cắt ICRV được xác định trước trên các chỉ báo thể chế (chỉ số quản trị toàn cầu, mức phát triển, đặc trưng cấu trúc), độc lập với biến kết quả quốc tế hóa và hiệu quả, nên chúng không thể được nắn để khớp với hình dạng đường cong. Thứ hai, các ước lượng điểm uốn đơn quốc gia độc lập, Việt Nam (khoảng 39–46% qua ba đợt) và Trung Quốc (khoảng 47–49% qua hai đợt), hội tụ về cùng một dải vùng giữa mà không hề bị ràng buộc phải làm vậy, một sự trùng khớp ngoài mẫu khó nảy sinh từ việc dò tìm đặc tả. Hai đặc điểm này, kết hợp với tam giác hóa giữa phân tích tổng hợp và ước lượng gộp ở Mục 5.2.5, đặt cấu trúc ba vùng trên nền tảng xác nhận chéo chứ không phải trên tự do bậc đặc tả.</w:t>
      </w:r>
    </w:p>
    <w:bookmarkEnd w:id="33"/>
    <w:bookmarkStart w:id="34" w:name="Xf25f3308ff8d15e01513cc21db6ba5ba8cc8c9c"/>
    <w:p>
      <w:pPr>
        <w:pStyle w:val="Heading3"/>
      </w:pPr>
      <w:r>
        <w:t xml:space="preserve">5.2.5 Tam giác hóa giữa phân tích tổng hợp (P6) và ước lượng gộp toàn mẫu (P7)</w:t>
      </w:r>
    </w:p>
    <w:p>
      <w:pPr>
        <w:pStyle w:val="FirstParagraph"/>
      </w:pPr>
      <w:r>
        <w:t xml:space="preserve">Một nguồn củng cố độc lập cho luận điểm điều tiết thể chế đến từ sự hội tụ giữa hai phương pháp khác biệt về bản chất. Phân tích tổng hợp ba tầng (P6), vận hành trên các cỡ ảnh hưởng đã công bố từ nhiều nghiên cứu độc lập, ước lượng cỡ ảnh hưởng trung bình</w:t>
      </w:r>
      <w:r>
        <w:t xml:space="preserve"> </w:t>
      </w:r>
      <m:oMath>
        <m:acc>
          <m:accPr>
            <m:chr m:val="‾"/>
          </m:accPr>
          <m:e>
            <m:r>
              <m:t>r</m:t>
            </m:r>
          </m:e>
        </m:acc>
        <m:r>
          <m:rPr>
            <m:sty m:val="p"/>
          </m:rPr>
          <m:t>=</m:t>
        </m:r>
        <m:r>
          <m:t>0</m:t>
        </m:r>
        <m:r>
          <m:rPr>
            <m:sty m:val="p"/>
          </m:rPr>
          <m:t>,</m:t>
        </m:r>
        <m:r>
          <m:t>074</m:t>
        </m:r>
      </m:oMath>
      <w:r>
        <w:t xml:space="preserve"> </w:t>
      </w:r>
      <w:r>
        <w:t xml:space="preserve">với dị biệt đáng kể (</w:t>
      </w:r>
      <m:oMath>
        <m:sSup>
          <m:e>
            <m:r>
              <m:t>I</m:t>
            </m:r>
          </m:e>
          <m:sup>
            <m:r>
              <m:t>2</m:t>
            </m:r>
          </m:sup>
        </m:sSup>
        <m:r>
          <m:rPr>
            <m:sty m:val="p"/>
          </m:rPr>
          <m:t>=</m:t>
        </m:r>
        <m:r>
          <m:t>62</m:t>
        </m:r>
        <m:r>
          <m:rPr>
            <m:sty m:val="p"/>
          </m:rPr>
          <m:t>,</m:t>
        </m:r>
        <m:r>
          <m:t>4</m:t>
        </m:r>
        <m:r>
          <m:rPr>
            <m:sty m:val="p"/>
          </m:rPr>
          <m:t>%</m:t>
        </m:r>
      </m:oMath>
      <w:r>
        <w:t xml:space="preserve">) và xác nhận (qua kiểm định tổng thể, omnibus) rằng các chế độ thể chế ICRV khác biệt có ý nghĩa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kiểm định này chỉ khẳng định</w:t>
      </w:r>
      <w:r>
        <w:t xml:space="preserve"> </w:t>
      </w:r>
      <w:r>
        <w:rPr>
          <w:iCs/>
          <w:i/>
        </w:rPr>
        <w:t xml:space="preserve">có</w:t>
      </w:r>
      <w:r>
        <w:t xml:space="preserve"> </w:t>
      </w:r>
      <w:r>
        <w:t xml:space="preserve">khác biệt giữa các chế độ, còn cấu trúc</w:t>
      </w:r>
      <w:r>
        <w:t xml:space="preserve"> </w:t>
      </w:r>
      <w:r>
        <w:rPr>
          <w:iCs/>
          <w:i/>
        </w:rPr>
        <w:t xml:space="preserve">hướng</w:t>
      </w:r>
      <w:r>
        <w:t xml:space="preserve"> </w:t>
      </w:r>
      <w:r>
        <w:t xml:space="preserve">của gradient do P7 cung cấp chứ không phải P6 (xem Mục 4.6.2). Ước lượng gộp toàn mẫu trên dữ liệu doanh nghiệp gốc của 50 nền kinh tế (P7) đi đến cùng một kết luận bằng con đường hoàn toàn khác: cấu trúc thể chế của quan hệ hiện ra thành ba vùng rời rạc khi ước lượng điểm uốn trong từng nhóm ICRV.</w:t>
      </w:r>
    </w:p>
    <w:p>
      <w:pPr>
        <w:pStyle w:val="BodyText"/>
      </w:pPr>
      <w:r>
        <w:t xml:space="preserve">Sự hội tụ này có giá trị suy luận vượt quá tổng của hai phần. Phân tích tổng hợp và ước lượng gộp cấp doanh nghiệp chịu các nguồn thiên lệch khác nhau: phân tích tổng hợp dễ bị thiên lệch công bố và phụ thuộc vào chất lượng báo cáo của các nghiên cứu gốc, trong khi ước lượng gộp cấp doanh nghiệp dễ bị thiên lệch chọn lọc tham gia xuất khẩu và chênh lệch đo lường giữa các đợt khảo sát. Việc hai phương pháp với các điểm yếu không trùng nhau cùng định vị chế độ thể chế là biến điều tiết then chốt làm cho kết luận này khó có thể là tạo tác của một quy trình phân tích đơn lẻ. Đây là dạng tam giác hóa phương pháp mà các điểm yếu bù trừ lẫn nhau, nâng độ tin cậy của luận điểm trung tâm rằng thể chế quyết định không chỉ vị trí mà cả sự tồn tại của dạng hàm chữ U ngược.</w:t>
      </w:r>
    </w:p>
    <w:bookmarkEnd w:id="34"/>
    <w:bookmarkStart w:id="35" w:name="X13e848ae254d36f1c59beb529fc06decd65d406"/>
    <w:p>
      <w:pPr>
        <w:pStyle w:val="Heading3"/>
      </w:pPr>
      <w:r>
        <w:t xml:space="preserve">5.2.6 Đối chiếu với truyền thống đường cong chữ S và các kiểm định nhân rộng chữ S</w:t>
      </w:r>
    </w:p>
    <w:p>
      <w:pPr>
        <w:pStyle w:val="FirstParagraph"/>
      </w:pPr>
      <w:r>
        <w:t xml:space="preserve">Một dòng nghiên cứu song hành với truyền thống chữ U ngược là truyền thống đường cong chữ S ba giai đoạn, vốn lập luận rằng quan hệ quốc tế hóa và hiệu quả đi qua một giai đoạn đầu suy giảm (chi phí học hỏi), một giai đoạn giữa đi lên (khai thác lợi thế đa quốc gia), rồi một giai đoạn cuối lại suy giảm (chi phí điều phối vượt ngưỡng). Berry và Kaul (2016), khi kiểm định nhân rộng dạng chữ S trên mẫu xuyên quốc gia cỡ lớn, kết luận rằng dạng hàm bậc ba này không nhân rộng vững chắc và phần lớn bằng chứng ủng hộ nó nhạy cảm với cách đặc tả và mẫu. Phát hiện ba vùng của luận án cung cấp một cách đọc bổ sung cho kết quả nhân rộng âm này: nếu hình dạng quan hệ thực sự thay đổi theo chế độ thể chế, từ chữ U ngược sắc nét ở vùng chuyển đổi đến gần tuyến tính dương ở biên trên đến âm đơn điệu ở biên dưới, thì việc ép một dạng hàm bậc ba cố định lên một mẫu trộn lẫn nhiều chế độ thể chế tất yếu cho ra một ước lượng bất ổn. Nói cách khác, sự thất bại nhân rộng của dạng chữ S không nhất thiết bác bỏ tính phi tuyến mà có thể phản ánh việc bỏ qua tính không đồng nhất theo thể chế của bản thân dạng hàm.</w:t>
      </w:r>
    </w:p>
    <w:p>
      <w:pPr>
        <w:pStyle w:val="BodyText"/>
      </w:pPr>
      <w:r>
        <w:t xml:space="preserve">Bằng chứng Nhật Bản (P10) mang sức nặng đặc biệt trong đối chiếu này. Chính các tập đoàn đa quốc gia Nhật Bản là nơi cả giả thuyết chữ U ngược của Lu và Beamish (2004) lẫn giả thuyết chữ S được thiết lập ban đầu. Khi nền kinh tế này được quan sát trên bộ công cụ hài hòa của luận án, quan hệ lại nằm trọn trên một nhánh đi lên dài với phần bù năng suất cho doanh nghiệp xuất khẩu, không có điểm uốn trong miền quan sát. Sự khác biệt giữa kết quả này và điểm uốn khoảng 60% mà Lu và Beamish (2004) tìm thấy không phản ánh mâu thuẫn dữ liệu mà phản ánh khác biệt khung lấy mẫu: mẫu WBES Nhật Bản thiên về doanh nghiệp cơ sở với cường độ quốc tế hóa thấp, trong khi mẫu Lu và Beamish tập trung vào các tập đoàn đa quốc gia thâm dụng xuất khẩu cao, tức quan sát hai đoạn khác nhau của cùng một họ đường cong. Đối chiếu này củng cố luận điểm rằng dạng phi tuyến cổ điển là kết quả có điều kiện theo cả chế độ thể chế lẫn dải cường độ xuất khẩu được quan sát, chứ không phải một quy luật phổ quát, nhất quán với cảnh báo phương pháp của Haans và cộng sự (2016) về việc suy diễn dạng hàm phi tuyến từ những đoạn dữ liệu giới hạn.</w:t>
      </w:r>
    </w:p>
    <w:bookmarkEnd w:id="35"/>
    <w:bookmarkStart w:id="36" w:name="X09b1da89329931737a984ea1513fd5f13b0d821"/>
    <w:p>
      <w:pPr>
        <w:pStyle w:val="Heading3"/>
      </w:pPr>
      <w:r>
        <w:t xml:space="preserve">5.2.7 Đặt vào dòng nghiên cứu về điều tiết bởi môi trường của quan hệ năng lực và hiệu quả</w:t>
      </w:r>
    </w:p>
    <w:p>
      <w:pPr>
        <w:pStyle w:val="FirstParagraph"/>
      </w:pPr>
      <w:r>
        <w:t xml:space="preserve">Phát hiện rằng năng lực công nghệ nâng mặt bằng năng suất phổ quát còn vai trò uốn đường cong của chấp nhận số lại phụ thuộc bối cảnh thể chế có thể được đặt vào dòng nghiên cứu rộng hơn về vai trò điều tiết của môi trường trong quan hệ giữa năng lực và hiệu quả. Karna, Richter và Riesenkampff (2016), qua phân tích tổng hợp về quan hệ năng lực và hiệu quả tài chính, cho thấy động lực môi trường điều tiết một cách hệ thống mức độ mà năng lực chuyển hóa thành hiệu quả. Kết quả của luận án bổ sung một sắc thái cho kết luận đó: không phải mọi loại năng lực đều bị điều tiết đồng đều bởi môi trường thể chế. Năng lực công nghệ chiều sâu (TCI) hoạt động như một yếu tố nâng sàn gần như bất biến với chế độ thể chế, trong khi chấp nhận số (DAI) là nguồn lực tình huống có hiệu ứng uốn đường cong bị điều kiện hóa bởi tầng thể chế. Sự phân tách này tinh chỉnh kết luận tổng hợp của Karna và cộng sự (2016) theo hướng phân biệt loại năng lực: điều tiết môi trường tác động mạnh lên các nguồn lực bổ trợ phụ thuộc hệ sinh thái nhưng yếu lên các năng lực nền tảng nội sinh hóa trong doanh nghiệp.</w:t>
      </w:r>
    </w:p>
    <w:p>
      <w:pPr>
        <w:pStyle w:val="BodyText"/>
      </w:pPr>
      <w:r>
        <w:t xml:space="preserve">Hướng đối chiếu này cũng kết nối với lập luận của Kafouros và cộng sự (2023) rằng chất lượng thể chế và động lực ngành cùng định hình hiệu quả hoạt động kinh doanh của doanh nghiệp ở các nền kinh tế mới nổi, trong đó tính động công nghệ tạo tương tác dương còn tính động thị trường tạo tương tác âm. Bằng chứng phổ thể chế ICRV của luận án mở rộng quan sát này từ một mẫu khu vực sang khung 50 nền kinh tế châu Á và Thái Bình Dương, và bổ sung chiều quan trọng rằng chính dạng hàm của quan hệ quốc tế hóa và hiệu quả, chứ không chỉ độ lớn hệ số, thay đổi theo chất lượng thể chế. Đồng thời, lập luận về vai trò bù đắp của chấp nhận số ở các chế độ thể chế yếu nhất quán với tài liệu mới nổi về năng lực số như đòn bẩy quốc tế hóa cho doanh nghiệp nhỏ và vừa trong môi trường thể chế kém hoàn thiện (Banalieva &amp; Dhanaraj, 2019; Chen &amp; Meng, 2022), song luận án đặt một điều kiện biên rõ hơn: hiệu ứng bù đắp này phụ thuộc chiều sâu của thước đo năng lực số và không tự nó đảo được độ dốc âm ở những chế độ thể chế cực yếu như nhóm đảo nhỏ.</w:t>
      </w:r>
    </w:p>
    <w:p>
      <w:r>
        <w:pict>
          <v:rect style="width:0;height:1.5pt" o:hralign="center" o:hrstd="t" o:hr="t"/>
        </w:pict>
      </w:r>
    </w:p>
    <w:bookmarkEnd w:id="36"/>
    <w:bookmarkEnd w:id="37"/>
    <w:bookmarkStart w:id="46" w:name="đóng-góp-lý-thuyết"/>
    <w:p>
      <w:pPr>
        <w:pStyle w:val="Heading2"/>
      </w:pPr>
      <w:r>
        <w:t xml:space="preserve">5.3 Đóng góp lý thuyết</w:t>
      </w:r>
    </w:p>
    <w:bookmarkStart w:id="3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quốc tế hóa và hiệu quả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năng lực nền tảng (như TCI) mà là</w:t>
      </w:r>
      <w:r>
        <w:t xml:space="preserve"> </w:t>
      </w:r>
      <w:r>
        <w:rPr>
          <w:bCs/>
          <w:b/>
        </w:rPr>
        <w:t xml:space="preserve">nguồn lực tình huống</w:t>
      </w:r>
      <w:r>
        <w:t xml:space="preserve">, tài nguyên có vai trò thay đổi theo bối cảnh thể chế. Quan trọng: tương tác chế độ-yếu (FSTS×Weak = −0,523, p =,087, biên ý nghĩa) cho thấy hiệu ứng điều tiết của DAI</w:t>
      </w:r>
      <w:r>
        <w:t xml:space="preserve"> </w:t>
      </w:r>
      <w:r>
        <w:rPr>
          <w:bCs/>
          <w:b/>
        </w:rPr>
        <w:t xml:space="preserve">mạnh hơn</w:t>
      </w:r>
      <w:r>
        <w:t xml:space="preserve"> </w:t>
      </w:r>
      <w:r>
        <w:t xml:space="preserve">tại các nền kinh tế thể chế yếu hơn (đang nổi, SIDS),</w:t>
      </w:r>
      <w:r>
        <w:t xml:space="preserve"> </w:t>
      </w:r>
      <w:r>
        <w:t xml:space="preserve">“</w:t>
      </w:r>
      <w:r>
        <w:t xml:space="preserve">lá chắn số</w:t>
      </w:r>
      <w:r>
        <w:t xml:space="preserve">”</w:t>
      </w:r>
      <w:r>
        <w:t xml:space="preserve"> </w:t>
      </w:r>
      <w:r>
        <w:t xml:space="preserve">bù đắp cho thiếu hụt thể chế.</w:t>
      </w:r>
    </w:p>
    <w:p>
      <w:pPr>
        <w:pStyle w:val="BodyText"/>
      </w:pPr>
      <w:r>
        <w:t xml:space="preserve">Điều này có hàm ý lý thuyết quan trọng cho lý thuyết dựa trên nguồn lực và tài liệu năng lực số (Bhandari et al., 2023; Verhoef et al., 2021): không phải mọi nguồn lực số đều tạo ra lợi thế cạnh tranh theo cùng một cơ chế trong mọi bối cảnh. Giá trị của DAI là</w:t>
      </w:r>
      <w:r>
        <w:t xml:space="preserve"> </w:t>
      </w:r>
      <w:r>
        <w:rPr>
          <w:bCs/>
          <w:b/>
        </w:rPr>
        <w:t xml:space="preserve">tài sản bổ trợ</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8"/>
    <w:bookmarkStart w:id="39" w:name="X3b1084bbd444ca85d063deaaac052e856e27e72"/>
    <w:p>
      <w:pPr>
        <w:pStyle w:val="Heading3"/>
      </w:pPr>
      <w:r>
        <w:t xml:space="preserve">5.3.1.1 Phân biệt nâng mặt bằng phổ quát và uốn đường cong phi phổ quát</w:t>
      </w:r>
    </w:p>
    <w:p>
      <w:pPr>
        <w:pStyle w:val="FirstParagraph"/>
      </w:pPr>
      <w:r>
        <w:t xml:space="preserve">Một đóng góp lý thuyết tinh tế nhưng có hệ quả sâu của luận án là phân biệt rạch ròi giữa hai loại hiệu ứng mà các cấu trúc năng lực có thể tạo ra trên quan hệ quốc tế hóa và hiệu quả: hiệu ứng nâng mặt bằng (dịch chuyển toàn bộ đường cong lên trên) và hiệu ứng uốn đường cong (thay đổi hình dạng, độ dốc hoặc vị trí điểm uốn). Sự phân biệt này, vốn được hình thức hóa trong tài liệu kiểm định quan hệ phi tuyến của Haans, Pieters và He (2016), trở thành lăng kính tổ chức cho toàn bộ bằng chứng về TCI và DAI.</w:t>
      </w:r>
    </w:p>
    <w:p>
      <w:pPr>
        <w:pStyle w:val="BodyText"/>
      </w:pPr>
      <w:r>
        <w:t xml:space="preserve">Đối với năng lực công nghệ, bằng chứng hội tụ mạnh mẽ rằng đây là yếu tố nâng mặt bằng phổ quát: hiệu ứng trực tiếp dương và có ý nghĩa cao xuất hiện nhất quán ở mọi bối cảnh (Việt Nam +0,179 dạng biến công cụ; Trung Quốc từ +0,28 đến +0,43; toàn mẫu 50 nền +0,141; Nhật Bản +0,100; SIDS +0,064), trong khi các tương tác uốn đường cong với cường độ xuất khẩu không đạt ý nghĩa thống kê trên toàn mẫu và chỉ định hình ở một bối cảnh đơn quốc gia. Ngay cả tại SIDS, nơi dạng chữ U ngược mất cấu trúc, năng lực công nghệ vẫn nâng mặt bằng năng suất nhưng không thể uốn độ dốc sang vùng có lợi, một bằng chứng đặc biệt thuyết phục rằng vai trò của năng lực công nghệ là nâng sàn chứ không phải định hình đường cong.</w:t>
      </w:r>
    </w:p>
    <w:p>
      <w:pPr>
        <w:pStyle w:val="BodyText"/>
      </w:pPr>
      <w:r>
        <w:t xml:space="preserve">Đối với chấp nhận số, mô thức cũng tương tự nhưng với một khác biệt then chốt về cường độ ngữ cảnh. Hiệu ứng nâng mặt bằng của DAI là phổ quát và lớn hơn cả TCI trên toàn mẫu 50 nền (+0,201, p &lt; 0,001), nhưng vai trò uốn đường cong của nó không phổ quát: các tương tác đường cong trên toàn mẫu mang đúng chiều nén mà khung CDCM dự đoán nhưng không đạt ý nghĩa thống kê, và chỉ phát huy rõ rệt ở bối cảnh đặc thù (Singapore, tương tác bậc hai +3,119, p = 0,005). Phát hiện này tinh chỉnh đóng góp lý thuyết theo hướng quan trọng: sự khác biệt giữa TCI và DAI không nằm ở việc cái nào nâng mặt bằng (cả hai đều nâng), mà ở chỗ vai trò uốn đường cong của DAI bị điều kiện hóa bởi tầng phát triển thể chế và mức độ chiều sâu của thước đo, trong khi TCI thuần túy là yếu tố nền tảng nâng sàn. Đây là cơ sở thực nghiệm trực tiếp cho lập luận rằng năng lực công nghệ là năng lực nền tảng còn chấp nhận số là nguồn lực tình huống trong khung CDCM.</w:t>
      </w:r>
    </w:p>
    <w:p>
      <w:pPr>
        <w:pStyle w:val="BodyText"/>
      </w:pPr>
      <w:r>
        <w:t xml:space="preserve">Hệ quả phương pháp của phân biệt này không nhỏ. Tài liệu số hóa thường gộp hai cấu trúc thành một chỉ số tổng hợp duy nhất, làm che khuất chính sự khác biệt về cơ chế mà luận án phát hiện. Việc tách bạch TCI và DAI thành hai hợp phần hình thành độc lập, dựa trên các tiêu chí đo lường của Coltman và cộng sự (2008) và phân biệt khái niệm của Bharadwaj và cộng sự (2013), cho phép luận án nhận diện rằng hai nguồn lực số tham gia vào quan hệ quốc tế hóa và hiệu quả qua hai con đường khác nhau, một phát hiện không thể đạt được nếu chúng bị gộp chung.</w:t>
      </w:r>
    </w:p>
    <w:bookmarkEnd w:id="39"/>
    <w:bookmarkStart w:id="40"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hình phạt quốc tế hóa cưỡng bức</w:t>
      </w:r>
      <w:r>
        <w:t xml:space="preserve"> </w:t>
      </w:r>
      <w:r>
        <w:t xml:space="preserve">(Forced Internationalization Penalty, FIP), một cấu trúc lý thuyết mới chưa được định danh trong tài liệu kinh doanh quốc tế, như một hiện tượng lý thuyết độc lập, khác biệt về bản chất với nhánh đi xuống giai đoạn đầu trong đường cong chữ S. FIP không phải là giai đoạn đầu của quá trình học hỏi với chi phí học hỏi như mô hình Uppsala dự đoán, mà là một trạng thái cấu trúc bất lợi dài hạn: doanh nghiệp ở các nền đảo nhỏ phải xuất khẩu để tồn tại vì thị trường nội địa quá nhỏ, nhưng không có năng lực và môi trường để đạt lợi thế từ xuất khẩu. Cần nhấn mạnh rằng đóng góp này chủ yếu mang tính</w:t>
      </w:r>
      <w:r>
        <w:t xml:space="preserve"> </w:t>
      </w:r>
      <w:r>
        <w:rPr>
          <w:bCs/>
          <w:b/>
        </w:rPr>
        <w:t xml:space="preserve">khái niệm</w:t>
      </w:r>
      <w:r>
        <w:t xml:space="preserve">: FIP định danh một điều kiện biên lý thuyết của họ mô hình chữ U ngược. Bằng chứng thực nghiệm đi kèm (P8) mang tính</w:t>
      </w:r>
      <w:r>
        <w:t xml:space="preserve"> </w:t>
      </w:r>
      <w:r>
        <w:rPr>
          <w:bCs/>
          <w:b/>
        </w:rPr>
        <w:t xml:space="preserve">thăm dò</w:t>
      </w:r>
      <w:r>
        <w:t xml:space="preserve"> </w:t>
      </w:r>
      <w:r>
        <w:t xml:space="preserve">và nhạy cảm với phiên bản dữ liệu cũng như số nền đảo nhỏ có dữ liệu doanh nghiệp đầy đủ (Mục 4.7.8); việc kiểm định FIP một cách dứt khoát đòi hỏi mẫu doanh nghiệp đầy đủ hơn ở nhiều nền SIDS với số cụm đủ lớn cho suy luận hợp lệ — một hướng nghiên cứu tương lai trực tiếp. Giá trị của FIP vì vậy nằm ở chỗ nó</w:t>
      </w:r>
      <w:r>
        <w:t xml:space="preserve"> </w:t>
      </w:r>
      <w:r>
        <w:rPr>
          <w:bCs/>
          <w:b/>
        </w:rPr>
        <w:t xml:space="preserve">xác định ranh giới ứng dụng</w:t>
      </w:r>
      <w:r>
        <w:t xml:space="preserve"> </w:t>
      </w:r>
      <w:r>
        <w:t xml:space="preserve">của các lý thuyết quốc tế hóa phổ quát, độc lập với độ lớn chính xác của hệ số ước lượng được.</w:t>
      </w:r>
    </w:p>
    <w:p>
      <w:pPr>
        <w:pStyle w:val="BodyText"/>
      </w:pPr>
      <w:r>
        <w:t xml:space="preserve">Giá trị khái niệm của FIP được làm rõ qua việc phân biệt nó với bốn cấu trúc lân cận trong tài liệu, một phân biệt cần thiết để khẳng định FIP không phải là cách gọi mới của một ý tưởng cũ. Thứ nhất, khác với chi phí giai đoạn đầu trong lý thuyết ba giai đoạn (Contractor et al., 2003), vốn là chi phí học hỏi tạm thời sẽ được bù đắp sau khi vượt điểm uốn, FIP không có điểm uốn trong miền dữ liệu quan sát vì ràng buộc của nó mang tính cấu trúc chứ không phải giai đoạn. Thứ hai, khác với gánh nặng người nước ngoài (Zaheer, 1995), vốn vận hành ở phía thị trường đích khi doanh nghiệp nước ngoài thâm nhập, FIP vận hành ở phía thị trường nguồn, tức là phần thiệt mà chính doanh nghiệp đảo nhỏ gánh chịu khi xuất khẩu. Thứ ba, khác với khởi nghiệp do nhu cầu thiết yếu trong tài liệu khởi nghiệp, nơi doanh nhân trong bối cảnh phát triển có thể đạt ngang bằng hiệu quả khi có đủ thời gian và hỗ trợ thể chế, FIP đặc trưng cho bối cảnh nơi hỗ trợ thể chế vắng mặt một cách hệ thống, khiến con đường quốc tế hóa do cưỡng bức bị bất lợi dai dẳng. Thứ tư, khác với chỉ số tổn thương vĩ mô vốn đo mức phơi nhiễm của nền kinh tế trước cú sốc bên ngoài, FIP là một cấu trúc vi mô ở cấp doanh nghiệp, định danh chính cơ chế hiệu quả mà qua đó tổn thương cấu trúc vĩ mô chuyển hóa thành kết quả cấp doanh nghiệp.</w:t>
      </w:r>
    </w:p>
    <w:p>
      <w:pPr>
        <w:pStyle w:val="BodyText"/>
      </w:pPr>
      <w:r>
        <w:t xml:space="preserve">Đặt cạnh lý thuyết bàn đạp (Luo &amp; Tung, 2007), FIP còn mang một giá trị bổ sung: nó xác định điều kiện biên nơi chính logic bàn đạp thất bại. Lý thuyết bàn đạp giả định rằng doanh nghiệp nền kinh tế mới nổi có thể dùng quốc tế hóa như một bàn đạp để thâu nhận tài sản chiến lược và bù đắp bất lợi quê nhà. FIP cho thấy một chế độ thể chế, nhóm đảo nhỏ, nơi giả định này sụp đổ: doanh nghiệp buộc phải quốc tế hóa nhưng thiếu cả nền tảng quy mô nội địa lẫn đệm thể chế để biến quốc tế hóa thành tích lũy năng lực, nên không có bàn đạp nào để bật lên mà chỉ còn gánh nặng. Theo nghĩa này, luận án đóng góp một điều kiện biên cho lý thuyết bàn đạp: cơ chế bàn đạp chỉ vận hành khi tồn tại tối thiểu một nền tảng quy mô và một mức hỗ trợ thể chế; dưới ngưỡng đó, cùng một hành vi quốc tế hóa chuyển từ cơ chế xây dựng năng lực sang cơ chế bào mòn hiệu quả. Đây là một đóng góp lý thuyết kép: vừa định danh FIP như một hiện tượng độc lập, vừa định vị nó như ranh giới áp dụng của một lý thuyết quốc tế hóa nền mới nổi đang có ảnh hưởng, qua đó nối liền mạch lập luận từ lăng kính bàn đạp được giới thiệu ở Mục 2.2.3.1 đến trường hợp biên thực nghiệm của luận án.</w:t>
      </w:r>
    </w:p>
    <w:p>
      <w:pPr>
        <w:pStyle w:val="BodyText"/>
      </w:pPr>
      <w:r>
        <w:t xml:space="preserve">Khái niệm FIP do đó mở ra hướng nghiên cứu mới về</w:t>
      </w:r>
      <w:r>
        <w:t xml:space="preserve"> </w:t>
      </w:r>
      <w:r>
        <w:rPr>
          <w:bCs/>
          <w:b/>
        </w:rPr>
        <w:t xml:space="preserve">điều kiện biên của lý thuyết quốc tế hóa</w:t>
      </w:r>
      <w:r>
        <w:t xml:space="preserve">: trong điều kiện nào thì quốc tế hóa nhiều hơn luôn đồng nghĩa với hiệu quả kém hơn? Luận án đề xuất rằng FIP xuất hiện khi ba điều kiện đồng thời thỏa mãn: thứ nhất, thể chế ICRV ở mức thấp nhất; thứ hai, quy mô nền kinh tế quá nhỏ để tạo cơ sở nội địa; và thứ ba, thiếu hỗ trợ năng lực xuất khẩu từ chính sách. Kết hợp ba điều kiện này tạo ra một cái bẫy quốc tế hóa cưỡng bức mà không có điểm uốn để thoát khỏi. Về mặt lý thuyết, phát hiện này dịch chuyển trọng tâm của tài liệu từ mệnh đề</w:t>
      </w:r>
      <w:r>
        <w:t xml:space="preserve"> </w:t>
      </w:r>
      <w:r>
        <w:t xml:space="preserve">“</w:t>
      </w:r>
      <w:r>
        <w:t xml:space="preserve">thể chế điều tiết quan hệ quốc tế hóa và hiệu quả</w:t>
      </w:r>
      <w:r>
        <w:t xml:space="preserve">”</w:t>
      </w:r>
      <w:r>
        <w:t xml:space="preserve"> </w:t>
      </w:r>
      <w:r>
        <w:t xml:space="preserve">(Marano et al., 2016) sang một mệnh đề mạnh hơn:</w:t>
      </w:r>
      <w:r>
        <w:t xml:space="preserve"> </w:t>
      </w:r>
      <w:r>
        <w:t xml:space="preserve">“</w:t>
      </w:r>
      <w:r>
        <w:t xml:space="preserve">thể chế quyết định cả dấu của quan hệ quốc tế hóa và hiệu quả</w:t>
      </w:r>
      <w:r>
        <w:t xml:space="preserve">”</w:t>
      </w:r>
      <w:r>
        <w:t xml:space="preserve">.</w:t>
      </w:r>
    </w:p>
    <w:bookmarkEnd w:id="40"/>
    <w:bookmarkStart w:id="41" w:name="X32e974f098fd5f6a541421aa79c33111fe833eb"/>
    <w:p>
      <w:pPr>
        <w:pStyle w:val="Heading3"/>
      </w:pPr>
      <w:r>
        <w:t xml:space="preserve">5.3.3 Khung ICRV sáu chế độ: Phân loại thể chế đặc thù cho khu vực châu Á và Thái Bình Dương</w:t>
      </w:r>
    </w:p>
    <w:p>
      <w:pPr>
        <w:pStyle w:val="FirstParagraph"/>
      </w:pPr>
      <w:r>
        <w:t xml:space="preserve">Đóng góp lý thuyết thứ ba là phát triển và kiểm định</w:t>
      </w:r>
      <w:r>
        <w:t xml:space="preserve"> </w:t>
      </w:r>
      <w:r>
        <w:rPr>
          <w:bCs/>
          <w:b/>
        </w:rPr>
        <w:t xml:space="preserve">khung ICRV sáu chế độ</w:t>
      </w:r>
      <w:r>
        <w:t xml:space="preserve"> </w:t>
      </w:r>
      <w:r>
        <w:t xml:space="preserve">như một công cụ phân loại thể chế đặc thù cho khu vực châu Á và Thái Bình Dương, thay thế cho các phân loại nhị phân (phát triển và mới nổi) hoặc các thang điểm liên tục như chỉ số quản trị toàn cầu trong tài liệu hiện tại.</w:t>
      </w:r>
      <w:r>
        <w:t xml:space="preserve"> </w:t>
      </w:r>
      <w:r>
        <w:rPr>
          <w:bCs/>
          <w:b/>
        </w:rPr>
        <w:t xml:space="preserve">Lưu ý về phạm vi áp dụng:</w:t>
      </w:r>
      <w:r>
        <w:t xml:space="preserve"> </w:t>
      </w:r>
      <w:r>
        <w:t xml:space="preserve">khung sáu chế độ đầy đủ (Nhóm I tới VI, trong đó Nhóm VI là SIDS) được vận hành ở phân tích cấp doanh nghiệp (P7), nơi tồn tại các doanh nghiệp đảo nhỏ trong dữ liệu WBES; còn phân tích tổng hợp ba tầng (P6) sử dụng năm chế độ vì chế độ SIDS không có nghiên cứu sơ cấp công bố cung cấp cỡ ảnh hưởng quốc tế hóa–hiệu quả (</w:t>
      </w:r>
      <m:oMath>
        <m:r>
          <m:t>k</m:t>
        </m:r>
        <m:r>
          <m:rPr>
            <m:sty m:val="p"/>
          </m:rPr>
          <m:t>=</m:t>
        </m:r>
        <m:r>
          <m:t>0</m:t>
        </m:r>
      </m:oMath>
      <w:r>
        <w:t xml:space="preserve">), nên không thể đưa vào kiểm định giữa các chế độ ở cấp phân tích tổng hợp.</w:t>
      </w:r>
    </w:p>
    <w:p>
      <w:pPr>
        <w:pStyle w:val="BodyText"/>
      </w:pPr>
      <w:r>
        <w:t xml:space="preserve">Khung ICRV nắm bắt được sự đa dạng thể chế chưa từng được vận hành hóa đầy đủ: sự khác biệt giữa Singapore (chế độ tiên tiến đổi mới, kết hợp pháp quyền mạnh và hệ sinh thái đổi mới) với các nền vùng Vịnh (chế độ tiên tiến tài nguyên, giàu tài nguyên nhưng hệ sinh thái đổi mới khác biệt), và sự khác biệt giữa Trung Quốc (chế độ trung bình cao, chính phủ can thiệp mạnh) với Việt Nam (chế độ chuyển đổi thu nhập trung bình thấp, đang trong quá trình cải cách) và với Campuchia (chế độ đang nổi, khoảng trống thể chế cao). Khung ICRV không chỉ là một phân loại mô tả mà còn là một phân loại có sức dự đoán: vị trí và sự tồn tại của điểm uốn trong quan hệ quốc tế hóa và hiệu quả thay đổi có hệ thống theo ba vùng của phổ thể chế: chữ U ngược định hình rõ nhất ở vùng giữa (Nhóm IV, điểm uốn 43,0%), duỗi thẳng gần tuyến tính ở biên trên nơi thể chế mạnh đẩy điểm uốn ra mức cường độ xuất khẩu rất cao (Singapore khoảng 88,6%), và mất cấu trúc ở biên dưới; nghĩa là thể chế càng mạnh, doanh nghiệp càng duy trì lợi ích từ quốc tế hóa đến mức cường độ cao hơn trước khi đạt đỉnh, xác nhận giá trị dự đoán của phân loại.</w:t>
      </w:r>
    </w:p>
    <w:p>
      <w:r>
        <w:pict>
          <v:rect style="width:0;height:1.5pt" o:hralign="center" o:hrstd="t" o:hr="t"/>
        </w:pict>
      </w:r>
    </w:p>
    <w:bookmarkEnd w:id="41"/>
    <w:bookmarkStart w:id="42" w:name="X61786cb178b6b5fccafd093d17dbdb91bb4eb71"/>
    <w:p>
      <w:pPr>
        <w:pStyle w:val="Heading3"/>
      </w:pPr>
      <w:r>
        <w:t xml:space="preserve">5.3.4 Điều kiện ổn định thể chế như tiền đề ngầm của khung CDCM</w:t>
      </w:r>
    </w:p>
    <w:p>
      <w:pPr>
        <w:pStyle w:val="FirstParagraph"/>
      </w:pPr>
      <w:r>
        <w:t xml:space="preserve">Đóng góp lý thuyết thứ tư, nổi lên từ bằng chứng Ấn Độ (P9), là xác định một tiền đề ngầm mà phiên bản ban đầu của khung CDCM chưa nêu rõ: bản thân sự tồn tại của chữ U ngược giả định một môi trường thể chế ổn định tương đối trong cửa sổ quan sát. Phát hiện ngưỡng tan biến tại Ấn Độ, với điểm uốn dịch chuyển từ 61,8% năm 2014 xuống 40,7% năm 2022 rồi mất ý nghĩa độ cong năm 2025 dưới áp lực tích lũy của một chuỗi cú sốc thể chế cực đoan, cho thấy biến động thể chế đủ lớn có thể hòa tan chứ không chỉ dịch chuyển điểm tối ưu. Sự đối lập trực tiếp với Trung Quốc, nơi điểm uốn bền vững cấu trúc qua mười hai năm (Paternoster z = 0,82, p = 0,412), làm rõ rằng tính bền vững của ngưỡng không phải đặc tính cố hữu của một chế độ thể chế mà phụ thuộc vào tốc độ và biên độ thay đổi thể chế tích lũy.</w:t>
      </w:r>
    </w:p>
    <w:p>
      <w:pPr>
        <w:pStyle w:val="BodyText"/>
      </w:pPr>
      <w:r>
        <w:t xml:space="preserve">Phát hiện này tinh chỉnh khung CDCM theo hướng đệ quy: thể chế không chỉ là biến điều tiết quyết định vị trí điểm uốn (tầng tĩnh) mà còn là điều kiện ổn định nền cho phép một điểm tối ưu được hình thành (tầng động). Khi thể chế biến động quá nhanh, doanh nghiệp không kịp thiết lập kỳ vọng ổn định về phần thưởng của quốc tế hóa, và quan hệ quốc tế hóa và hiệu quả mất cấu trúc bất kể mức thu nhập của nền kinh tế. Hệ quả là khung CDCM không khẳng định chữ U ngược là quan hệ phổ quát mà là quan hệ có điều kiện kép: điều kiện về mức chất lượng thể chế (định vị điểm uốn) và điều kiện về độ ổn định thể chế (cho phép điểm uốn tồn tại).</w:t>
      </w:r>
    </w:p>
    <w:p>
      <w:pPr>
        <w:pStyle w:val="BodyText"/>
      </w:pPr>
      <w:r>
        <w:t xml:space="preserve">Bằng chứng Ấn Độ cũng tinh chỉnh một mệnh đề phụ trợ của khung về vai trò thay thế của hạ tầng số công cộng. Tương tác âm giữa chấp nhận số Tầng 2 (hạ tầng thanh toán hợp nhất UPI) và cường độ xuất khẩu (hệ số −4,02, p = 0,004) cho thấy hạ tầng số công cộng chỉ thay thế năng lực số tư nhân khi hai loại hạ tầng có cùng định hướng mục đích. Hạ tầng thanh toán nội địa vận hành trên đường ray nội tệ và yêu cầu định danh cư trú, không thể thay thế hạ tầng tài chính xuyên biên giới mà doanh nghiệp xuất khẩu yêu cầu. Mệnh đề tinh chỉnh này, rằng tính thay thế giữa hạ tầng công và năng lực tư là có điều kiện về định hướng mục đích chứ không phổ quát, là một đóng góp khái niệm bổ sung cho tài liệu về vai trò của thể chế công trong chuyển đổi số doanh nghiệp.</w:t>
      </w:r>
    </w:p>
    <w:bookmarkEnd w:id="42"/>
    <w:bookmarkStart w:id="43" w:name="X7499618036119d4d3a3f62eaaac92be96e0a89b"/>
    <w:p>
      <w:pPr>
        <w:pStyle w:val="Heading3"/>
      </w:pPr>
      <w:r>
        <w:t xml:space="preserve">5.3.5 Tích hợp bốn lý thuyết nền qua trục thể chế</w:t>
      </w:r>
    </w:p>
    <w:p>
      <w:pPr>
        <w:pStyle w:val="FirstParagraph"/>
      </w:pPr>
      <w:r>
        <w:t xml:space="preserve">Đóng góp lý thuyết thứ năm mang tính tích hợp: luận án cho thấy bốn lý thuyết nền của khung CDCM không phải là bốn cách giải thích cạnh tranh nhau cho cùng một hiện tượng, mà là bốn lớp giải thích vận hành đồng thời ở các tầng khác nhau và được liên kết bởi một trục chung là chế độ thể chế. Mô hình quá trình quốc tế hóa của Johanson và Vahlne (1977) giải thích vòng học hỏi qua đó doanh nghiệp tích lũy tri thức thị trường nước ngoài và tăng cam kết, cơ chế làm nền cho nhánh đi lên của đường cong ở các chế độ thể chế trung bình và cao. Lý thuyết dựa trên nguồn lực (Barney, 1991) giải thích vì sao năng lực công nghệ chiều sâu nâng mặt bằng năng suất một cách phổ quát: TCI là nguồn lực có giá trị, hiếm, khó sao chép và khó thay thế, nên hiệu ứng nâng sàn của nó không lệ thuộc vào chế độ thể chế. Lý thuyết thể chế (North, 1990; Khanna &amp; Palepu, 2010) giải thích vì sao điểm uốn dịch chuyển và vì sao quan hệ mất cấu trúc hoặc đảo dấu ở các chế độ thể chế yếu, qua cơ chế chi phí giao dịch và khoảng trống thể chế. Và lý thuyết thượng tầng quản trị (Hambrick &amp; Mason, 1984) giải thích kênh cá nhân hóa qua đặc điểm nhà quản trị cấp cao, kênh mà luận án cho thấy chỉ vận hành có điều kiện theo bối cảnh chứ không đồng nhất.</w:t>
      </w:r>
    </w:p>
    <w:p>
      <w:pPr>
        <w:pStyle w:val="BodyText"/>
      </w:pPr>
      <w:r>
        <w:t xml:space="preserve">Điểm tích hợp then chốt là cả bốn cơ chế đều bị điều kiện hóa bởi cùng một biến trục là chế độ thể chế ICRV. Vòng học hỏi Uppsala vận hành trơn tru khi đệm thể chế đủ dày nhưng bị gián đoạn khi khoảng trống thể chế quá lớn; lợi thế nguồn lực theo lý thuyết dựa trên nguồn lực được hiện thực hóa thành hiệu quả ở mọi chế độ nhưng phần thưởng biên của nó thay đổi theo độ dày của hệ sinh thái hỗ trợ; và kênh quản trị cấp cao phụ thuộc cấu trúc ngành và thể chế nơi doanh nghiệp hoạt động. Cách đọc tích hợp này lý giải vì sao một khung đơn lý thuyết không thể nắm bắt đầy đủ cấu trúc ba vùng: mỗi lý thuyết nền chiếu sáng một đoạn của họ đường cong, và chỉ khi xếp chồng cả bốn lớp dọc theo trục thể chế thì bức tranh liên tục từ chữ U ngược đến mất cấu trúc và đảo dấu mới hiện ra trọn vẹn. Đây là một đóng góp về mặt kiến trúc lý thuyết: thay vì lựa chọn một lý thuyết thắng cuộc, luận án định vị rõ phạm vi áp dụng và điều kiện biên của từng lý thuyết, và chỉ ra thể chế là biến liên kết chúng thành một hệ giải thích nhất quán.</w:t>
      </w:r>
    </w:p>
    <w:bookmarkEnd w:id="43"/>
    <w:bookmarkStart w:id="44" w:name="Xc3dc829c9666f9a37bdea499555b18a0609b2ac"/>
    <w:p>
      <w:pPr>
        <w:pStyle w:val="Heading3"/>
      </w:pPr>
      <w:r>
        <w:t xml:space="preserve">5.3.6 Hàm ý phương pháp luận cho nghiên cứu phi tuyến đa bối cảnh</w:t>
      </w:r>
    </w:p>
    <w:p>
      <w:pPr>
        <w:pStyle w:val="FirstParagraph"/>
      </w:pPr>
      <w:r>
        <w:t xml:space="preserve">Đóng góp lý thuyết thứ sáu mang tính phương pháp luận và có hệ quả vượt ra ngoài chủ đề quốc tế hóa và hiệu quả. Luận án minh họa cụ thể một vấn đề mà tài liệu kiểm định quan hệ phi tuyến đã cảnh báo ở mức nguyên tắc (Haans và cộng sự, 2016; Lind &amp; Mehlum, 2010): khi một dạng hàm phi tuyến được ước lượng trên một mẫu gộp nhiều bối cảnh không đồng nhất về cơ chế nền, hệ số bậc hai gộp và điểm uốn gộp có thể là một tạo tác của phép trộn chứ không phản ánh bất kỳ bối cảnh đơn lẻ nào. Bằng chứng của luận án cho thấy ba dạng quan hệ khác nhau về bản chất (chữ U ngược sắc nét, gần tuyến tính dương, âm đơn điệu) cùng tồn tại trong một mẫu khu vực, và việc gộp chúng tạo ra một tín hiệu nén và bất ổn đúng như các nghiên cứu nhân rộng quy mô lớn ghi nhận (Pisani và cộng sự, 2020; Berry &amp; Kaul, 2016).</w:t>
      </w:r>
    </w:p>
    <w:p>
      <w:pPr>
        <w:pStyle w:val="BodyText"/>
      </w:pPr>
      <w:r>
        <w:t xml:space="preserve">Hệ quả phương pháp luận trực tiếp là: trong nghiên cứu phi tuyến đa bối cảnh, việc phân tầng theo một biến điều tiết có cơ sở lý thuyết trước khi ước lượng dạng hàm không phải là một bước tinh chỉnh tùy chọn mà là điều kiện cần để diễn giải đúng. Khung phân loại thể chế ICRV mà luận án phát triển có thể coi là một ví dụ về cách vận hành hóa nguyên tắc này: thay vì hỏi</w:t>
      </w:r>
      <w:r>
        <w:t xml:space="preserve"> </w:t>
      </w:r>
      <w:r>
        <w:t xml:space="preserve">“</w:t>
      </w:r>
      <w:r>
        <w:t xml:space="preserve">dạng hàm trung bình là gì</w:t>
      </w:r>
      <w:r>
        <w:t xml:space="preserve">”</w:t>
      </w:r>
      <w:r>
        <w:t xml:space="preserve">, câu hỏi đúng là</w:t>
      </w:r>
      <w:r>
        <w:t xml:space="preserve"> </w:t>
      </w:r>
      <w:r>
        <w:t xml:space="preserve">“</w:t>
      </w:r>
      <w:r>
        <w:t xml:space="preserve">dạng hàm thay đổi như thế nào dọc theo chiều điều tiết có cơ sở lý thuyết</w:t>
      </w:r>
      <w:r>
        <w:t xml:space="preserve">”</w:t>
      </w:r>
      <w:r>
        <w:t xml:space="preserve">. Cách tiếp cận này cũng nhất quán với quan điểm về nhận dạng nhân quả tích lũy qua một khối nghiên cứu (Shaver, 2020): bằng chứng vững không đến từ một ước lượng gộp đơn lẻ mà từ sự hội tụ của nhiều nguồn dữ liệu và phương pháp với các điểm yếu không trùng nhau, đúng như tam giác hóa giữa phân tích tổng hợp P6 và ước lượng gộp toàn mẫu P7 đã trình bày ở Mục 5.2.5. Đây là một đóng góp mà giá trị của nó vượt ra ngoài chủ đề luận án, áp dụng được cho bất kỳ lĩnh vực nào mà quan hệ phi tuyến được kiểm định trên dữ liệu gộp từ nhiều bối cảnh thể chế khác biệt.</w:t>
      </w:r>
    </w:p>
    <w:bookmarkEnd w:id="44"/>
    <w:bookmarkStart w:id="45" w:name="X199901e49870a9d6e052a6e6d25749e642dce02"/>
    <w:p>
      <w:pPr>
        <w:pStyle w:val="Heading3"/>
      </w:pPr>
      <w:r>
        <w:t xml:space="preserve">5.3.7 Định vị trong chương trình nghị sự nền tảng vi mô của kinh doanh quốc tế</w:t>
      </w:r>
    </w:p>
    <w:p>
      <w:pPr>
        <w:pStyle w:val="FirstParagraph"/>
      </w:pPr>
      <w:r>
        <w:t xml:space="preserve">Đóng góp lý thuyết thứ bảy nằm ở cách luận án bắc cầu giữa cấp độ vĩ mô và cấp độ vi mô của phân tích, một hướng đang được giới kinh doanh quốc tế quan tâm mạnh dưới tên gọi nền tảng vi mô. Khung CDCM của luận án vốn đã phân tầng tường minh thành tầng vĩ mô (chế độ thể chế ICRV), tầng tổ chức (năng lực công nghệ và số), và tầng cá nhân (đặc điểm nhà quản trị cấp cao). Chính tương tác giữa tầng vĩ mô và tầng cá nhân, tức câu hỏi bối cảnh thể chế định hình hay ràng buộc nhận thức và quyết định của nhà quản trị như thế nào, là nội dung cốt lõi của chương trình nghị sự nền tảng vi mô.</w:t>
      </w:r>
    </w:p>
    <w:p>
      <w:pPr>
        <w:pStyle w:val="BodyText"/>
      </w:pPr>
      <w:r>
        <w:t xml:space="preserve">Lý thuyết thượng tầng quản trị (Hambrick &amp; Mason, 1984) từ lâu đã đặt nền cho cách đọc này khi lập luận rằng kết quả tổ chức là sự phản chiếu nhận thức và giá trị của nhà quản trị; bước tiến gần đây của Grego và cộng sự (2025) bổ sung chiều nhận thức cảm tính, cho thấy quyết định quốc tế hóa không quy giản về tính toán duy lý lạnh lùng. Luận án đóng góp vào mạch này một bằng chứng đặc thù: hiệu ứng của đặc điểm nhà quản trị không phải một hằng số phổ quát mà thay đổi theo thước đo hiệu quả và bối cảnh thể chế, biểu hiện rõ ở việc hệ số của biến quản trị nữ đổi dấu giữa thước đo lợi nhuận đơn quốc gia (dương, trong chương sách Ấn Độ) và thước đo năng suất gộp đa quốc gia (âm, trong P7 và P10). Phát hiện này hàm ý rằng việc đưa đặc trưng cá nhân vào mô hình quan hệ quốc tế hóa và hiệu quả mà không kiểm soát đồng thời bối cảnh thể chế và thước đo dễ dẫn đến kết luận mâu thuẫn, qua đó củng cố lời kêu gọi của tài liệu nền tảng vi mô về thiết kế đa cấp độ. Định vị này không chỉ làm rõ giá trị của tầng cá nhân trong khung CDCM mà còn kết nối luận án với một trong những hướng lý thuyết thời sự nhất của ngành. Cách định vị này nhất quán với hướng dẫn của giới biên tập kinh doanh quốc tế về đóng góp lý thuyết: Santangelo và Verbeke (2022) xác định việc làm rõ các điều kiện biên của một lý thuyết và việc đánh giá thận trọng tính hợp lệ khi áp dụng lý thuyết qua các cấp độ phân tích khác nhau là hai con đường cốt lõi để tạo đóng góp lý thuyết cho kinh doanh quốc tế. Luận án thực hiện đúng cả hai: vận hành hóa điều kiện biên thể chế bằng khung ICRV thay vì giả định một quy luật phổ quát, và nối tầng vĩ mô thể chế với tầng cá nhân nhà quản trị trong một khung đa cấp được lập luận tường minh thay vì chuyển dịch lý thuyết giữa các cấp độ một cách máy móc.</w:t>
      </w:r>
    </w:p>
    <w:bookmarkEnd w:id="45"/>
    <w:bookmarkEnd w:id="46"/>
    <w:bookmarkStart w:id="55" w:name="đề-xuất-chính-sách-và-quản-trị"/>
    <w:p>
      <w:pPr>
        <w:pStyle w:val="Heading2"/>
      </w:pPr>
      <w:r>
        <w:t xml:space="preserve">5.4 Đề xuất chính sách và quản trị</w:t>
      </w:r>
    </w:p>
    <w:p>
      <w:pPr>
        <w:pStyle w:val="FirstParagraph"/>
      </w:pPr>
      <w:r>
        <w:t xml:space="preserve">Cần phân định rõ tính chất của phần này so với các phần trước. Chương 4 và các mục 5.1 đến 5.3 mang tính thực chứng: chúng mô tả, giải thích và dự đoán quan hệ giữa quốc tế hóa và hiệu quả dựa trên bằng chứng. Các đề xuất dưới đây mang tính quy chuẩn: chúng là suy luận chính sách rút ra từ các phát hiện thực chứng nhưng không đồng nhất với chúng, vì việc chuyển từ một quy luật quan sát được sang một khuyến nghị hành động luôn đòi hỏi thêm các giả định về mục tiêu, chi phí và năng lực thực thi. Vì luận án dựa trên thiết kế lát cắt ngang và phần lớn suy luận là về liên hệ chứ chưa phải nhân quả đã chứng minh trực tiếp (Mục 5.5.3.2), các đề xuất nên được đọc như định hướng ưu tiên có cơ sở thực nghiệm, cần được kiểm chứng và hiệu chỉnh trong từng bối cảnh triển khai, chứ không phải như công thức nhân quả chắc chắn.</w:t>
      </w:r>
    </w:p>
    <w:bookmarkStart w:id="47"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quốc tế hóa và hiệu quả lên trên và có thể mở rộng điểm uốn về phía phải.</w:t>
      </w:r>
    </w:p>
    <w:p>
      <w:pPr>
        <w:pStyle w:val="BodyText"/>
      </w:pPr>
      <w:r>
        <w:t xml:space="preserve">Phổ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47"/>
    <w:bookmarkStart w:id="48"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48"/>
    <w:bookmarkStart w:id="49" w:name="X3f7c356bbecb0845bc3ba35928bc46323a69176"/>
    <w:p>
      <w:pPr>
        <w:pStyle w:val="Heading3"/>
      </w:pPr>
      <w:r>
        <w:t xml:space="preserve">5.4.3 Đề xuất đặc biệt cho SIDS: Tránh Bẫy Quốc Tế Hóa Bắt Buộc</w:t>
      </w:r>
    </w:p>
    <w:p>
      <w:pPr>
        <w:pStyle w:val="FirstParagraph"/>
      </w:pPr>
      <w:r>
        <w:t xml:space="preserve">Phát hiện hình phạt quốc tế hóa cưỡng bức tại bảy nền kinh tế đảo nhỏ Thái Bình Dương có hàm ý chính sách cụ thể và cấp bách. Khác với năm bối cảnh còn lại, nơi quan hệ có dạng chữ U ngược với một ngưỡng tối ưu, ở nhóm đảo nhỏ hệ số nhánh cường độ xuất khẩu mang dấu âm và có ý nghĩa cao (</w:t>
      </w:r>
      <m:oMath>
        <m:r>
          <m:t>β</m:t>
        </m:r>
        <m:r>
          <m:rPr>
            <m:sty m:val="p"/>
          </m:rPr>
          <m:t>=</m:t>
        </m:r>
        <m:r>
          <m:rPr>
            <m:sty m:val="p"/>
          </m:rPr>
          <m:t>−</m:t>
        </m:r>
        <m:r>
          <m:t>1</m:t>
        </m:r>
        <m:r>
          <m:rPr>
            <m:sty m:val="p"/>
          </m:rPr>
          <m:t>,</m:t>
        </m:r>
        <m:r>
          <m:t>339</m:t>
        </m:r>
      </m:oMath>
      <w:r>
        <w:t xml:space="preserve"> </w:t>
      </w:r>
      <w:r>
        <w:t xml:space="preserve">trên thang căn giữa), nghĩa là mọi mức tăng cường độ xuất khẩu đều đi kèm năng suất thấp hơn, không tồn tại điểm uốn để doanh nghiệp hướng tới. Hiện nay nhiều chương trình phát triển quốc tế và viện trợ thương mại cho các nền đảo nhỏ tập trung vào khuyến khích xuất khẩu như một chiến lược tăng trưởng tự thân. Kết quả này đặt câu hỏi nghiêm túc về hiệu quả của cách tiếp cận đó khi ba điều kiện cấu trúc nền tảng của một quan hệ chữ U ngược, gồm thị trường nội địa đủ lớn, chi phí thương mại chấp nhận được, và hỗ trợ thể chế tối thiểu, đồng thời bị vi phạm.</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thứ nhất, xây dựng hạ tầng vận tải và kết nối để giảm chi phí cố định của xuất khẩu, vốn là ràng buộc gay gắt nhất với các nền đảo phân tán địa lý; thứ hai, phát triển năng lực doanh nghiệp thông qua năng lực công nghệ chiều sâu chứ không chỉ hiện diện số bề mặt, vì bằng chứng cho thấy năng lực công nghệ nâng mặt bằng năng suất ngay cả ở nhóm đảo nhỏ nhưng không tự nó đảo được độ dốc âm; và thứ ba, thiết kế chương trình hỗ trợ xuất khẩu có chọn lọc, tập trung vào doanh nghiệp đã đủ năng lực để hưởng lợi, thay vì khuyến khích đại trà. Nói tóm lại, tránh bẫy quốc tế hóa cưỡng bức bằng cách bảo đảm rằng các can thiệp chính sách xây dựng năng lực hấp thụ trước khi thúc đẩy mở rộng thị trường. Một hệ quả thực tiễn quan trọng là các chỉ số đánh giá hiệu quả viện trợ thương mại cho nhóm này không nên lấy mức tăng kim ngạch xuất khẩu làm thước đo thành công chính, vì trong điều kiện hình phạt quốc tế hóa cưỡng bức, mở rộng xuất khẩu mà không kèm nâng cấp năng lực có thể đồng nghĩa với suy giảm năng suất.</w:t>
      </w:r>
    </w:p>
    <w:bookmarkEnd w:id="49"/>
    <w:bookmarkStart w:id="50"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Tầng 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50"/>
    <w:bookmarkStart w:id="51" w:name="X056a055cf9bbd2362c13ba6bcaa0837c6095056"/>
    <w:p>
      <w:pPr>
        <w:pStyle w:val="Heading3"/>
      </w:pPr>
      <w:r>
        <w:t xml:space="preserve">5.4.5 Khung can thiệp phân tầng theo chế độ thể chế ICRV</w:t>
      </w:r>
    </w:p>
    <w:p>
      <w:pPr>
        <w:pStyle w:val="FirstParagraph"/>
      </w:pPr>
      <w:r>
        <w:t xml:space="preserve">Tổng hợp các đề xuất rời rạc theo từng bối cảnh thành một nguyên lý can thiệp thống nhất làm rõ giá trị ứng dụng của khung ICRV: không tồn tại một gói chính sách quốc tế hóa phổ quát, và bản thân việc áp dụng máy móc bài học từ một chế độ thể chế sang chế độ khác là sai lầm chiến lược căn bản. Bằng chứng ba vùng của luận án dịch trực tiếp thành ba định hướng can thiệp khác biệt về bản chất.</w:t>
      </w:r>
    </w:p>
    <w:p>
      <w:pPr>
        <w:pStyle w:val="BodyText"/>
      </w:pPr>
      <w:r>
        <w:t xml:space="preserve">Đối với chế độ thể chế mạnh nhất (Nhóm I, các nền như Singapore và Nhật Bản), nơi quan hệ quốc tế hóa và hiệu quả gần tuyến tính dương và cơ chế vận hành qua biên tham gia, ưu tiên chính sách không phải là khuyến khích doanh nghiệp xuất khẩu nhiều hơn mà là hạ thấp ngưỡng tham gia xuất khẩu cho nhóm doanh nghiệp đã có năng lực nhưng chưa vượt ngưỡng. Vì phần thưởng năng suất tập trung ở việc có hay không xuất khẩu, can thiệp hiệu quả nhất là giảm chi phí cố định gia nhập thị trường nước ngoài và kết nối doanh nghiệp có năng lực với cơ hội quốc tế hóa. Đối với các nền đã bão hòa hiện diện số bề mặt, trọng tâm số hóa dịch sang năng lực số chiều sâu và quản trị dữ liệu, thay vì phổ cập hạ tầng nền tảng vốn đã đạt trần.</w:t>
      </w:r>
    </w:p>
    <w:p>
      <w:pPr>
        <w:pStyle w:val="BodyText"/>
      </w:pPr>
      <w:r>
        <w:t xml:space="preserve">Đối với chế độ chuyển đổi bậc thấp–trung (Nhóm IV, gồm Việt Nam và Ấn Độ), nơi chữ U ngược sắc nét với điểm uốn quanh 40–46%, nguyên lý can thiệp là nâng cao năng lực công nghệ trước khi đẩy cường độ quốc tế hóa. Vì năng lực công nghệ nâng mặt bằng năng suất và có thể dịch điểm uốn về phía phải, đầu tư vào tiếp cận công nghệ nước ngoài, nghiên cứu và phát triển, và chứng nhận chất lượng quốc tế sẽ mở rộng không gian quốc tế hóa có lợi. Riêng với Việt Nam, việc điểm uốn dịch từ 46,2% (2009) xuống 39,3% (2015) là tín hiệu cảnh báo về cấu trúc xuất khẩu gia công biên mỏng; chính sách dịch chuyển lên chuỗi giá trị kết hợp tăng cường năng lực công nghệ là cần thiết để đảo ngược xu hướng dịch trái của điểm uốn. Đối với chế độ này, bài học Ấn Độ cũng cảnh báo rằng cải cách thể chế dồn dập trong thời gian ngắn, dù có ý định tốt, có thể tạm thời phá vỡ cơ chế chuyển hóa quốc tế hóa thành hiệu quả, nên trình tự và tốc độ cải cách cần được cân nhắc.</w:t>
      </w:r>
    </w:p>
    <w:p>
      <w:pPr>
        <w:pStyle w:val="BodyText"/>
      </w:pPr>
      <w:r>
        <w:t xml:space="preserve">Đối với chế độ thể chế yếu nhất (Nhóm V và VI, các nền đang nổi và đảo nhỏ), nơi dạng chữ U ngược mất cấu trúc và quan hệ có xu hướng nghiêng âm, nguyên lý can thiệp đảo ngược hoàn toàn so với khuyến nghị thông thường: ưu tiên không phải xuất khẩu nhiều hơn mà xuất khẩu tốt hơn. Phát hiện gánh nặng quốc tế hóa bắt buộc tại SIDS đặt câu hỏi nghiêm túc về các chương trình viện trợ thương mại tập trung thúc đẩy xuất khẩu đại trà ở những nền thiếu nền tảng năng lực. Trình tự đúng là xây dựng hạ tầng vận tải và kết nối để giảm chi phí cố định xuất khẩu, phát triển năng lực công nghệ chiều sâu thay vì chỉ hiện diện số bề mặt, và thiết kế hỗ trợ xuất khẩu có chọn lọc cho doanh nghiệp đã đủ năng lực hưởng lợi. Nguyên lý xuyên suốt ba vùng là xây dựng năng lực hấp thụ trước khi thúc đẩy mở rộng thị trường, một thứ tự ưu tiên mà khung ICRV giúp hiệu chỉnh cụ thể theo từng chế độ.</w:t>
      </w:r>
    </w:p>
    <w:bookmarkEnd w:id="51"/>
    <w:bookmarkStart w:id="52" w:name="X94c43498f06ecb7abaaed75113bae3686126e0f"/>
    <w:p>
      <w:pPr>
        <w:pStyle w:val="Heading3"/>
      </w:pPr>
      <w:r>
        <w:t xml:space="preserve">5.4.6 Quy tắc quyết định cho nhà quản trị doanh nghiệp theo vị trí thể chế</w:t>
      </w:r>
    </w:p>
    <w:p>
      <w:pPr>
        <w:pStyle w:val="FirstParagraph"/>
      </w:pPr>
      <w:r>
        <w:t xml:space="preserve">Khung ba vùng cũng dịch thành một quy tắc quyết định gọn cho nhà quản trị doanh nghiệp, thay vì một khuyến nghị chung chung về</w:t>
      </w:r>
      <w:r>
        <w:t xml:space="preserve"> </w:t>
      </w:r>
      <w:r>
        <w:t xml:space="preserve">“</w:t>
      </w:r>
      <w:r>
        <w:t xml:space="preserve">quốc tế hóa nhiều hơn</w:t>
      </w:r>
      <w:r>
        <w:t xml:space="preserve">”</w:t>
      </w:r>
      <w:r>
        <w:t xml:space="preserve">. Bước thứ nhất là định vị nền kinh tế của doanh nghiệp trong sáu chế độ ICRV, vì chính vị trí này quyết định dạng quan hệ giữa cường độ xuất khẩu và năng suất mà doanh nghiệp đang vận hành bên trong. Bước thứ hai là đọc tư thế chiến lược tương ứng với vùng đó. Ở chế độ thể chế mạnh, nơi quan hệ gần tuyến tính dương, doanh nghiệp đã có năng lực nên ưu tiên vượt qua ngưỡng tham gia xuất khẩu vì phần thưởng nằm ở việc có mặt trên thị trường nước ngoài hơn là ở mức độ thâm dụng xuất khẩu. Ở chế độ chuyển đổi, nơi chữ U ngược sắc nét với điểm uốn quanh 40–46%, doanh nghiệp cần so sánh cường độ xuất khẩu hiện tại của mình với ngưỡng này: nếu còn dưới ngưỡng, dư địa mở rộng có lợi vẫn còn; nếu đã vượt ngưỡng, ràng buộc không còn là tiếp cận thị trường mà là năng lực điều phối, và đầu tư đúng là nâng năng lực công nghệ để dịch ngưỡng về phía phải trước khi đẩy thêm cường độ. Ở chế độ thể chế yếu, nơi quan hệ mất cấu trúc hoặc đảo dấu, tư thế đúng là xuất khẩu có chọn lọc dựa trên năng lực thực có thay vì mở rộng đại trà.</w:t>
      </w:r>
    </w:p>
    <w:p>
      <w:pPr>
        <w:pStyle w:val="BodyText"/>
      </w:pPr>
      <w:r>
        <w:t xml:space="preserve">Một cảnh báo diễn giải đi kèm quy tắc này. Bằng chứng về đặc trưng quản lý cho thấy hệ số người quản lý cấp cao là nữ mang dấu âm trên toàn mẫu, nhưng luận án đã lập luận rằng đây là quy luật mô tả phản ánh chọn lọc cấu thành chứ không phải bằng chứng nhân quả về hiệu quả của lãnh đạo. Do đó nhà quản trị và nhà đầu tư không nên đọc hệ số này như một chỉ báo về năng lực lãnh đạo; suy luận đúng đòi hỏi phân tích nhận biết chọn lọc trong nội bộ từng nền kinh tế. Quy tắc quyết định vì vậy đặt trọng tâm vào vị trí thể chế và cường độ xuất khẩu so với điểm uốn, là những đại lượng có cơ sở nhân quả cấu trúc rõ hơn, thay vì vào các đặc trưng nhân khẩu của người quản lý.</w:t>
      </w:r>
    </w:p>
    <w:bookmarkEnd w:id="52"/>
    <w:bookmarkStart w:id="53" w:name="Xfbac78e10081884d51e43be54dacc466d8cff43"/>
    <w:p>
      <w:pPr>
        <w:pStyle w:val="Heading3"/>
      </w:pPr>
      <w:r>
        <w:t xml:space="preserve">5.4.7 Đề xuất cho các tổ chức phát triển và tài trợ quốc tế</w:t>
      </w:r>
    </w:p>
    <w:p>
      <w:pPr>
        <w:pStyle w:val="FirstParagraph"/>
      </w:pPr>
      <w:r>
        <w:t xml:space="preserve">Bên cạnh nhà hoạch định chính sách quốc gia và nhà quản trị doanh nghiệp, một nhóm đối tượng thứ ba có khả năng tác động trực tiếp đến quỹ đạo quốc tế hóa của doanh nghiệp ở các nền kinh tế đang phát triển là các tổ chức phát triển và tài trợ quốc tế. Phát hiện của luận án có hàm ý cụ thể và đôi khi đi ngược lại thực hành phổ biến của nhóm này. Hàm ý thứ nhất liên quan đến thước đo thành công của các chương trình hỗ trợ thương mại. Trong điều kiện gánh nặng quốc tế hóa bắt buộc ở nhóm đảo nhỏ, việc lấy mức tăng kim ngạch xuất khẩu làm chỉ tiêu thành công chính là một sai lệch khuyến khích nghiêm trọng: nó có thể thưởng cho chính các can thiệp đẩy doanh nghiệp vào vùng năng suất thấp hơn. Đề xuất là chuyển trọng tâm đánh giá từ chỉ số quy mô thương mại sang chỉ số nâng cấp năng lực, chẳng hạn tỷ lệ doanh nghiệp đạt chứng nhận chất lượng quốc tế, cường độ chi cho nghiên cứu và phát triển, và mức cải thiện năng suất lao động, là những đại lượng gắn với nhánh nâng mặt bằng bền vững thay vì với cường độ xuất khẩu thuần túy.</w:t>
      </w:r>
    </w:p>
    <w:p>
      <w:pPr>
        <w:pStyle w:val="BodyText"/>
      </w:pPr>
      <w:r>
        <w:t xml:space="preserve">Hàm ý thứ hai liên quan đến trình tự can thiệp. Bằng chứng rằng năng lực công nghệ nâng mặt bằng năng suất ở mọi chế độ thể chế kể cả nhóm đảo nhỏ, nhưng không tự nó đảo được độ dốc âm, gợi ý một nguyên tắc trình tự cho thiết kế chương trình: xây dựng năng lực hấp thụ trước, thúc đẩy mở rộng thị trường sau. Các tổ chức tài trợ nên ưu tiên cấu phần phát triển năng lực công nghệ chiều sâu và hạ tầng kết nối giảm chi phí cố định xuất khẩu, trước khi hoặc song song với các cấu phần xúc tiến xuất khẩu, thay vì đặt xúc tiến xuất khẩu làm cấu phần dẫn dắt. Hàm ý thứ ba liên quan đến phân bổ nguồn lực theo chế độ thể chế: vì cùng một đồng tài trợ tạo ra phần thưởng năng suất rất khác nhau tùy chế độ thể chế của nền kinh tế thụ hưởng, các tổ chức quốc tế có thể nâng hiệu quả phân bổ bằng cách hiệu chỉnh gói can thiệp theo vị trí ICRV thay vì áp dụng một mô hình chuẩn hóa xuyên quốc gia. Cách tiếp cận phân tầng này nhất quán với khung năng lực thể chế cho thực thi chính sách mà tài liệu phát triển gần đây đề xuất (Kim và cộng sự, 2026), theo đó năng lực thực thi của tổ chức công là điều kiện trung gian quyết định liệu một can thiệp chính sách có chuyển hóa thành kết quả phát triển hay không.</w:t>
      </w:r>
    </w:p>
    <w:bookmarkEnd w:id="53"/>
    <w:bookmarkStart w:id="54" w:name="Xe0db8e28cf03dc8a65a6387c8f4ba9208afb8a3"/>
    <w:p>
      <w:pPr>
        <w:pStyle w:val="Heading3"/>
      </w:pPr>
      <w:r>
        <w:t xml:space="preserve">5.4.8 Phân biệt nội bộ nhóm tiên tiến: chế độ đổi mới so với chế độ tài nguyên</w:t>
      </w:r>
    </w:p>
    <w:p>
      <w:pPr>
        <w:pStyle w:val="FirstParagraph"/>
      </w:pPr>
      <w:r>
        <w:t xml:space="preserve">Một sắc thái chính sách mà phân loại nhị phân truyền thống bỏ sót là sự phân hóa trong nội bộ nhóm thu nhập cao giữa chế độ tiên tiến đổi mới và chế độ tiên tiến tài nguyên. Bằng chứng mô tả của luận án cho thấy hai phân nhóm cùng mức thu nhập nhưng đối lập về cấu trúc năng lực, và độ phân tán năng suất rất hẹp ở các nền tài nguyên lớn là biểu hiện của kinh tế nhà nước tô nơi phân phối lại từ tô tài nguyên thu hẹp khoảng cách năng suất giữa doanh nghiệp. Hàm ý chính sách cho chế độ tiên tiến tài nguyên (Nhóm II) khác hẳn với chế độ tiên tiến đổi mới (Nhóm I): rủi ro không phải là thiếu nguồn lực mà là cấu trúc nhà nước tô san bằng động lực năng suất, làm yếu chính cơ chế chọn lọc theo năng lực mà quan hệ quốc tế hóa và hiệu quả tích cực dựa vào. Đề xuất là tận dụng thặng dư tô trong các giai đoạn giá hàng hóa cao để đầu tư vào đa dạng hóa năng lực công nghệ phi tài nguyên, đúng theo định hướng các chiến lược tầm nhìn của khối, thay vì củng cố cấu trúc phân phối lại làm xói mòn khuyến khích nâng cấp năng lực doanh nghiệp. Phân biệt này là một ví dụ cụ thể về giá trị ứng dụng của khung ICRV sáu chế độ so với phân loại nhị phân: hai nền cùng được xếp là phát triển nhưng đòi hỏi hai gói chính sách quốc tế hóa khác nhau về bản chất.</w:t>
      </w:r>
    </w:p>
    <w:bookmarkEnd w:id="54"/>
    <w:bookmarkEnd w:id="55"/>
    <w:bookmarkStart w:id="65" w:name="hạn-chế-và-hướng-nghiên-cứu-tương-lai"/>
    <w:p>
      <w:pPr>
        <w:pStyle w:val="Heading2"/>
      </w:pPr>
      <w:r>
        <w:t xml:space="preserve">5.5 Hạn chế và hướng nghiên cứu tương lai</w:t>
      </w:r>
    </w:p>
    <w:bookmarkStart w:id="56"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lược đồ WBES (PICS3, Standardized, BREADY/BEE). Tại Việt Nam (P3), chỉ Tầng 1 DAI (website, email, online sales) được sử dụng do hạn chế của các làn sóng 2009 và 2015, trong khi Tầng 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tĩnh</w:t>
      </w:r>
      <w:r>
        <w:t xml:space="preserve">, tức tại một thời điểm khảo sát, không thể nắm bắt tính động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lý thuyết năng lực động (Teece et al., 1997).</w:t>
      </w:r>
    </w:p>
    <w:bookmarkEnd w:id="56"/>
    <w:bookmarkStart w:id="57" w:name="Xa9f4dc0d92bb938d40b6358e6a43bf594a5cc9a"/>
    <w:p>
      <w:pPr>
        <w:pStyle w:val="Heading3"/>
      </w:pPr>
      <w:r>
        <w:t xml:space="preserve">5.5.2 Hạn chế về thiên lệch chọn lựa trong mẫu phụ doanh nghiệp xuất khẩu</w:t>
      </w:r>
    </w:p>
    <w:p>
      <w:pPr>
        <w:pStyle w:val="FirstParagraph"/>
      </w:pPr>
      <w:r>
        <w:t xml:space="preserve">Các phân tích sử dụng mẫu chỉ gồm doanh nghiệp xuất khẩu (ví dụ: mẫu phụ xuất khẩu Singapore N = 84, mẫu phụ chỉ doanh nghiệp xuất khẩu SIDS N = 26) đối mặt với rủi ro thiên lệch chọn lựa nghiêm trọng: doanh nghiệp xuất khẩu không phải là mẫu ngẫu nhiên từ tổng thể doanh nghiệp mà có khả năng là các doanh nghiệp đã có một số lợi thế ban đầu về năng suất, nguồn lực và quan hệ kết nối. Kết quả từ chỉ doanh nghiệp xuất khẩu không thể tổng quát hóa trực tiếp cho toàn bộ doanh nghiệp, và có thể đánh giá thấp hoặc đánh giá cao các hiệu ứng tùy thuộc vào chiều của chọn lọc.</w:t>
      </w:r>
    </w:p>
    <w:p>
      <w:pPr>
        <w:pStyle w:val="BodyText"/>
      </w:pPr>
      <w:r>
        <w:t xml:space="preserve">Phân tích Heckman hai bước (hoặc các mô hình hiệu ứng xử lý)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57"/>
    <w:bookmarkStart w:id="58" w:name="hạn-chế-về-nhân-quả"/>
    <w:p>
      <w:pPr>
        <w:pStyle w:val="Heading3"/>
      </w:pPr>
      <w:r>
        <w:t xml:space="preserve">5.5.3 Hạn chế về nhân quả</w:t>
      </w:r>
    </w:p>
    <w:p>
      <w:pPr>
        <w:pStyle w:val="FirstParagraph"/>
      </w:pPr>
      <w:r>
        <w:t xml:space="preserve">Thiết kế lát cắt ngang, hay dữ liệu bảng gộp nhưng với WBES không phải là dữ liệu theo dõi cùng doanh nghiệp qua thời gian, giới hạn khả năng suy luận nhân quả. Quan hệ quốc tế hóa và hiệu quả có thể bị ảnh hưởng bởi nhân quả ngược: doanh nghiệp hiệu quả hơn có thể có nhiều nguồn lực để quốc tế hóa hơn, tạo ra chiều nhân quả ngược lại. Hiệu ứng cố định nền kinh tế và hiệu ứng cố định năm giúp kiểm soát một phần, nhưng không giải quyết hoàn toàn vấn đề nội sinh.</w:t>
      </w:r>
    </w:p>
    <w:bookmarkEnd w:id="58"/>
    <w:bookmarkStart w:id="59" w:name="X02c34737bc5367594e55853a326e56967755909"/>
    <w:p>
      <w:pPr>
        <w:pStyle w:val="Heading3"/>
      </w:pPr>
      <w:r>
        <w:t xml:space="preserve">5.5.3.1 Hạn chế về bất biến đo lường qua các thế hệ lược đồ và bão hòa thước đo</w:t>
      </w:r>
    </w:p>
    <w:p>
      <w:pPr>
        <w:pStyle w:val="FirstParagraph"/>
      </w:pPr>
      <w:r>
        <w:t xml:space="preserve">Một nhóm hạn chế đo lường bổ sung cần được nêu rõ vì nó định khung mức độ chắc chắn của các so sánh xuyên thời gian và xuyên bối cảnh. Thứ nhất là vấn đề bất biến đo lường (measurement invariance) qua các thế hệ lược đồ khảo sát. Bộ chỉ báo cấu thành DAI thay đổi giữa các thế hệ công cụ WBES (PICS3, Standardized, BREADY/BEE), nghĩa là cùng một nhãn cấu trúc DAI được vận hành hóa bằng các tập chỉ báo không hoàn toàn tương đương qua các đợt. Khi diễn giải các dịch chuyển theo thời gian, chẳng hạn quỹ đạo không đơn điệu của DAI tại Việt Nam hay sự xuất hiện của Tầng 2 tại Ấn Độ 2025, cần thận trọng phân biệt giữa thay đổi thực của hiện tượng và thay đổi do cấu trúc thước đo. Đây là lý do luận án diễn giải các so sánh chéo đợt một cách dè dặt và dựa vào kiểm định Paternoster để phân biệt các dịch chuyển có ý nghĩa thống kê khỏi nhiễu đo lường.</w:t>
      </w:r>
    </w:p>
    <w:p>
      <w:pPr>
        <w:pStyle w:val="BodyText"/>
      </w:pPr>
      <w:r>
        <w:t xml:space="preserve">Thứ hai là vấn đề bão hòa thước đo Tầng 1. Khi tỷ lệ doanh nghiệp có website tiệm cận bão hòa, như ở Nhật Bản 83,8% và các nền tiên tiến nói chung, phương sai của chỉ báo nhị phân này co lại và nhóm doanh nghiệp không có website còn lại mang tính chọn lọc đặc thù. Hệ quả là hệ số đo được phản ánh giới hạn của thước đo Tầng 1 nhiều hơn là giới hạn thực của số hóa, một vấn đề đo lường cần phân biệt với quan hệ nhân quả. Bằng chứng biến công cụ tại Việt Nam, nơi hệ số DAI được công cụ hóa bằng không trong khi hệ số TCI được công cụ hóa dương mạnh, củng cố cách đọc rằng kết quả không có ý nghĩa về uốn đường cong của DAI ở nhiều bối cảnh phản ánh tính lỗi thời của biến đại diện Tầng 1 chứ không phải sự vắng mặt của cơ chế. Hạn chế này có hệ quả trực tiếp: các kết luận về DAI ở những bối cảnh chỉ đo được Tầng 1 nên được hiểu là chưa kết luận hơn là bác bỏ, và việc kiểm định lại với thước đo Tầng 2 và Tầng 3 phong phú hơn là điều kiện cần trước khi khẳng định vai trò của DAI ở các chế độ thể chế thấp.</w:t>
      </w:r>
    </w:p>
    <w:p>
      <w:pPr>
        <w:pStyle w:val="BodyText"/>
      </w:pPr>
      <w:r>
        <w:t xml:space="preserve">Thứ ba, cần nhắc lại rằng mọi đo lường DAI trong luận án đều là chỉ số chấp nhận số tĩnh tại một thời điểm khảo sát, không nắm bắt được tính động của việc cập nhật và tái cấu hình năng lực số theo nghĩa của lý thuyết năng lực động (Teece và cộng sự, 1997; Teece, 2007). Do đó các phát hiện về DAI phản ánh mức độ chấp nhận số tại thời điểm quan sát chứ không phải năng lực số năng động, và mọi suy luận về cơ chế động cần được xem là gợi mở chứ chưa được kiểm chứng trực tiếp trong khuôn khổ dữ liệu hiện có.</w:t>
      </w:r>
    </w:p>
    <w:bookmarkEnd w:id="59"/>
    <w:bookmarkStart w:id="60" w:name="X7db411eff3d5e205ae71a0f10a5589c7a2f0ba7"/>
    <w:p>
      <w:pPr>
        <w:pStyle w:val="Heading3"/>
      </w:pPr>
      <w:r>
        <w:t xml:space="preserve">5.5.3.2 Giới hạn của suy luận nhân quả và phạm vi khái quát hóa</w:t>
      </w:r>
    </w:p>
    <w:p>
      <w:pPr>
        <w:pStyle w:val="FirstParagraph"/>
      </w:pPr>
      <w:r>
        <w:t xml:space="preserve">Cần định khung rõ bản chất suy luận mà thiết kế dữ liệu cho phép. Dữ liệu doanh nghiệp WBES là lát cắt ngang trong từng đợt khảo sát; do đó khái niệm</w:t>
      </w:r>
      <w:r>
        <w:t xml:space="preserve"> </w:t>
      </w:r>
      <w:r>
        <w:t xml:space="preserve">“</w:t>
      </w:r>
      <w:r>
        <w:t xml:space="preserve">hiệu quả</w:t>
      </w:r>
      <w:r>
        <w:t xml:space="preserve">”</w:t>
      </w:r>
      <w:r>
        <w:t xml:space="preserve"> </w:t>
      </w:r>
      <w:r>
        <w:t xml:space="preserve">xuyên suốt luận án chỉ một liên hệ đồng thời giữa cường độ xuất khẩu và năng suất lao động trong một năm khảo sát nhất định, không phải một hiệu ứng nhân quả được theo dõi theo thời gian trên cùng doanh nghiệp. Chiến lược biến công cụ dùng để xử lý chọn lọc tham gia xuất khẩu trong nghiên cứu đơn quốc gia Việt Nam (P3) không khả thi ở quy mô 50 nền kinh tế, nên ở các phân tích gộp, chọn lọc tham gia xuất khẩu dựa trên năng lực vừa là một phần của hiện tượng mà điểm uốn hiệu chỉnh năng lực bộc lộ, vừa là nguồn nội sinh không thể loại bỏ hoàn toàn bằng hiệu ứng cố định nền kinh tế và năm. Vì vậy cấu trúc ba vùng nên được đọc như một quy luật liên hệ vững chắc về mặt thống kê, chứ chưa phải một cơ chế nhân quả đã được chứng minh trực tiếp.</w:t>
      </w:r>
    </w:p>
    <w:p>
      <w:pPr>
        <w:pStyle w:val="BodyText"/>
      </w:pPr>
      <w:r>
        <w:t xml:space="preserve">Phạm vi khái quát hóa cũng cần được giới hạn tương xứng. Mẫu bao gồm các nền kinh tế châu Á và Thái Bình Dương đã được ánh xạ vào khung ICRV, với cấu trúc thể chế và mô thức thương mại đặc thù của khu vực; việc mở rộng kết luận ba vùng sang các khu vực khác, chẳng hạn châu Phi hạ Sahara hay Mỹ Latinh, là một giả thuyết cần kiểm định độc lập chứ không phải một suy rộng đương nhiên. Tương tự, cấu trúc ba vùng được nhận diện trên dải cường độ xuất khẩu và phân bố quy mô doanh nghiệp của mẫu WBES, vốn thiên về doanh nghiệp vừa và nhỏ ở các nền đang phát triển và mới nổi; tính ổn định của điểm uốn ngoài dải này, đặc biệt ở các tập đoàn đa quốc gia lớn không nằm trong khung lấy mẫu WBES, vẫn là câu hỏi mở. Những giới hạn này không làm suy yếu các kết luận trong phạm vi đã định mà xác định đúng đường biên mà bên trong đó các kết luận được hỗ trợ bởi bằng chứng.</w:t>
      </w:r>
    </w:p>
    <w:bookmarkEnd w:id="60"/>
    <w:bookmarkStart w:id="61" w:name="X5fcc5f3c7ed13c9cd01a29140da977f2965b04f"/>
    <w:p>
      <w:pPr>
        <w:pStyle w:val="Heading3"/>
      </w:pPr>
      <w:r>
        <w:t xml:space="preserve">5.5.3.3 Hạn chế về thước đo quốc tế hóa và thước đo hiệu quả</w:t>
      </w:r>
    </w:p>
    <w:p>
      <w:pPr>
        <w:pStyle w:val="FirstParagraph"/>
      </w:pPr>
      <w:r>
        <w:t xml:space="preserve">Một nhóm hạn chế nữa nằm ở chính việc vận hành hóa hai cấu trúc trung tâm. Về phía quốc tế hóa, luận án dùng nhất quán cường độ xuất khẩu trên doanh thu (FSTS) làm thước đo chính. Lựa chọn này có ưu điểm về tính so sánh xuyên bối cảnh và tính sẵn có trong WBES, nhưng nó chỉ nắm bắt một chiều của quốc tế hóa là cường độ thị trường nước ngoài, mà bỏ qua các chiều khác như phạm vi địa lý (số thị trường) và chiều sâu cam kết (đầu tư trực tiếp ra nước ngoài, lập cơ sở ở nước ngoài). Chính phân tích tổng hợp P6 cho thấy cỡ ảnh hưởng quan sát thay đổi theo cách đo lường quốc tế hóa, nên không loại trừ khả năng rằng dạng hàm ba vùng được nhận diện cho cường độ xuất khẩu có thể khác đi nếu đo quốc tế hóa bằng phạm vi địa lý hoặc chỉ số đa chiều. Cảnh báo này được củng cố bởi bằng chứng gần đây của Verbeke, Eschmann và Gugler (2025): khi đo mức độ toàn cầu hóa của doanh nghiệp đa quốc gia trên bốn chiều khác nhau (doanh số theo không gian địa lý, đầu tư theo tài sản, vốn nhân lực theo phân bố lao động, và vốn tri thức theo sáng chế), các tác giả phát hiện mức độ quốc tế hóa đo được chênh lệch đáng kể giữa các chiều, đến mức một doanh nghiệp có thể được xếp là toàn cầu theo chiều này nhưng định hướng nội vùng theo chiều khác. Phát hiện này hàm ý trực tiếp rằng kết luận của luận án, vốn dựa trên một chiều cường độ xuất khẩu, cần được nhân rộng bằng các thước đo quốc tế hóa đa chiều trước khi khái quát hóa. Về phía hiệu quả, luận án dùng năng suất lao động dạng logarit, một thước đo vận hành mạnh nhưng hẹp hơn so với các thước đo hiệu quả đa chiều (lợi nhuận, tăng trưởng, giá trị thị trường) mà tài liệu thường dùng; phân tích tổng hợp cho thấy thước đo hiệu quả cũng tác động đáng kể đến cỡ ảnh hưởng. Do đó các kết luận của luận án nên được đọc là gắn với cặp thước đo cụ thể (cường độ xuất khẩu và năng suất lao động) và việc nhân rộng với các cặp thước đo khác là một bước kiểm định cần thiết.</w:t>
      </w:r>
    </w:p>
    <w:bookmarkEnd w:id="61"/>
    <w:bookmarkStart w:id="62" w:name="Xf773d6dcd65d45c49760c884a817e3658a90f12"/>
    <w:p>
      <w:pPr>
        <w:pStyle w:val="Heading3"/>
      </w:pPr>
      <w:r>
        <w:t xml:space="preserve">5.5.3.4 Hạn chế về phân loại ICRV và đo lường thể chế</w:t>
      </w:r>
    </w:p>
    <w:p>
      <w:pPr>
        <w:pStyle w:val="FirstParagraph"/>
      </w:pPr>
      <w:r>
        <w:t xml:space="preserve">Khung phân loại ICRV sáu chế độ, dù là một đóng góp trung tâm, cũng mang những hạn chế đo lường cần nêu rõ. Thứ nhất, việc gán một nền kinh tế vào một chế độ là một thao tác rời rạc hóa một thực tại liên tục: các nền kinh tế nằm gần ranh giới giữa hai chế độ có thể bị phân loại nhạy cảm với ngưỡng, và một số nền có thể dịch chuyển chế độ trong giai đoạn quan sát dài 2006–2026 mà phân loại tĩnh không nắm bắt được. Thứ hai, bản thân các chỉ số thể chế nền tảng dùng để xây dựng ICRV là các đại lượng đo lường gián tiếp với sai số riêng, và một bộ phận doanh nghiệp trong mẫu gộp không được gán chế độ do thiếu chỉ số thể chế, tạo khả năng thiên lệch nếu các quan sát thiếu chỉ số không ngẫu nhiên. Thứ ba, hệ phân loại dùng ở cấp phân tích tổng hợp P6 (năm chế độ rút gọn) khác với hệ sáu nhóm ở cấp doanh nghiệp, nên việc đối chiếu trực tiếp giữa hai cấp cần thận trọng. Những hạn chế này không phủ định giá trị dự đoán của ICRV mà chỉ ra rằng phân loại nên được hiểu là một xấp xỉ có cấu trúc của phổ thể chế chứ không phải một thang đo chính xác tuyệt đối.</w:t>
      </w:r>
    </w:p>
    <w:bookmarkEnd w:id="62"/>
    <w:bookmarkStart w:id="63" w:name="Xcb06fdf004ba0783325af0b06c41565c150d92d"/>
    <w:p>
      <w:pPr>
        <w:pStyle w:val="Heading3"/>
      </w:pPr>
      <w:r>
        <w:t xml:space="preserve">5.5.3.5 Hạn chế về suy luận quanh đặc trưng quản trị</w:t>
      </w:r>
    </w:p>
    <w:p>
      <w:pPr>
        <w:pStyle w:val="FirstParagraph"/>
      </w:pPr>
      <w:r>
        <w:t xml:space="preserve">Cuối cùng, các kết quả liên quan đặc trưng nhà quản trị cấp cao mang một giới hạn suy luận đặc thù cần được nhấn mạnh để tránh diễn giải sai. Hệ số mức âm nhẹ của nữ quản lý cấp cao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xem Mục 5.1.4) được luận án diễn giải là phản ánh sự phân bố không ngẫu nhiên của nữ quản lý vào các ngành thâm dụng lao động biên thấp, tức một dạng chọn lọc cấu thành, chứ không phải bằng chứng nhân quả về hiệu quả của lãnh đạo nữ. Thiết kế dữ liệu hiện tại không cho phép bóc tách kênh chọn lọc ngành khỏi kênh hiệu quả lãnh đạo, vì WBES không có đủ biến để mô hình hóa quá trình phân bổ nhà quản trị vào doanh nghiệp và ngành. Tương tự, kết quả không có ý nghĩa về kinh nghiệm nhà quản trị phản ánh hạn chế đo lường là số năm kinh nghiệm không nắm bắt được chất lượng và bề rộng kinh nghiệm quốc tế. Do đó mọi kết luận về tầng quản trị của khung CDCM trong luận án nên được đọc là có điều kiện và cần thiết kế nhận dạng riêng, một giới hạn mà chương sách bổ sung về quản trị cấp cao tại Ấn Độ chỉ giải quyết được ở phạm vi đơn quốc gia chứ chưa ở quy mô khu vực.</w:t>
      </w:r>
    </w:p>
    <w:bookmarkEnd w:id="63"/>
    <w:bookmarkStart w:id="64" w:name="hướng-nghiên-cứu-tương-lai"/>
    <w:p>
      <w:pPr>
        <w:pStyle w:val="Heading3"/>
      </w:pPr>
      <w:r>
        <w:t xml:space="preserve">5.5.4 Hướng nghiên cứu tương lai</w:t>
      </w:r>
    </w:p>
    <w:p>
      <w:pPr>
        <w:pStyle w:val="FirstParagraph"/>
      </w:pPr>
      <w:r>
        <w:t xml:space="preserve">Dựa trên các hạn chế trên, luận án đề xuất bảy hướng nghiên cứu ưu tiên:</w:t>
      </w:r>
    </w:p>
    <w:p>
      <w:pPr>
        <w:pStyle w:val="BodyText"/>
      </w:pPr>
      <w:r>
        <w:rPr>
          <w:bCs/>
          <w:b/>
        </w:rPr>
        <w:t xml:space="preserve">Thứ nhất</w:t>
      </w:r>
      <w:r>
        <w:t xml:space="preserve">, xây dựng đo lường DAI phong phú hơn (Tầng 2 và Tầng 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đang nổi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quốc tế hóa và hiệu quả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pPr>
        <w:pStyle w:val="BodyText"/>
      </w:pPr>
      <w:r>
        <w:rPr>
          <w:bCs/>
          <w:b/>
        </w:rPr>
        <w:t xml:space="preserve">Thứ sáu</w:t>
      </w:r>
      <w:r>
        <w:t xml:space="preserve">, một hướng nghiên cứu ưu tiên xuất phát trực tiếp từ phát hiện ngưỡng tan biến tại Ấn Độ là kiểm định nhân quả của biến động thể chế lên hình dạng quan hệ quốc tế hóa và hiệu quả. Các cú sốc thể chế rời rạc và có thể định thời điểm trong cửa sổ 2014–2025 (bãi bỏ tiền mặt, áp dụng thuế hàng hóa và dịch vụ, ban hành luật phá sản, ra mắt hạ tầng thanh toán hợp nhất) tạo điều kiện cho thiết kế khác biệt trong khác biệt hoặc nghiên cứu sự kiện nhằm phân lập tác động nhân quả của từng cú sốc lên độ cong và vị trí điểm uốn. Hướng này cũng cho phép kiểm định trực tiếp mệnh đề về điều kiện ổn định thể chế của khung CDCM, tức liệu sự tan biến ngưỡng là hệ quả của tổng biến động tích lũy hay của một cú sốc cụ thể nào đó. Việc kết hợp dữ liệu chính sách thương mại ngoại sinh, chẳng hạn các hiệp định thương mại tự do được ký kết, như công cụ nhận dạng sẽ giúp tách bạch chiều nhân quả từ quốc tế hóa đến hiệu quả khỏi chiều ngược lại, giải quyết một phần hạn chế nội sinh đã nêu ở Mục 5.5.3.</w:t>
      </w:r>
    </w:p>
    <w:p>
      <w:pPr>
        <w:pStyle w:val="BodyText"/>
      </w:pPr>
      <w:r>
        <w:rPr>
          <w:bCs/>
          <w:b/>
        </w:rPr>
        <w:t xml:space="preserve">Thứ bảy</w:t>
      </w:r>
      <w:r>
        <w:t xml:space="preserve">, sự dịch chuyển trọng tâm giữa biên tham gia và biên cường độ dọc theo phổ thể chế, được phát hiện khi đối chiếu bằng chứng Việt Nam (cơ chế biên tham gia ở chế độ chuyển đổi) với Nhật Bản (cơ chế tự chọn lọc Melitz ở biên trên), mở ra một câu hỏi lý thuyết chưa được giải quyết: chế độ thể chế nào đánh dấu sự chuyển giao giữa hai cơ chế, và liệu có một vùng quá độ nơi cả hai cùng vận hành. Nghiên cứu tương lai có thể vận dụng mô hình hai phần (two-part model) phân tách rõ ràng quyết định tham gia xuất khẩu khỏi quyết định cường độ trên toàn phổ thể chế ICRV, qua đó lập bản đồ chính xác sự dịch chuyển cơ chế và làm giàu thêm tầng vi mô của khung CDCM, nhất quán với logic tự chọn lọc theo năng suất của Melitz (2003) và với bằng chứng về quan hệ xuất khẩu và năng suất ở cấp doanh nghiệp (Wagner, 2007).</w:t>
      </w:r>
    </w:p>
    <w:p>
      <w:pPr>
        <w:pStyle w:val="BodyText"/>
      </w:pPr>
      <w:r>
        <w:rPr>
          <w:bCs/>
          <w:b/>
        </w:rPr>
        <w:t xml:space="preserve">Thứ tám</w:t>
      </w:r>
      <w:r>
        <w:t xml:space="preserve">, kiểm định tính khái quát hóa của cấu trúc ba vùng ra ngoài khu vực châu Á và Thái Bình Dương. Vì WBES có độ phủ toàn cầu, một hướng khả thi và trực tiếp là ánh xạ khung ICRV lên các nền kinh tế châu Phi hạ Sahara và Mỹ Latinh rồi ước lượng lại phổ điểm uốn trên cùng cặp thước đo, qua đó xác định liệu trật tự ba vùng có phải là đặc thù khu vực hay là một quy luật phổ quát hơn về điều tiết thể chế. Hướng này có giá trị vì nó kiểm định trực tiếp đường biên khái quát hóa mà Mục 5.5.3.2 đã nêu, và vì các khu vực này có những chế độ thể chế và mô thức thương mại khác với châu Á, cung cấp một phép kiểm định khắt khe cho tính bền của khung.</w:t>
      </w:r>
    </w:p>
    <w:p>
      <w:pPr>
        <w:pStyle w:val="BodyText"/>
      </w:pPr>
      <w:r>
        <w:rPr>
          <w:bCs/>
          <w:b/>
        </w:rPr>
        <w:t xml:space="preserve">Thứ chín</w:t>
      </w:r>
      <w:r>
        <w:t xml:space="preserve">, mở rộng đo lường quốc tế hóa sang đa chiều. Vì cường độ xuất khẩu chỉ là một chiều, nghiên cứu tương lai có thể xây dựng thước đo phạm vi địa lý và chiều sâu cam kết từ các nguồn bổ sung (dữ liệu hải quan, dữ liệu đầu tư trực tiếp ra nước ngoài) rồi kiểm định liệu cấu trúc ba vùng có giữ nguyên hình dạng khi quốc tế hóa được đo đa chiều. Bằng chứng phân tích tổng hợp rằng cỡ ảnh hưởng thay đổi theo cách đo quốc tế hóa khiến đây là một hướng có khả năng làm thay đổi hoặc tinh chỉnh kết luận, chứ không chỉ là một bài tập nhân rộng.</w:t>
      </w:r>
    </w:p>
    <w:p>
      <w:pPr>
        <w:pStyle w:val="BodyText"/>
      </w:pPr>
      <w:r>
        <w:rPr>
          <w:bCs/>
          <w:b/>
        </w:rPr>
        <w:t xml:space="preserve">Thứ mười</w:t>
      </w:r>
      <w:r>
        <w:t xml:space="preserve">, một hướng đo lường ưu tiên là phát triển và kiểm định thước đo năng lực số động thực sự. Vì mọi đo lường DAI hiện tại đều tĩnh, một bước tiến quan trọng là kết hợp các đợt khảo sát liên tiếp của cùng nền kinh tế để xây dựng đại lượng tái cấu hình năng lực số theo thời gian, tiệm cận khái niệm năng lực động (Teece và cộng sự, 1997; Teece, 2007), qua đó kiểm định trực tiếp giả thuyết rằng vai trò uốn đường cong của năng lực số đến từ tính động chứ không chỉ từ mức chấp nhận tĩnh. Kết hợp với các nguồn dữ liệu số chuyên biệt, hướng này cho phép tách bạch hiệu ứng của chiều sâu năng lực số khỏi hiệu ứng của tính động, một phân biệt mà dữ liệu WBES tĩnh hiện chưa cho phép.</w:t>
      </w:r>
    </w:p>
    <w:p>
      <w:r>
        <w:pict>
          <v:rect style="width:0;height:1.5pt" o:hralign="center" o:hrstd="t" o:hr="t"/>
        </w:pict>
      </w:r>
    </w:p>
    <w:bookmarkEnd w:id="64"/>
    <w:bookmarkEnd w:id="65"/>
    <w:bookmarkStart w:id="70" w:name="kết-luận"/>
    <w:p>
      <w:pPr>
        <w:pStyle w:val="Heading2"/>
      </w:pPr>
      <w:r>
        <w:t xml:space="preserve">5.6 Kết luận</w:t>
      </w:r>
    </w:p>
    <w:bookmarkStart w:id="66" w:name="tổng-kết-các-nghiên-cứu-thành-phần"/>
    <w:p>
      <w:pPr>
        <w:pStyle w:val="Heading3"/>
      </w:pPr>
      <w:r>
        <w:t xml:space="preserve">5.6.1 Tổng kết các nghiên cứu thành phần</w:t>
      </w:r>
    </w:p>
    <w:p>
      <w:pPr>
        <w:pStyle w:val="FirstParagraph"/>
      </w:pPr>
      <w:r>
        <w:t xml:space="preserve">Luận án này được xây dựng trên mười nghiên cứu thành phần và một chương sách bổ sung cho nhau, kết hợp bằng chứng từ phân tích tổng hợp và phân tích thực nghiệm sơ cấp:</w:t>
      </w:r>
    </w:p>
    <w:p>
      <w:pPr>
        <w:numPr>
          <w:ilvl w:val="0"/>
          <w:numId w:val="1002"/>
        </w:numPr>
      </w:pPr>
      <w:r>
        <w:rPr>
          <w:bCs/>
          <w:b/>
        </w:rPr>
        <w:t xml:space="preserve">P1</w:t>
      </w:r>
      <w:r>
        <w:t xml:space="preserve">: cơ sở thực nghiệm đa quốc gia trên 17 nền kinh tế châu Á (</w:t>
      </w:r>
      <m:oMath>
        <m:r>
          <m:t>N</m:t>
        </m:r>
        <m:r>
          <m:rPr>
            <m:sty m:val="p"/>
          </m:rPr>
          <m:t>=</m:t>
        </m:r>
        <m:r>
          <m:t>40.633</m:t>
        </m:r>
      </m:oMath>
      <w:r>
        <w:t xml:space="preserve">), xác lập phân tầng năng suất vùng và hiệu ứng lá chắn số (tương tác rào cản và công nghệ</w:t>
      </w:r>
      <w:r>
        <w:t xml:space="preserve"> </w:t>
      </w:r>
      <m:oMath>
        <m:r>
          <m:rPr>
            <m:sty m:val="p"/>
          </m:rPr>
          <m:t>+</m:t>
        </m:r>
        <m:r>
          <m:t>0</m:t>
        </m:r>
        <m:r>
          <m:rPr>
            <m:sty m:val="p"/>
          </m:rPr>
          <m:t>,</m:t>
        </m:r>
        <m:r>
          <m:t>110</m:t>
        </m:r>
      </m:oMath>
      <w:r>
        <w:t xml:space="preserve">,</w:t>
      </w:r>
      <w:r>
        <w:t xml:space="preserve"> </w:t>
      </w:r>
      <m:oMath>
        <m:r>
          <m:t>p</m:t>
        </m:r>
        <m:r>
          <m:rPr>
            <m:sty m:val="p"/>
          </m:rPr>
          <m:t>&lt;</m:t>
        </m:r>
        <m:r>
          <m:rPr>
            <m:sty m:val="p"/>
          </m:rPr>
          <m:t>,</m:t>
        </m:r>
        <m:r>
          <m:t>001</m:t>
        </m:r>
      </m:oMath>
      <w:r>
        <w:t xml:space="preserve">), đặt nền cho khung CDCM.</w:t>
      </w:r>
    </w:p>
    <w:p>
      <w:pPr>
        <w:numPr>
          <w:ilvl w:val="0"/>
          <w:numId w:val="1002"/>
        </w:numPr>
      </w:pPr>
      <w:r>
        <w:rPr>
          <w:bCs/>
          <w:b/>
        </w:rPr>
        <w:t xml:space="preserve">P2</w:t>
      </w:r>
      <w:r>
        <w:t xml:space="preserve">: doanh nghiệp nhỏ và vừa Trung Quốc (</w:t>
      </w:r>
      <m:oMath>
        <m:r>
          <m:t>N</m:t>
        </m:r>
        <m:r>
          <m:rPr>
            <m:sty m:val="p"/>
          </m:rPr>
          <m:t>=</m:t>
        </m:r>
        <m:r>
          <m:t>4.290</m:t>
        </m:r>
      </m:oMath>
      <w:r>
        <w:t xml:space="preserve">), xác nhận chữ U ngược với điểm uốn 47,8% và cơ chế bẫy vốn lưu động ở nhánh đi xuống.</w:t>
      </w:r>
    </w:p>
    <w:p>
      <w:pPr>
        <w:numPr>
          <w:ilvl w:val="0"/>
          <w:numId w:val="1002"/>
        </w:numPr>
      </w:pPr>
      <w:r>
        <w:rPr>
          <w:bCs/>
          <w:b/>
        </w:rPr>
        <w:t xml:space="preserve">P3</w:t>
      </w:r>
      <w:r>
        <w:t xml:space="preserve">: phân tích Việt Nam (chuyển đổi thu nhập trung bình thấp), xác nhận chữ U ngược với điểm uốn 39,3–46,2%, TCI là biến điều tiết dương có ý nghĩa.</w:t>
      </w:r>
    </w:p>
    <w:p>
      <w:pPr>
        <w:numPr>
          <w:ilvl w:val="0"/>
          <w:numId w:val="1002"/>
        </w:numPr>
      </w:pPr>
      <w:r>
        <w:rPr>
          <w:bCs/>
          <w:b/>
        </w:rPr>
        <w:t xml:space="preserve">P4</w:t>
      </w:r>
      <w:r>
        <w:t xml:space="preserve">: phân tích Singapore (tiên tiến đổi mới), xác nhận chữ U ngược với điểm uốn khoảng 88,6% (khoảng tin cậy rộng), DAI khuếch đại tại mức cường độ xuất khẩu cao.</w:t>
      </w:r>
    </w:p>
    <w:p>
      <w:pPr>
        <w:numPr>
          <w:ilvl w:val="0"/>
          <w:numId w:val="1002"/>
        </w:numPr>
      </w:pPr>
      <w:r>
        <w:rPr>
          <w:bCs/>
          <w:b/>
        </w:rPr>
        <w:t xml:space="preserve">P5</w:t>
      </w:r>
      <w:r>
        <w:t xml:space="preserve">: phân tích Trung Quốc 2012–2024 (trung bình cao), xác nhận chữ U ngược ổn định theo thời gian (điểm uốn khoảng 48,78%, kiểm định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phân tích tổng hợp ba tầng với</w:t>
      </w:r>
      <w:r>
        <w:t xml:space="preserve"> </w:t>
      </w:r>
      <m:oMath>
        <m:r>
          <m:t>k</m:t>
        </m:r>
        <m:r>
          <m:rPr>
            <m:sty m:val="p"/>
          </m:rPr>
          <m:t>=</m:t>
        </m:r>
        <m:r>
          <m:t>238</m:t>
        </m:r>
      </m:oMath>
      <w:r>
        <w:t xml:space="preserve">,</w:t>
      </w:r>
      <w:r>
        <w:t xml:space="preserve"> </w:t>
      </w:r>
      <m:oMath>
        <m:acc>
          <m:accPr>
            <m:chr m:val="‾"/>
          </m:accPr>
          <m:e>
            <m:r>
              <m:t>r</m:t>
            </m:r>
          </m:e>
        </m:acc>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hai cộng 8,4% tầng ba), ICRV điều tiết</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 trên khung 50 nền kinh tế,</w:t>
      </w:r>
      <w:r>
        <w:t xml:space="preserve"> </w:t>
      </w:r>
      <m:oMath>
        <m:r>
          <m:t>N</m:t>
        </m:r>
        <m:r>
          <m:rPr>
            <m:sty m:val="p"/>
          </m:rPr>
          <m:t>=</m:t>
        </m:r>
        <m:r>
          <m:t>81.022</m:t>
        </m:r>
      </m:oMath>
      <w:r>
        <w:t xml:space="preserve"> </w:t>
      </w:r>
      <w:r>
        <w:t xml:space="preserve">(bậc hai) và</w:t>
      </w:r>
      <w:r>
        <w:t xml:space="preserve"> </w:t>
      </w:r>
      <m:oMath>
        <m:r>
          <m:t>N</m:t>
        </m:r>
        <m:r>
          <m:rPr>
            <m:sty m:val="p"/>
          </m:rPr>
          <m:t>=</m:t>
        </m:r>
        <m:r>
          <m:t>79.080</m:t>
        </m:r>
      </m:oMath>
      <w:r>
        <w:t xml:space="preserve"> </w:t>
      </w:r>
      <w:r>
        <w:t xml:space="preserve">(mô hình đầy đủ), điểm uốn 43,6–51,5% (mô hình chính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 gần tuyến tính ở Nhóm I, mất cấu trúc ở Nhóm V và VI; TCI nâng mặt bằng (</w:t>
      </w:r>
      <m:oMath>
        <m:r>
          <m:rPr>
            <m:sty m:val="p"/>
          </m:rPr>
          <m:t>+</m:t>
        </m:r>
        <m:r>
          <m:t>0</m:t>
        </m:r>
        <m:r>
          <m:rPr>
            <m:sty m:val="p"/>
          </m:rPr>
          <m:t>,</m:t>
        </m:r>
        <m:r>
          <m:t>141</m:t>
        </m:r>
      </m:oMath>
      <w:r>
        <w:t xml:space="preserve">,</w:t>
      </w:r>
      <w:r>
        <w:t xml:space="preserve"> </w:t>
      </w:r>
      <m:oMath>
        <m:r>
          <m:t>p</m:t>
        </m:r>
        <m:r>
          <m:rPr>
            <m:sty m:val="p"/>
          </m:rPr>
          <m:t>&lt;</m:t>
        </m:r>
        <m:r>
          <m:rPr>
            <m:sty m:val="p"/>
          </m:rPr>
          <m:t>,</m:t>
        </m:r>
        <m:r>
          <m:t>001</m:t>
        </m:r>
      </m:oMath>
      <w:r>
        <w:t xml:space="preserve">), DAI nâng mặt bằng (</w:t>
      </w:r>
      <m:oMath>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với tương tác đường cong cùng chiều nhưng không có ý nghĩa toàn mẫu.</w:t>
      </w:r>
    </w:p>
    <w:p>
      <w:pPr>
        <w:numPr>
          <w:ilvl w:val="0"/>
          <w:numId w:val="1002"/>
        </w:numPr>
      </w:pPr>
      <w:r>
        <w:rPr>
          <w:bCs/>
          <w:b/>
        </w:rPr>
        <w:t xml:space="preserve">P8</w:t>
      </w:r>
      <w:r>
        <w:t xml:space="preserve">: phân tích bảy nền kinh tế đảo nhỏ đang phát triển Thái Bình Dương (loại Timor-Leste theo phân loại WB/UN;</w:t>
      </w:r>
      <w:r>
        <w:t xml:space="preserve"> </w:t>
      </w:r>
      <m:oMath>
        <m:r>
          <m:t>N</m:t>
        </m:r>
        <m:r>
          <m:rPr>
            <m:sty m:val="p"/>
          </m:rPr>
          <m:t>=</m:t>
        </m:r>
        <m:r>
          <m:t>1.450</m:t>
        </m:r>
      </m:oMath>
      <w:r>
        <w:t xml:space="preserve">, bảy cụm), phát hiện vững là</w:t>
      </w:r>
      <w:r>
        <w:t xml:space="preserve"> </w:t>
      </w:r>
      <w:r>
        <w:rPr>
          <w:bCs/>
          <w:b/>
        </w:rPr>
        <w:t xml:space="preserve">việc dạng chữ U ngược mất cấu trúc</w:t>
      </w:r>
      <w:r>
        <w:t xml:space="preserve"> </w:t>
      </w:r>
      <w:r>
        <w:t xml:space="preserve">— độ dốc (</w:t>
      </w:r>
      <m:oMath>
        <m:r>
          <m:rPr>
            <m:sty m:val="p"/>
          </m:rPr>
          <m:t>−</m:t>
        </m:r>
        <m:r>
          <m:t>0</m:t>
        </m:r>
        <m:r>
          <m:rPr>
            <m:sty m:val="p"/>
          </m:rPr>
          <m:t>,</m:t>
        </m:r>
        <m:r>
          <m:t>085</m:t>
        </m:r>
      </m:oMath>
      <w:r>
        <w:t xml:space="preserve">,</w:t>
      </w:r>
      <w:r>
        <w:t xml:space="preserve"> </w:t>
      </w:r>
      <m:oMath>
        <m:sSub>
          <m:e>
            <m:r>
              <m:t>p</m:t>
            </m:r>
          </m:e>
          <m:sub>
            <m:r>
              <m:rPr>
                <m:nor/>
                <m:sty m:val="p"/>
              </m:rPr>
              <m:t>wild</m:t>
            </m:r>
          </m:sub>
        </m:sSub>
        <m:r>
          <m:rPr>
            <m:sty m:val="p"/>
          </m:rPr>
          <m:t>=</m:t>
        </m:r>
        <m:r>
          <m:rPr>
            <m:sty m:val="p"/>
          </m:rPr>
          <m:t>,</m:t>
        </m:r>
        <m:r>
          <m:t>66</m:t>
        </m:r>
      </m:oMath>
      <w:r>
        <w:t xml:space="preserve">) không có ý nghĩa và độ cong (</w:t>
      </w:r>
      <m:oMath>
        <m:acc>
          <m:accPr>
            <m:chr m:val="̂"/>
          </m:accPr>
          <m:e>
            <m:r>
              <m:t>β</m:t>
            </m:r>
          </m:e>
        </m:acc>
        <m:d>
          <m:dPr>
            <m:begChr m:val="("/>
            <m:endChr m:val=")"/>
            <m:sepChr m:val=""/>
            <m:grow/>
          </m:dPr>
          <m:e>
            <m:sSup>
              <m:e>
                <m:r>
                  <m:rPr>
                    <m:nor/>
                    <m:sty m:val="p"/>
                  </m:rPr>
                  <m:t>FSTS</m:t>
                </m:r>
              </m:e>
              <m:sup>
                <m:r>
                  <m:t>2</m:t>
                </m:r>
              </m:sup>
            </m:sSup>
          </m:e>
        </m:d>
        <m:r>
          <m:rPr>
            <m:sty m:val="p"/>
          </m:rPr>
          <m:t>=</m:t>
        </m:r>
        <m:r>
          <m:rPr>
            <m:sty m:val="p"/>
          </m:rPr>
          <m:t>+</m:t>
        </m:r>
        <m:r>
          <m:t>0</m:t>
        </m:r>
        <m:r>
          <m:rPr>
            <m:sty m:val="p"/>
          </m:rPr>
          <m:t>,</m:t>
        </m:r>
        <m:r>
          <m:t>696</m:t>
        </m:r>
      </m:oMath>
      <w:r>
        <w:t xml:space="preserve">,</w:t>
      </w:r>
      <w:r>
        <w:t xml:space="preserve"> </w:t>
      </w:r>
      <m:oMath>
        <m:sSub>
          <m:e>
            <m:r>
              <m:t>p</m:t>
            </m:r>
          </m:e>
          <m:sub>
            <m:r>
              <m:rPr>
                <m:nor/>
                <m:sty m:val="p"/>
              </m:rPr>
              <m:t>wild</m:t>
            </m:r>
          </m:sub>
        </m:sSub>
        <m:r>
          <m:rPr>
            <m:sty m:val="p"/>
          </m:rPr>
          <m:t>=</m:t>
        </m:r>
        <m:r>
          <m:rPr>
            <m:sty m:val="p"/>
          </m:rPr>
          <m:t>,</m:t>
        </m:r>
        <m:r>
          <m:t>082</m:t>
        </m:r>
      </m:oMath>
      <w:r>
        <w:t xml:space="preserve">) chỉ đạt mức biên — tương phản với chữ U ngược của lục địa; FIP được nêu như trường hợp giới hạn lý thuyết, với hệ số âm mạnh (</w:t>
      </w:r>
      <m:oMath>
        <m:r>
          <m:rPr>
            <m:sty m:val="p"/>
          </m:rPr>
          <m:t>−</m:t>
        </m:r>
        <m:r>
          <m:t>1</m:t>
        </m:r>
        <m:r>
          <m:rPr>
            <m:sty m:val="p"/>
          </m:rPr>
          <m:t>,</m:t>
        </m:r>
        <m:r>
          <m:t>339</m:t>
        </m:r>
      </m:oMath>
      <w:r>
        <w:t xml:space="preserve">) chỉ xuất hiện trên một bản dựng dữ liệu hạn chế ba cụm và mang tính minh họa, nhạy cảm với phiên bản dữ liệu (xem Mục 4.7.8).</w:t>
      </w:r>
    </w:p>
    <w:p>
      <w:pPr>
        <w:numPr>
          <w:ilvl w:val="0"/>
          <w:numId w:val="1002"/>
        </w:numPr>
      </w:pPr>
      <w:r>
        <w:rPr>
          <w:bCs/>
          <w:b/>
        </w:rPr>
        <w:t xml:space="preserve">P9</w:t>
      </w:r>
      <w:r>
        <w:t xml:space="preserve">: phân tích Ấn Độ qua ba đợt WBES 2014–2025 (khoảng 29.000 doanh nghiệp), kiểm định độ bền ngưỡng qua thập kỷ chuyển đổi thể chế. Phát hiện sự</w:t>
      </w:r>
      <w:r>
        <w:t xml:space="preserve"> </w:t>
      </w:r>
      <w:r>
        <w:rPr>
          <w:iCs/>
          <w:i/>
        </w:rPr>
        <w:t xml:space="preserve">tan biến</w:t>
      </w:r>
      <w:r>
        <w:t xml:space="preserve"> </w:t>
      </w:r>
      <w:r>
        <w:t xml:space="preserve">điểm uốn: 61,8% (2014) rồi 40,7% (2022) rồi mất ý nghĩa độ cong (2025:</w:t>
      </w:r>
      <w:r>
        <w:t xml:space="preserve"> </w:t>
      </w:r>
      <m:oMath>
        <m:sSub>
          <m:e>
            <m:r>
              <m:t>β</m:t>
            </m:r>
          </m:e>
          <m:sub>
            <m:r>
              <m:t>2</m:t>
            </m:r>
          </m:sub>
        </m:sSub>
        <m:r>
          <m:rPr>
            <m:sty m:val="p"/>
          </m:rPr>
          <m:t>=</m:t>
        </m:r>
        <m:r>
          <m:rPr>
            <m:sty m:val="p"/>
          </m:rPr>
          <m:t>−</m:t>
        </m:r>
        <m:r>
          <m:t>0</m:t>
        </m:r>
        <m:r>
          <m:rPr>
            <m:sty m:val="p"/>
          </m:rPr>
          <m:t>,</m:t>
        </m:r>
        <m:r>
          <m:t>16</m:t>
        </m:r>
      </m:oMath>
      <w:r>
        <w:t xml:space="preserve">,</w:t>
      </w:r>
      <w:r>
        <w:t xml:space="preserve"> </w:t>
      </w:r>
      <m:oMath>
        <m:r>
          <m:t>p</m:t>
        </m:r>
        <m:r>
          <m:rPr>
            <m:sty m:val="p"/>
          </m:rPr>
          <m:t>=</m:t>
        </m:r>
        <m:r>
          <m:rPr>
            <m:sty m:val="p"/>
          </m:rPr>
          <m:t>,</m:t>
        </m:r>
        <m:r>
          <m:t>42</m:t>
        </m:r>
      </m:oMath>
      <w:r>
        <w:t xml:space="preserve">), kèm tương tác Tầng 2 (UPI) âm, bằng chứng đầu tiên rằng chuyển đổi thể chế cực mạnh có thể hòa tan chứ không chỉ dịch chuyển ngưỡng.</w:t>
      </w:r>
    </w:p>
    <w:p>
      <w:pPr>
        <w:numPr>
          <w:ilvl w:val="0"/>
          <w:numId w:val="1002"/>
        </w:numPr>
      </w:pPr>
      <w:r>
        <w:rPr>
          <w:bCs/>
          <w:b/>
        </w:rPr>
        <w:t xml:space="preserve">P10</w:t>
      </w:r>
      <w:r>
        <w:t xml:space="preserve">: phân tích Nhật Bản, đợt khảo sát WBES đầu tiên năm 2025 (tiên tiến đổi mới), xác nhận dự đoán biên trên: quan hệ duỗi thẳng về gần tuyến tính dương với điểm uốn nằm ngoài miền quan sát, năng lực và đặc trưng quản trị nâng mặt bằng nhưng không uốn đường cong.</w:t>
      </w:r>
    </w:p>
    <w:p>
      <w:pPr>
        <w:numPr>
          <w:ilvl w:val="0"/>
          <w:numId w:val="1002"/>
        </w:numPr>
      </w:pPr>
      <w:r>
        <w:rPr>
          <w:bCs/>
          <w:b/>
        </w:rPr>
        <w:t xml:space="preserve">Chương sách</w:t>
      </w:r>
      <w:r>
        <w:t xml:space="preserve"> </w:t>
      </w:r>
      <w:r>
        <w:t xml:space="preserve">(Do &amp; Phan, 2025, IntechOpen): nghiên cứu tập trung vào quản trị cấp cao tại Ấn Độ (</w:t>
      </w:r>
      <m:oMath>
        <m:r>
          <m:t>N</m:t>
        </m:r>
        <m:r>
          <m:rPr>
            <m:sty m:val="p"/>
          </m:rPr>
          <m:t>=</m:t>
        </m:r>
        <m:r>
          <m:t>380</m:t>
        </m:r>
      </m:oMath>
      <w:r>
        <w:t xml:space="preserve">), tỷ suất lợi nhuận trên doanh thu là biến phụ thuộc; quốc tế hóa tác động âm tuyến tính (</w:t>
      </w:r>
      <m:oMath>
        <m:r>
          <m:rPr>
            <m:sty m:val="p"/>
          </m:rPr>
          <m:t>−</m:t>
        </m:r>
        <m:r>
          <m:t>36</m:t>
        </m:r>
        <m:r>
          <m:rPr>
            <m:sty m:val="p"/>
          </m:rPr>
          <m:t>,</m:t>
        </m:r>
        <m:r>
          <m:t>66</m:t>
        </m:r>
      </m:oMath>
      <w:r>
        <w:t xml:space="preserve">), kinh nghiệm (</w:t>
      </w:r>
      <m:oMath>
        <m:r>
          <m:rPr>
            <m:sty m:val="p"/>
          </m:rPr>
          <m:t>+</m:t>
        </m:r>
        <m:r>
          <m:t>1</m:t>
        </m:r>
        <m:r>
          <m:rPr>
            <m:sty m:val="p"/>
          </m:rPr>
          <m:t>,</m:t>
        </m:r>
        <m:r>
          <m:t>55</m:t>
        </m:r>
      </m:oMath>
      <w:r>
        <w:t xml:space="preserve">) và lãnh đạo nữ (</w:t>
      </w:r>
      <m:oMath>
        <m:r>
          <m:rPr>
            <m:sty m:val="p"/>
          </m:rPr>
          <m:t>+</m:t>
        </m:r>
        <m:r>
          <m:t>77</m:t>
        </m:r>
        <m:r>
          <m:rPr>
            <m:sty m:val="p"/>
          </m:rPr>
          <m:t>,</m:t>
        </m:r>
        <m:r>
          <m:t>03</m:t>
        </m:r>
      </m:oMath>
      <w:r>
        <w:t xml:space="preserve">) điều tiết dương, cung cấp bằng chứng đơn quốc gia cho H4.</w:t>
      </w:r>
    </w:p>
    <w:bookmarkEnd w:id="66"/>
    <w:bookmarkStart w:id="6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quốc tế hóa và hiệu quả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rõ nhất ở vùng giữa phổ thể chế (Nhóm IV, điểm uốn khoảng 43%), duỗi thẳng gần tuyến tính ở biên trên nơi thể chế mạnh đẩy điểm uốn ra mức cường độ xuất khẩu rất cao (Singapore khoảng 88,6%, gần hoặc vượt biên dữ liệu quan sát), và mất cấu trúc ở biên dưới nơi thể chế yếu nhất; nghĩa là thể chế càng mạnh, doanh nghiệp càng duy trì lợi ích từ quốc tế hóa đến mức cường độ cao hơn trước khi đạt đỉnh.</w:t>
      </w:r>
    </w:p>
    <w:bookmarkEnd w:id="67"/>
    <w:bookmarkStart w:id="6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phân tích tổng hợp tài liệu về quốc tế hóa và hiệu quả bằng cách phân tách cấu trúc dị biệt và xác định ICRV như biến điều tiết có ý nghĩa; (ii) tài liệu về năng lực số bằng cách làm rõ DAI là nguồn lực tình huống chứ không phải năng lực nền tảng; và (iii) tài liệu về quốc tế hóa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68"/>
    <w:bookmarkStart w:id="69" w:name="lời-kết"/>
    <w:p>
      <w:pPr>
        <w:pStyle w:val="Heading3"/>
      </w:pPr>
      <w:r>
        <w:t xml:space="preserve">5.6.4 Lời kết</w:t>
      </w:r>
    </w:p>
    <w:p>
      <w:pPr>
        <w:pStyle w:val="FirstParagraph"/>
      </w:pPr>
      <w:r>
        <w:t xml:space="preserve">Luận án này bắt đầu từ câu hỏi đơn giản: quốc tế hóa có cải thiện hiệu quả hoạt động kinh doanh của doanh nghiệp không? Câu trả lời, sau mười nghiên cứu thành phần và một chương sách,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các nền kinh tế đảo nhỏ, quốc tế hóa bắt buộc có thể gây ra thiệt hại. Hiểu biết này, rằng quan hệ quốc tế hóa và hiệu quả là quan hệ có điều kiện theo thể chế chứ không phải quan hệ phổ quát, là đóng góp cốt lõi mà luận án mang lại cho khoa học quản trị kinh doanh quốc tế.</w:t>
      </w:r>
    </w:p>
    <w:p>
      <w:r>
        <w:pict>
          <v:rect style="width:0;height:1.5pt" o:hralign="center" o:hrstd="t" o:hr="t"/>
        </w:pict>
      </w:r>
    </w:p>
    <w:bookmarkEnd w:id="69"/>
    <w:bookmarkEnd w:id="7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2026-06-23T07:27:24Z</dcterms:created>
  <dcterms:modified xsi:type="dcterms:W3CDTF">2026-06-23T07:27:24Z</dcterms:modified>
</cp:coreProperties>
</file>

<file path=docProps/custom.xml><?xml version="1.0" encoding="utf-8"?>
<Properties xmlns="http://schemas.openxmlformats.org/officeDocument/2006/custom-properties" xmlns:vt="http://schemas.openxmlformats.org/officeDocument/2006/docPropsVTypes"/>
</file>