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 from advanced innovation-driven economies (Singapore, Korea, Taiwan, HongKong, Israel)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 ranging from 34.1% to 39.5% —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 higher TCI raises baseline performance</w:t>
      </w:r>
    </w:p>
    <w:p>
      <w:pPr>
        <w:numPr>
          <w:ilvl w:val="0"/>
          <w:numId w:val="1001"/>
        </w:numPr>
        <w:pStyle w:val="Compact"/>
      </w:pPr>
      <w:r>
        <w:t xml:space="preserve">FSTS×TCI: β = −0.111 (NS) — the ascending limb interaction is not significant</w:t>
      </w:r>
    </w:p>
    <w:p>
      <w:pPr>
        <w:numPr>
          <w:ilvl w:val="0"/>
          <w:numId w:val="1001"/>
        </w:numPr>
        <w:pStyle w:val="Compact"/>
      </w:pPr>
      <w:r>
        <w:t xml:space="preserve">FSTS²×TCI: β = −0.191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 controlling for TCI, DAI, and firm characteristics —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 even mildly convex within the observed range —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w:t>
      </w:r>
      <w:r>
        <w:t xml:space="preserve">— a stock property of productivity —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 a pronounced inverted-U in weaker-institution economies, flattening toward a near-linear profile in advanced ones — while digital capability reshapes the curve and relocates its effective optimum (H3). This dissolves the apparent contradiction between studies reporting positive-linear, inverted-U, and null effects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37% foreign sales intensity, robust across 45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+0.052, p = .049)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 peaking at approximately 37% export intensity — yet its optimum is jointly conditioned by institutional regime and digital capability — institutions governing the curve’s amplitude and digital capability reshaping it — with digital capability operating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3"/>
    <w:bookmarkStart w:id="5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2026-05-26T13:11:16Z</dcterms:created>
  <dcterms:modified xsi:type="dcterms:W3CDTF">2026-05-26T13:11:16Z</dcterms:modified>
</cp:coreProperties>
</file>

<file path=docProps/custom.xml><?xml version="1.0" encoding="utf-8"?>
<Properties xmlns="http://schemas.openxmlformats.org/officeDocument/2006/custom-properties" xmlns:vt="http://schemas.openxmlformats.org/officeDocument/2006/docPropsVTypes"/>
</file>