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403fd954d28f4f635f4ec585f1995edb070610"/>
    <w:p>
      <w:pPr>
        <w:pStyle w:val="Heading1"/>
      </w:pPr>
      <w:r>
        <w:t xml:space="preserve">Quốc Tế Hóa Sinh Lợi ở Đâu: Chế Độ Thể Chế và Năng Lực Số như Những Nhân Tố Đồng Xác Định Điểm Tối Ưu Hiệu Quả trên 45 Nền Kinh Tế Châu Á và Thái Bình Dương</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Câu hỏi trung tâm còn bỏ ngỏ trong nghiên cứu về mối quan hệ quốc tế hóa–hiệu quả doanh nghiệp (internationalization–performance, I–P) không phải là mối quan hệ này có phi tuyến hay không, mà là điều gì xác định</w:t>
      </w:r>
      <w:r>
        <w:t xml:space="preserve"> </w:t>
      </w:r>
      <w:r>
        <w:rPr>
          <w:iCs/>
          <w:i/>
        </w:rPr>
        <w:t xml:space="preserve">nơi</w:t>
      </w:r>
      <w:r>
        <w:t xml:space="preserve"> </w:t>
      </w:r>
      <w:r>
        <w:t xml:space="preserve">điểm tối ưu (optimum) tối đa hóa hiệu quả rơi vào. Nghiên cứu này phát triển và kiểm định một khung tích hợp đa cấp, trong đó hình chữ U ngược mang tính phổ quát về</w:t>
      </w:r>
      <w:r>
        <w:t xml:space="preserve"> </w:t>
      </w:r>
      <w:r>
        <w:rPr>
          <w:iCs/>
          <w:i/>
        </w:rPr>
        <w:t xml:space="preserve">dạng thức</w:t>
      </w:r>
      <w:r>
        <w:t xml:space="preserve"> </w:t>
      </w:r>
      <w:r>
        <w:t xml:space="preserve">nhưng</w:t>
      </w:r>
      <w:r>
        <w:t xml:space="preserve"> </w:t>
      </w:r>
      <w:r>
        <w:rPr>
          <w:iCs/>
          <w:i/>
        </w:rPr>
        <w:t xml:space="preserve">độ lõm</w:t>
      </w:r>
      <w:r>
        <w:t xml:space="preserve"> </w:t>
      </w:r>
      <w:r>
        <w:t xml:space="preserve">của nó được</w:t>
      </w:r>
      <w:r>
        <w:t xml:space="preserve"> </w:t>
      </w:r>
      <w:r>
        <w:rPr>
          <w:iCs/>
          <w:i/>
        </w:rPr>
        <w:t xml:space="preserve">điều kiện hóa một cách đồng thời</w:t>
      </w:r>
      <w:r>
        <w:t xml:space="preserve"> </w:t>
      </w:r>
      <w:r>
        <w:t xml:space="preserve">bởi chế độ thể chế nơi doanh nghiệp hoạt động và bởi năng lực số của chính doanh nghiệp — chế độ thể chế chi phối</w:t>
      </w:r>
      <w:r>
        <w:t xml:space="preserve"> </w:t>
      </w:r>
      <w:r>
        <w:rPr>
          <w:iCs/>
          <w:i/>
        </w:rPr>
        <w:t xml:space="preserve">độ lõm</w:t>
      </w:r>
      <w:r>
        <w:t xml:space="preserve"> </w:t>
      </w:r>
      <w:r>
        <w:t xml:space="preserve">của đường cong còn năng lực số tái tạo nó; hơn nữa, năng lực số vận hành như một</w:t>
      </w:r>
      <w:r>
        <w:t xml:space="preserve"> </w:t>
      </w:r>
      <w:r>
        <w:rPr>
          <w:iCs/>
          <w:i/>
        </w:rPr>
        <w:t xml:space="preserve">nhân tố thay thế</w:t>
      </w:r>
      <w:r>
        <w:t xml:space="preserve"> </w:t>
      </w:r>
      <w:r>
        <w:t xml:space="preserve">(substitute) một phần cho sức mạnh thể chế chứ không phải một nhân tố nâng cao đồng đều. Sử dụng vi dữ liệu được chuẩn hóa từ 98.658 quan sát doanh nghiệp (mẫu ước lượng cơ sở N = 82.302 sau khi áp dụng yêu cầu không thiếu về năng suất và cường độ xuất khẩu; 28.500 ở mô hình đầy đủ) tại 45 nền kinh tế và 98 đợt khảo sát quốc gia-năm thuộc Khảo sát Doanh nghiệp Thế giới (World Bank Enterprise Survey — WBES) giai đoạn 2003–2025, bao trùm cả sáu nhóm thuộc khung Năng lực Thể chế và Tổn thương Nguồn lực (Institutional Context Regime Variation — ICRV), nghiên cứu này ước lượng một chuỗi mô hình phân cấp (hierarchical model) sử dụng OLS với sai số chuẩn vững HC1. Kết quả xác nhận mối quan hệ I–P hình chữ U ngược một cách vững chắc, với điểm ngưỡng ở khoảng 37% doanh số từ xuất khẩu (kiểm định Lind–Mehlum p &lt; ,001; được xác nhận trong M11 với TP = 25,7%, p = ,026). Chế độ thể chế tái định vị có hệ thống điểm tối ưu này: độ lõm của hình chữ U ngược sâu hơn khi chất lượng thể chế suy giảm, do đó hình phạt hiệu quả đối với quốc tế hóa quá mức là gay gắt nhất ở các chế độ tiên phong và dễ tổn thương, và phẳng nhất ở các chế độ tiên tiến. Chỉ số áp dụng số (Digital Adoption Index — DAI) vừa nâng cao mức hiệu quả vừa tái tạo đường cong — nén lợi nhuận nhánh lên ở mức FSTS thấp và làm dịu sự suy giảm hiệu quả ở mức FSTS cao (FSTS×DAI p &lt; ,01; FSTS²×DAI p &lt; ,01 trong M8–M9) — và năng lực tái tạo đường cong này mạnh hơn đáng kể ở các chế độ thể chế yếu hơn (DAI×ICRV p = ,049), nhất quán với cơ chế thay thế thể chế bằng năng lực số (digital-for-institutional substitution). Chỉ số năng lực công nghệ (Technological Capability Index — TCI) nâng cao mức hiệu quả mà không tái tạo đường cong một cách đáng tin cậy, trong khi kinh nghiệm nhà quản lý và nhà quản lý nữ cấp cao đều cải thiện hiệu quả. Khung phân tích này đưa ra một lời giải súc tích cho tài liệu I–P phân mảnh tại châu Á: các phát hiện trái chiều giữa các quốc gia không mâu thuẫn với nhau mà chỉ định vị doanh nghiệp ở những vị trí khác nhau trên cùng một điểm tối ưu, mà vị trí của điểm tối ưu đó được chất lượng thể chế và năng lực số cùng nhau xác định.</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45 nền kinh tế châu Á và Thái Bình Dương với điểm ngưỡng khoảng 37%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45 nền kinh tế.</w:t>
      </w:r>
    </w:p>
    <w:p>
      <w:pPr>
        <w:numPr>
          <w:ilvl w:val="0"/>
          <w:numId w:val="1001"/>
        </w:numPr>
        <w:pStyle w:val="Compact"/>
      </w:pPr>
      <w:r>
        <w:t xml:space="preserve">ICRV điều tiết cả độ dốc lẫn độ cong I–P; tương tác DAI×ICRV (p = ,049) cho thấy DAI mang lại lợi nhuận mạnh hơn ở môi trường thể chế yếu hơn.</w:t>
      </w:r>
    </w:p>
    <w:p>
      <w:pPr>
        <w:numPr>
          <w:ilvl w:val="0"/>
          <w:numId w:val="1001"/>
        </w:numPr>
        <w:pStyle w:val="Compact"/>
      </w:pPr>
      <w:r>
        <w:t xml:space="preserve">Độ lõm của hình chữ U ngược sâu hơn khi thể chế suy yếu; các điểm ngưỡng TP ước tính theo nhóm tụ quanh mức ~40% thay vì dịch chuyển đơn điệu.</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Cùng một quyết định cường độ xuất khẩu nâng đỡ doanh nghiệp ở nền kinh tế này nhưng lại kéo lùi doanh nghiệp ở nền kinh tế khác: khi doanh nghiệp dịch chuyển dọc theo gradient thể chế, mức sinh lời của quốc tế hóa trượt đi một cách có quy luật. Chính</w:t>
      </w:r>
      <w:r>
        <w:t xml:space="preserve"> </w:t>
      </w:r>
      <w:r>
        <w:rPr>
          <w:iCs/>
          <w:i/>
        </w:rPr>
        <w:t xml:space="preserve">độ dốc thể chế (institutional slope)</w:t>
      </w:r>
      <w:r>
        <w:t xml:space="preserve"> </w:t>
      </w:r>
      <w:r>
        <w:t xml:space="preserve">này — chứ không phải dấu của hiệu ứng trung bình — mới là bài toán tổ chức của bài báo. 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 khu vực chiếm hơn một nửa xuất khẩu hàng hóa toàn cầu (UNCTAD, 2023) —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Phản ứng thường thấy là viện đến bối cảnh như một biến điều tiết (moderator) (Kirca et al., 2012; Marano et al., 2016). Tuy nhiên, việc xem bối cảnh như một biến điều tiết vẫn để ngỏ câu hỏi sâu hơn: nếu mối quan hệ I–P là phi tuyến, thì điều gì xác định</w:t>
      </w:r>
      <w:r>
        <w:t xml:space="preserve"> </w:t>
      </w:r>
      <w:r>
        <w:rPr>
          <w:iCs/>
          <w:i/>
        </w:rPr>
        <w:t xml:space="preserve">nơi</w:t>
      </w:r>
      <w:r>
        <w:t xml:space="preserve"> </w:t>
      </w:r>
      <w:r>
        <w:t xml:space="preserve">điểm ngưỡng tối đa hóa hiệu quả của nó rơi vào, và tại sao vị trí đó lại khác biệt một cách có hệ thống giữa các doanh nghiệp và các nền kinh tế? Khi thiếu một khung lý thuyết thống nhất về vị trí của điểm tối ưu, mỗi nghiên cứu quốc gia mới lại được đọc như một sự bác bỏ nghiên cứu trước đó, thay vì như một tọa độ trên cùng một đường cong chung. Do đó, sự tiến triển của lĩnh vực này đòi hỏi một khung lý thuyết xác định rõ các lực ở cấp doanh nghiệp và cấp quốc gia tái định vị điểm tối ưu, đồng thời có thể kiểm định được một cách đồng thời trên các nền kinh tế đa dạng về thể chế — những điều kiện mà các thiết kế đơn quốc gia và phân tích tổng hợp trước đây chưa cùng lúc đáp ứng được.</w:t>
      </w:r>
    </w:p>
    <w:p>
      <w:pPr>
        <w:pStyle w:val="BodyText"/>
      </w:pPr>
      <w:r>
        <w:t xml:space="preserve">Nghiên cứu này được thực hiện nhằm giải quyết khoảng trống đó. Nghiên cứu gộp 98.658 quan sát doanh nghiệp từ 45 nền kinh tế châu Á và Thái Bình Dương giai đoạn 2003–2025, được chuẩn hóa từ WBES; sau khi áp dụng yêu cầu không thiếu về năng suất và cường độ xuất khẩu, mẫu ước lượng cơ sở là 82.302 quan sát doanh nghiệp (giảm còn 28.500 ở mô hình đầy đủ M11). Mẫu bao trùm cả sáu nhóm chế độ ICRV — từ các nền kinh tế tiên tiến dựa trên đổi mới sáng tạo (Singapore, Hàn Quốc, Đài Loan, Hồng Kông, Israel) đến các Quốc đảo Nhỏ đang Phát triển Thái Bình Dương (Vanuatu, Quần đảo Solomon, Fiji, Tonga, Samoa, Kiribati, Papua New Guinea, Timor-Leste) và các nền kinh tế tài nguyên tiên tiến Vùng Vịnh (Bahrain, Kuwait, Qatar, Brunei, Saudi Arabia) — được phân loại theo khung Năng lực Thể chế và Tổn thương Nguồn lực (Institutional Context Regime Variation — ICRV) là nền tảng xuyên suốt chương trình luận án tiến sĩ mà nghiên cứu này là một phần.</w:t>
      </w:r>
    </w:p>
    <w:p>
      <w:pPr>
        <w:pStyle w:val="BodyText"/>
      </w:pPr>
      <w:r>
        <w:t xml:space="preserve">Đóng góp của nghiên cứu này mang tính lý thuyết, không chỉ thuần túy thực nghiệm. Trước hết, nghiên cứu đề xuất một cách tiếp cận</w:t>
      </w:r>
      <w:r>
        <w:t xml:space="preserve"> </w:t>
      </w:r>
      <w:r>
        <w:rPr>
          <w:iCs/>
          <w:i/>
        </w:rPr>
        <w:t xml:space="preserve">điểm tối ưu được tái định vị</w:t>
      </w:r>
      <w:r>
        <w:t xml:space="preserve"> </w:t>
      </w:r>
      <w:r>
        <w:t xml:space="preserve">(relocated-optimum) đối với mối quan hệ I–P: hình chữ U ngược mang tính phổ quát về dạng thức, nhưng độ cong của nó lại nội sinh với chế độ thể chế, sâu hơn khi chất lượng thể chế suy giảm (được xác nhận qua các đặc tả ở N = 82.302–28.500; M11: TP = 25,7%, kiểm định Lind–Mehlum p = ,026). Cách nhìn này tái định khung cuộc tranh luận kéo dài</w:t>
      </w:r>
      <w:r>
        <w:t xml:space="preserve"> </w:t>
      </w:r>
      <w:r>
        <w:t xml:space="preserve">“</w:t>
      </w:r>
      <w:r>
        <w:t xml:space="preserve">liệu có phải là hình chữ U ngược hay không</w:t>
      </w:r>
      <w:r>
        <w:t xml:space="preserve">”</w:t>
      </w:r>
      <w:r>
        <w:t xml:space="preserve"> </w:t>
      </w:r>
      <w:r>
        <w:t xml:space="preserve">thành một câu hỏi về</w:t>
      </w:r>
      <w:r>
        <w:t xml:space="preserve"> </w:t>
      </w:r>
      <w:r>
        <w:rPr>
          <w:iCs/>
          <w:i/>
        </w:rPr>
        <w:t xml:space="preserve">các nhân tố xác định vị trí của điểm tối ưu</w:t>
      </w:r>
      <w:r>
        <w:t xml:space="preserve">, qua đó dung hòa những bằng chứng quốc gia vốn trái chiều trong cùng một đường cong. Bên cạnh đó, nghiên cứu lý thuyết hóa và kiểm định cơ chế</w:t>
      </w:r>
      <w:r>
        <w:t xml:space="preserve"> </w:t>
      </w:r>
      <w:r>
        <w:rPr>
          <w:iCs/>
          <w:i/>
        </w:rPr>
        <w:t xml:space="preserve">thay thế thể chế bằng năng lực số</w:t>
      </w:r>
      <w:r>
        <w:t xml:space="preserve"> </w:t>
      </w:r>
      <w:r>
        <w:t xml:space="preserve">(digital-for-institutional substitution): năng lực tái tạo đường cong của áp dụng số lớn hơn đáng kể ở nơi thể chế chính thức yếu hơn (DAI×ICRV, p = ,049), từ đó định vị năng lực số nền tảng như một nhân tố thay thế một phần cho hạ tầng thể chế trong việc chuyển hóa xuất khẩu thành hiệu quả — một sự mở rộng đa nền kinh tế của logic khoảng trống thể chế (institutional voids; Khanna &amp; Palepu, 1997) sang miền số. Hơn nữa, nghiên cứu hình thức hóa khung ICRV như một cấu trúc bối cảnh (contingency construct) phù hợp ở cấp doanh nghiệp, sắp xếp các nền kinh tế đồng thời theo năng lực thể chế và mức độ phơi nhiễm trước tổn thương nguồn lực, đồng thời cho thấy khung này dự báo được cả độ dốc lẫn độ cong của hàm I–P — phân biệt vai trò</w:t>
      </w:r>
      <w:r>
        <w:t xml:space="preserve"> </w:t>
      </w:r>
      <w:r>
        <w:rPr>
          <w:iCs/>
          <w:i/>
        </w:rPr>
        <w:t xml:space="preserve">tái định vị</w:t>
      </w:r>
      <w:r>
        <w:t xml:space="preserve"> </w:t>
      </w:r>
      <w:r>
        <w:t xml:space="preserve">đường cong của thể chế (H5) với vai trò</w:t>
      </w:r>
      <w:r>
        <w:t xml:space="preserve"> </w:t>
      </w:r>
      <w:r>
        <w:rPr>
          <w:iCs/>
          <w:i/>
        </w:rPr>
        <w:t xml:space="preserve">dịch chuyển mức độ</w:t>
      </w:r>
      <w:r>
        <w:t xml:space="preserve"> </w:t>
      </w:r>
      <w:r>
        <w:t xml:space="preserve">của các năng lực doanh nghiệp như năng lực công nghệ (TCI). Tổng hợp lại, những đóng góp này dịch chuyển tài liệu I–P đa quốc gia từ việc liệt kê các hiệu ứng không đồng nhất sang một cách giải thích súc tích, đồng xác định về việc quốc tế hóa sinh lợi khi nào và ở đâu.</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30" w:name="khung-lý-thuyết-và-giả-thuyết"/>
    <w:p>
      <w:pPr>
        <w:pStyle w:val="Heading2"/>
      </w:pPr>
      <w:r>
        <w:t xml:space="preserve">2. Khung Lý Thuyết và Giả Thuyết</w:t>
      </w:r>
    </w:p>
    <w:bookmarkStart w:id="23" w:name="nền-tảng-lý-thuyết"/>
    <w:p>
      <w:pPr>
        <w:pStyle w:val="Heading3"/>
      </w:pPr>
      <w:r>
        <w:t xml:space="preserve">2.1 Nền Tảng Lý Thuyết</w:t>
      </w:r>
    </w:p>
    <w:p>
      <w:pPr>
        <w:pStyle w:val="FirstParagraph"/>
      </w:pPr>
      <w:r>
        <w:t xml:space="preserve">Nghiên cứu này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 RBV) (Barney, 1991; Wernerfelt, 1984) định vị các năng lực cấp doanh nghiệp — công nghệ, số và quản lý —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 Thay vì bốn truyền thống song song, bài báo tích hợp chúng qua một trục tổ chức duy nhất: bối cảnh thể chế ICRV vận hành như một</w:t>
      </w:r>
      <w:r>
        <w:t xml:space="preserve"> </w:t>
      </w:r>
      <w:r>
        <w:rPr>
          <w:iCs/>
          <w:i/>
        </w:rPr>
        <w:t xml:space="preserve">bộ lọc chi phí giao dịch (transaction cost filter)</w:t>
      </w:r>
      <w:r>
        <w:t xml:space="preserve"> </w:t>
      </w:r>
      <w:r>
        <w:t xml:space="preserve">xác định một</w:t>
      </w:r>
      <w:r>
        <w:t xml:space="preserve"> </w:t>
      </w:r>
      <w:r>
        <w:rPr>
          <w:iCs/>
          <w:i/>
        </w:rPr>
        <w:t xml:space="preserve">bản đồ địa hình xuất khẩu chiến lược (strategic export topography)</w:t>
      </w:r>
      <w:r>
        <w:t xml:space="preserve"> </w:t>
      </w:r>
      <w:r>
        <w:t xml:space="preserve">nơi điểm tối ưu I–P tọa lạc. Lý thuyết Thể chế cung cấp chính bộ lọc đó; các năng lực RBV (TCI, DAI) là những tấm lá chắn cấp doanh nghiệp dịch chuyển vị trí của doanh nghiệp trên địa hình ấy; mô hình Uppsala mô tả sự di chuyển dọc theo nó; còn các thuộc tính Tầng lớp Cao nhất đi vào như một biến kiểm soát nội sinh về chất lượng quản trị, chứ không phải một yếu tố điều tiết cấu trúc hình dạng đường cong.</w:t>
      </w:r>
    </w:p>
    <w:p>
      <w:pPr>
        <w:pStyle w:val="BodyText"/>
      </w:pPr>
      <w:r>
        <w:t xml:space="preserve">Các truyền thống này thường được viện dẫn một cách rời rạc. Nghiên cứu này tích hợp chúng thông qua một cấu trúc bối cảnh duy nhất — khung</w:t>
      </w:r>
      <w:r>
        <w:t xml:space="preserve"> </w:t>
      </w:r>
      <w:r>
        <w:rPr>
          <w:bCs/>
          <w:b/>
        </w:rPr>
        <w:t xml:space="preserve">Năng lực Thể chế và Tổn thương Nguồn lực (Institutional Context Regime Variation — ICRV)</w:t>
      </w:r>
      <w:r>
        <w:t xml:space="preserve"> </w:t>
      </w:r>
      <w:r>
        <w:t xml:space="preserve">— nhằm xác định</w:t>
      </w:r>
      <w:r>
        <w:t xml:space="preserve"> </w:t>
      </w:r>
      <w:r>
        <w:rPr>
          <w:iCs/>
          <w:i/>
        </w:rPr>
        <w:t xml:space="preserve">nơi</w:t>
      </w:r>
      <w:r>
        <w:t xml:space="preserve"> </w:t>
      </w:r>
      <w:r>
        <w:t xml:space="preserve">trên đường cong I–P mà môi trường của doanh nghiệp đặt nó vào. Khung ICRV sắp xếp các nền kinh tế dọc theo hai chiều phân biệt về mặt lý thuyết mà các bảng phân loại trước đây thường xử lý tách rời:</w:t>
      </w:r>
      <w:r>
        <w:t xml:space="preserve"> </w:t>
      </w:r>
      <w:r>
        <w:rPr>
          <w:iCs/>
          <w:i/>
        </w:rPr>
        <w:t xml:space="preserve">năng lực thể chế</w:t>
      </w:r>
      <w:r>
        <w:t xml:space="preserve"> </w:t>
      </w:r>
      <w:r>
        <w:t xml:space="preserve">(institutional capability) — chất lượng thể chế chính thức được North (1990) nhấn mạnh và được phát triển trong truyền thống các biến thể của chủ nghĩa tư bản (varieties of capitalism; Hall &amp; Soskice, 2001) — và</w:t>
      </w:r>
      <w:r>
        <w:t xml:space="preserve"> </w:t>
      </w:r>
      <w:r>
        <w:rPr>
          <w:iCs/>
          <w:i/>
        </w:rPr>
        <w:t xml:space="preserve">tổn thương nguồn lực</w:t>
      </w:r>
      <w:r>
        <w:t xml:space="preserve"> </w:t>
      </w:r>
      <w:r>
        <w:t xml:space="preserve">(resource vulnerability) — mức độ phơi nhiễm trước các cú sốc bên ngoài, sự hạn hẹp của nguồn lực sản xuất, cùng những khoảng trống thể chế (institutional voids) mà doanh nghiệp buộc phải tự nội bộ hóa (Khanna &amp; Palepu, 1997). Sáu nhóm chế độ hình thành từ đó trải dài từ các nền kinh tế tiên tiến dựa trên đổi mới sáng tạo, qua các nền kinh tế dựa trên tài nguyên, thu nhập trung bình cao, đang nổi và tiên phong, đến các quốc đảo nhỏ rất dễ tổn thương. Luận điểm lý thuyết trung tâm của nghiên cứu nảy sinh từ việc định vị doanh nghiệp trong không gian chế độ này:</w:t>
      </w:r>
      <w:r>
        <w:t xml:space="preserve"> </w:t>
      </w:r>
      <w:r>
        <w:rPr>
          <w:iCs/>
          <w:i/>
        </w:rPr>
        <w:t xml:space="preserve">dạng thức</w:t>
      </w:r>
      <w:r>
        <w:t xml:space="preserve"> </w:t>
      </w:r>
      <w:r>
        <w:t xml:space="preserve">hình chữ U ngược của mối quan hệ I–P mang tính phổ quát (H1), nhưng</w:t>
      </w:r>
      <w:r>
        <w:t xml:space="preserve"> </w:t>
      </w:r>
      <w:r>
        <w:rPr>
          <w:iCs/>
          <w:i/>
        </w:rPr>
        <w:t xml:space="preserve">dạng thức và điểm tối ưu</w:t>
      </w:r>
      <w:r>
        <w:t xml:space="preserve"> </w:t>
      </w:r>
      <w:r>
        <w:t xml:space="preserve">của nó lại được</w:t>
      </w:r>
      <w:r>
        <w:t xml:space="preserve"> </w:t>
      </w:r>
      <w:r>
        <w:rPr>
          <w:iCs/>
          <w:i/>
        </w:rPr>
        <w:t xml:space="preserve">điều kiện hóa một cách đồng thời</w:t>
      </w:r>
      <w:r>
        <w:t xml:space="preserve"> </w:t>
      </w:r>
      <w:r>
        <w:t xml:space="preserve">bởi chế độ thể chế (H5) và bởi năng lực số của doanh nghiệp (H3), trong đó năng lực số đóng vai trò thay thế một phần cho sức mạnh thể chế ở nơi thể chế còn yếu (H6). Các năng lực doanh nghiệp đi vào theo một trục thứ hai: năng lực công nghệ được giả thuyết</w:t>
      </w:r>
      <w:r>
        <w:t xml:space="preserve"> </w:t>
      </w:r>
      <w:r>
        <w:rPr>
          <w:iCs/>
          <w:i/>
        </w:rPr>
        <w:t xml:space="preserve">khuếch đại</w:t>
      </w:r>
      <w:r>
        <w:t xml:space="preserve"> </w:t>
      </w:r>
      <w:r>
        <w:t xml:space="preserve">đường cong (H2), còn đặc điểm nhà quản lý được giả thuyết nâng</w:t>
      </w:r>
      <w:r>
        <w:t xml:space="preserve"> </w:t>
      </w:r>
      <w:r>
        <w:rPr>
          <w:iCs/>
          <w:i/>
        </w:rPr>
        <w:t xml:space="preserve">mức</w:t>
      </w:r>
      <w:r>
        <w:t xml:space="preserve"> </w:t>
      </w:r>
      <w:r>
        <w:t xml:space="preserve">hiệu quả mà không tái tạo hình dạng đường cong (H4); việc mỗi nhân tố này thực sự tái định vị điểm tối ưu hay chỉ dịch chuyển mức độ là một câu hỏi thực nghiệm mà thiết kế nghiên cứu được xây dựng để phân định. Chính sự đối lập giữa các lực</w:t>
      </w:r>
      <w:r>
        <w:t xml:space="preserve"> </w:t>
      </w:r>
      <w:r>
        <w:rPr>
          <w:iCs/>
          <w:i/>
        </w:rPr>
        <w:t xml:space="preserve">tái định vị</w:t>
      </w:r>
      <w:r>
        <w:t xml:space="preserve"> </w:t>
      </w:r>
      <w:r>
        <w:t xml:space="preserve">điểm tối ưu (chế độ thể chế và năng lực số) với các lực</w:t>
      </w:r>
      <w:r>
        <w:t xml:space="preserve"> </w:t>
      </w:r>
      <w:r>
        <w:rPr>
          <w:iCs/>
          <w:i/>
        </w:rPr>
        <w:t xml:space="preserve">năng lực doanh nghiệp</w:t>
      </w:r>
      <w:r>
        <w:t xml:space="preserve"> </w:t>
      </w:r>
      <w:r>
        <w:t xml:space="preserve">(công nghệ và quản lý) là trục phân tích xương sống của bài viết.</w:t>
      </w:r>
    </w:p>
    <w:bookmarkEnd w:id="23"/>
    <w:bookmarkStart w:id="24"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(~82%),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ec8ffd2c658d82734d410bbc671835334363fd1"/>
    <w:p>
      <w:pPr>
        <w:pStyle w:val="Heading3"/>
      </w:pPr>
      <w:r>
        <w:t xml:space="preserve">2.3 Năng Lực Công Nghệ như một Nhân Tố Khuếch Đại Đường Cong (H2)</w:t>
      </w:r>
    </w:p>
    <w:p>
      <w:pPr>
        <w:pStyle w:val="FirstParagraph"/>
      </w:pPr>
      <w:r>
        <w:t xml:space="preserve">Năng lực công nghệ — được đo bằng chỉ số tổng hợp gồm chứng nhận chất lượng, áp dụng công nghệ nước ngoài, đổi mới quy trình và R&amp;D —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6380d46431dc6762b549659e56c3569e6e53fc5"/>
    <w:p>
      <w:pPr>
        <w:pStyle w:val="Heading3"/>
      </w:pPr>
      <w:r>
        <w:t xml:space="preserve">2.4 Áp Dụng Số như một Nhân Tố Nâng Cao Mức Độ (H3)</w:t>
      </w:r>
    </w:p>
    <w:p>
      <w:pPr>
        <w:pStyle w:val="FirstParagraph"/>
      </w:pPr>
      <w:r>
        <w:t xml:space="preserve">Áp dụng số — đo bằng sự hiện diện website (Tầng 1) và tỷ phần thanh toán điện tử (Tầng 2) — liên quan đến giảm chi phí giao tiếp và giao dịch (Verhoef et al., 2021). Trong Mô hình Năng lực Số Phụ thuộc Bối cảnh (Context-Contingent Digital Capability Model —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 tương quan với áp dụng số —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đặc-điểm-nhà-quản-lý-h4"/>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da5ccd130a1ced1c2a271a7946a41a28b9e481e"/>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 Đổi mới tiên tiến: Singapore, Hàn Quốc, Đài Loan, Israel) đến Nhóm VI (SIDS —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bookmarkEnd w:id="28"/>
    <w:bookmarkStart w:id="29" w:name="hiệu-ứng-số-phụ-thuộc-chế-độ-thể-chế-h6"/>
    <w:p>
      <w:pPr>
        <w:pStyle w:val="Heading3"/>
      </w:pPr>
      <w:r>
        <w:t xml:space="preserve">2.7 Hiệu Ứng Số Phụ Thuộc Chế Độ Thể Chế (H6)</w:t>
      </w:r>
    </w:p>
    <w:p>
      <w:pPr>
        <w:pStyle w:val="FirstParagraph"/>
      </w:pPr>
      <w:r>
        <w:t xml:space="preserve">Mô hình Năng lực Số Phụ thuộc Bối cảnh (Context-Contingent Digital Capability Model — CDCM) được phát triển trong chương trình luận án dự đoán rằng vai trò tái tạo đường cong I–P của áp dụng số không đồng đều qua các môi trường thể chế. Tại các nền kinh tế tiên tiến về thể chế (nhóm ICRV I–II), hạ tầng số gần như phổ quát và sát với mức nền cạnh tranh — do đó mức khác biệt hiệu quả biên từ việc áp dụng website và thanh toán điện tử thấp hơn. Tại các nền kinh tế thể chế yếu hơn (nhóm ICRV IV–VI), áp dụng số vẫn tạo ra sự khác biệt: các công cụ tiếp cận thị trường số hạ thấp chi phí của bất lợi do là người nước ngoài (liability of foreignness) và cung cấp hỗ trợ phối hợp xuyên biên giới mà các khoảng trống thể chế không thể thay thế. Do đó, tương tác DAI×ICRV kiểm định liệu năng lực tái tạo đường cong của năng lực số (đã thiết lập ở H3) có biến thiên một cách có hệ thống trên phổ thể chế hay không — cụ thể, liệu việc nén nhánh lên và đệm đỡ sự suy giảm hiệu quả ở mức FSTS cao có rõ rệt hơn ở các nền kinh tế thể chế yếu hơn hay không.</w:t>
      </w:r>
    </w:p>
    <w:p>
      <w:pPr>
        <w:pStyle w:val="BodyText"/>
      </w:pPr>
      <w:r>
        <w:t xml:space="preserve">Dự đoán này nhất quán với nhánh bổ sung-số của lý thuyết thể chế (North, 1990; Stallkamp &amp; Schotter, 2021): ở nơi thể chế chính thức cung cấp việc thực thi hợp đồng đáng tin cậy, bảo hộ sở hữu trí tuệ và thông tin thị trường, hạ tầng số chỉ bổ sung một cách gia tăng; còn ở nơi các khoảng trống thể chế ngự trị, công cụ số trở thành một nhân tố thay thế không tầm thường cho các cơ chế chính thức còn khuyết. Do vậy, H6 không dự đoán hiệu ứng</w:t>
      </w:r>
      <w:r>
        <w:t xml:space="preserve"> </w:t>
      </w:r>
      <w:r>
        <w:rPr>
          <w:iCs/>
          <w:i/>
        </w:rPr>
        <w:t xml:space="preserve">mức độ</w:t>
      </w:r>
      <w:r>
        <w:t xml:space="preserve"> </w:t>
      </w:r>
      <w:r>
        <w:t xml:space="preserve">mạnh hơn trong bối cảnh thể chế yếu (vốn có thể phản ánh nhiều yếu tố gây nhiễu), mà dự đoán cụ thể một tương tác</w:t>
      </w:r>
      <w:r>
        <w:t xml:space="preserve"> </w:t>
      </w:r>
      <w:r>
        <w:rPr>
          <w:iCs/>
          <w:i/>
        </w:rPr>
        <w:t xml:space="preserve">định hình đường cong</w:t>
      </w:r>
      <w:r>
        <w:t xml:space="preserve"> </w:t>
      </w:r>
      <w:r>
        <w:t xml:space="preserve">mạnh hơn giữa áp dụng số và cường độ xuất khẩu — một luận điểm bổ sung có điều kiện.</w:t>
      </w:r>
    </w:p>
    <w:p>
      <w:pPr>
        <w:pStyle w:val="BlockText"/>
      </w:pPr>
      <w:r>
        <w:rPr>
          <w:bCs/>
          <w:b/>
        </w:rPr>
        <w:t xml:space="preserve">H6:</w:t>
      </w:r>
      <w:r>
        <w:t xml:space="preserve"> </w:t>
      </w:r>
      <w:r>
        <w:t xml:space="preserve">Chế độ thể chế ICRV điều tiết hiệu ứng tái tạo đường cong của áp dụng số: tác động nén của áp dụng số lên nhánh lên I–P và tác động đệm đỡ của nó ở mức FSTS cao (H3) mạnh hơn ở các môi trường thể chế yếu hơn (số nhóm ICRV cao hơn), nơi hạ tầng số mang lại sự khác biệt cạnh tranh lớn hơn trong việc tiếp cận thị trường xuyên biên giới.</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Tổng thể suy luận của WBES gồm các doanh nghiệp chính thức phi nông nghiệp, phi khai khoáng có từ năm lao động trở lên (ISIC Rev. 3.1/4: chế tạo, xây dựng, bán lẻ và các dịch vụ khác), được phân tầng theo ngành, quy mô doanh nghiệp (nhỏ 5–19, vừa 20–99, lớn 100+ lao động) và vị trí dưới cấp quốc gia; cỡ mẫu được thiết lập để đạt độ chính xác 7,5% ở mức tin cậy 90% (tối thiểu 120 doanh nghiệp mỗi tầng), và trọng số thiết kế được áp dụng cho các ước lượng đại diện cho tổng thể (World Bank, 2022). Chúng tôi sử dụng vi dữ liệu từ 45 nền kinh tế châu Á và Thái Bình Dương qua 98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(Bahrain, Iraq, Israel, Jordan, Kuwait, Lebanon, Qatar, Saudi Arabia, Yemen) và Thái Bình Dương/SIDS (Fiji, Kiribati, Papua New Guinea, Samoa, Quần đảo Solomon, Tonga, Vanuatu).</w:t>
      </w:r>
    </w:p>
    <w:p>
      <w:pPr>
        <w:pStyle w:val="BodyText"/>
      </w:pPr>
      <w:r>
        <w:t xml:space="preserve">Bộ dữ liệu phân tích cuối cùng chứa 98.658 quan sát doanh nghiệp (trước khi áp dụng yêu cầu kết quả và FSTS không thiếu); khi áp dụng các yêu cầu này, mẫu ước lượng cơ sở M2 là 82.302 quan sát doanh nghiệp, giảm còn 28.500 ở M11 khi thêm các biến kiểm soát năng lực số và nhà quản trị. Chúng tôi áp dụng định nghĩa châu Á theo địa lý dựa trên chuẩn M49 của Cục Thống kê Liên Hợp Quốc (United Nations Statistics Division, 2024), theo đó châu Á bao gồm các tiểu vùng Đông, Đông Nam, Nam, Trung và Tây Á; Thái Bình Dương được bổ sung vì khung nghiên cứu được xác định rõ là châu Á–Thái Bình Dương. Để giữ khung địa lý này nhất quán nội bộ, chúng tôi loại các nền kinh tế nằm vắt ngang ranh giới Âu–Á và thường được xem là liên lục địa: Thổ Nhĩ Kỳ (Türkiye) và Cyprus, cùng ba nền kinh tế Nam Kavkaz (Armenia, Azerbaijan, Georgia) — tất cả đều được Ngân hàng Thế giới xếp về mặt vận hành vào vùng Châu Âu và Trung Á chứ không phải châu Á (World Bank, 2025). Comoros (châu Phi hạ Sahara) cũng bị loại tương tự. Trung Á cùng Vùng Vịnh và Levant thuộc Tây Á được giữ lại như những phần không tranh cãi của lục địa châu Á. (Một đặc tả UN-M49 nghiêm ngặt tái bao gồm Thổ Nhĩ Kỳ và Azerbaijan đã được kiểm tra và không nhận diện được hình chữ U ngược, củng cố cho việc loại các nền kinh tế liên lục địa.) Dữ liệu duy nhất hiện có của Oman (2003) thiếu các biến năng suất, cường độ xuất khẩu và năng lực số nên không đi vào mẫu ước lượng.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 chọn file lớn nhất theo cặp (quốc gia, năm) khi tồn tại nhiều bản tải lên.</w:t>
      </w:r>
    </w:p>
    <w:bookmarkEnd w:id="31"/>
    <w:bookmarkStart w:id="32" w:name="các-biến-số"/>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2"/>
    <w:bookmarkStart w:id="33" w:name="chiến-lược-ước-lượng"/>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3"/>
    <w:bookmarkStart w:id="34" w:name="quy-mô-mẫu"/>
    <w:p>
      <w:pPr>
        <w:pStyle w:val="Heading3"/>
      </w:pPr>
      <w:r>
        <w:t xml:space="preserve">3.4 Quy Mô Mẫu</w:t>
      </w:r>
    </w:p>
    <w:p>
      <w:pPr>
        <w:pStyle w:val="FirstParagraph"/>
      </w:pPr>
      <w:r>
        <w:t xml:space="preserve">Mẫu phân tích cho M2 (kết quả + FSTS không thiếu) là N = 82.302. Thêm biến kiểm soát giảm mẫu xuống N = 36.772 (M3); mô hình FE quốc gia-năm M5 sử dụng cùng mẫu. Các mô hình điều tiết TCI (M6, M7) sử dụng N ≈ 36.481; thêm DAI (M8) N ≈ 36.372; mô hình nhà quản lý (M9) N ≈ 34.228; điều tiết ICRV (M10) N ≈ 30.360; ba chiều đầy đủ (M11) N ≈ 28.500.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4"/>
    <w:bookmarkEnd w:id="35"/>
    <w:bookmarkStart w:id="44" w:name="kết-quả"/>
    <w:p>
      <w:pPr>
        <w:pStyle w:val="Heading2"/>
      </w:pPr>
      <w:r>
        <w:t xml:space="preserve">4. Kết Quả</w:t>
      </w:r>
    </w:p>
    <w:bookmarkStart w:id="36" w:name="thống-kê-mô-tả-và-tương-quan"/>
    <w:p>
      <w:pPr>
        <w:pStyle w:val="Heading3"/>
      </w:pPr>
      <w:r>
        <w:t xml:space="preserve">4.1 Thống Kê Mô Tả và Tương Quan</w:t>
      </w:r>
    </w:p>
    <w:p>
      <w:pPr>
        <w:pStyle w:val="FirstParagraph"/>
      </w:pPr>
      <w:r>
        <w:t xml:space="preserve">Mẫu phân tích đầy đủ bao trùm 45 nền kinh tế và 98 đợt khảo sát quốc gia-năm. FSTS trung bình qua các doanh nghiệp là khoảng 10% (trung vị ≈ 0), phản ánh thực tế rằng hầu hết các doanh nghiệp WBES định hướng nội địa; các doanh nghiệp xuất khẩu (FSTS &gt; 0) chiếm khoảng 18% mẫu. Năng suất lao động dao động từ ln(LP) ≈ 9 (Kiribati, Timor-Leste) đến ln(LP) ≈ 20 (Việt Nam, Hàn Quốc —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6"/>
    <w:bookmarkStart w:id="37" w:name="tác-động-chính-hình-chữ-u-ngược-h1"/>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+1,211 (p &lt; ,001) và β₂ = −1,630 (p &lt; ,001), nhất quán với hình chữ U ngược. Theo Haans, Pieters và He (2016), cả bốn điều kiện chính thức cho hình chữ U ngược thực sự đều thỏa mãn trong M2: (C1) β₁ = +1,211 (p &lt; ,001), xác nhận nhánh lên dương tính; (C2) β₂ = −1,630 (p &lt; ,001), xác nhận độ lõm; (C3) điểm ngưỡng TP* ≈ 37,1% nằm trong phạm vi quan sát FSTS [0%, 100%]; và (C4) hiệu ứng biên của quốc tế hóa là dương tính tại ranh giới dữ liệu thấp hơn (FSTS ≈ 0%, độ dốc ≈ +1,21) và âm tính tại ranh giới trên (FSTS ≈ 100%, độ dốc ≈ −2,05), với các dấu ngược chiều được xác nhận bởi kiểm định u Lind–Mehlum (2010) (p chung &lt; ,001). Hình chữ U ngược vẫn có ý nghĩa khi thêm biến kiểm soát (M3: TP = 34,1%, LM p &lt; ,001) và khi FE quốc gia-năm hấp thụ toàn bộ không đồng nhất quốc gia không quan sát được biến thiên theo thời gian (M5: TP = 39,5%, LM p &lt; ,001, adjR² = ,671). Sự nhất quán của điểm ngưỡng qua M2, M3 và M5 — dao động từ 34,1% đến 39,5% —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25,7%, LM p = ,026),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45 nền kinh tế châu Á và Thái Bình Dương, với điểm ngưỡng khoảng 37% cường độ doanh số nước ngoài.</w:t>
      </w:r>
    </w:p>
    <w:bookmarkEnd w:id="37"/>
    <w:bookmarkStart w:id="38" w:name="điều-tiết-của-năng-lực-công-nghệ-h2"/>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+0,342, p &lt; ,001) nâng adjR² từ ,017 lên ,027. Mô hình tương tác M7 thêm FSTS×TCI và FSTS²×TCI. Kết quả cho thấy:</w:t>
      </w:r>
    </w:p>
    <w:p>
      <w:pPr>
        <w:numPr>
          <w:ilvl w:val="0"/>
          <w:numId w:val="1002"/>
        </w:numPr>
        <w:pStyle w:val="Compact"/>
      </w:pPr>
      <w:r>
        <w:t xml:space="preserve">Tác động chính TCI: β = +0,372 (p &lt; ,001) — TCI cao hơn nâng cao hiệu quả cơ sở</w:t>
      </w:r>
    </w:p>
    <w:p>
      <w:pPr>
        <w:numPr>
          <w:ilvl w:val="0"/>
          <w:numId w:val="1002"/>
        </w:numPr>
        <w:pStyle w:val="Compact"/>
      </w:pPr>
      <w:r>
        <w:t xml:space="preserve">FSTS×TCI: β = −0,111 (NS) — tương tác nhánh lên không có ý nghĩa thống kê</w:t>
      </w:r>
    </w:p>
    <w:p>
      <w:pPr>
        <w:numPr>
          <w:ilvl w:val="0"/>
          <w:numId w:val="1002"/>
        </w:numPr>
        <w:pStyle w:val="Compact"/>
      </w:pPr>
      <w:r>
        <w:t xml:space="preserve">FSTS²×TCI: β = −0,191 (NS trong M7; vẫn NS trong M8, p = ,077)</w:t>
      </w:r>
    </w:p>
    <w:p>
      <w:pPr>
        <w:pStyle w:val="FirstParagraph"/>
      </w:pPr>
      <w:r>
        <w:t xml:space="preserve">Kiểm định F chung cho hai số hạng tương tác TCI không có ý nghĩa thống kê qua M7–M9. Hình chữ U ngược vẫn được xác nhận trong M7 (TP = 34,2%, LM p &lt; ,001). Tăng một độ lệch chuẩn TCI nâng năng suất lao động lên exp(0,372) − 1 ≈ 45% tại mức FSTS trung bình —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45 nền kinh tế đa dạng về thể chế, làm suy giảm các mẫu từng quốc gia được ghi chép trong P3/P5.</w:t>
      </w:r>
    </w:p>
    <w:bookmarkEnd w:id="38"/>
    <w:bookmarkStart w:id="39" w:name="điều-tiết-của-áp-dụng-số-h3"/>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+0,172, p &lt; ,001), nhất quán với phần bù hiệu quả khoảng 19% cho các doanh nghiệp hoạt động số (exp(0,172) − 1 ≈ 19%). Đáng chú ý là cả hai số hạng tương tác DAI đều có ý nghĩa thống kê trong M8: FSTS×DAI = −0,588 (p &lt; ,001,</w:t>
      </w:r>
      <w:r>
        <w:t xml:space="preserve"> </w:t>
      </w:r>
      <w:r>
        <w:rPr>
          <w:bCs/>
          <w:b/>
          <w:iCs/>
          <w:i/>
        </w:rPr>
        <w:t xml:space="preserve">) và FSTS²×DAI = +0,726 (p = ,002,</w:t>
      </w:r>
      <w:r>
        <w:rPr>
          <w:bCs/>
          <w:b/>
          <w:iCs/>
          <w:i/>
        </w:rPr>
        <w:t xml:space="preserve"> </w:t>
      </w:r>
      <w:r>
        <w:rPr>
          <w:iCs/>
          <w:i/>
        </w:rPr>
        <w:t xml:space="preserve">). Mẫu tương tác — FSTS×DAI âm tính và FSTS²×DAI dương tính —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−0,786 (p &lt; ,001,</w:t>
      </w:r>
      <w:r>
        <w:rPr>
          <w:iCs/>
          <w:i/>
        </w:rPr>
        <w:t xml:space="preserve"> </w:t>
      </w:r>
      <w:r>
        <w:rPr>
          <w:bCs/>
          <w:b/>
        </w:rPr>
        <w:t xml:space="preserve">) và FSTS²×DAI = +0,982 (p &lt; ,001,</w:t>
      </w:r>
      <w:r>
        <w:rPr>
          <w:bCs/>
          <w:b/>
        </w:rPr>
        <w:t xml:space="preserve"> </w:t>
      </w:r>
      <w:r>
        <w:t xml:space="preserve">*). Hình chữ U ngược được duy trì trong cả hai đặc tả (M8: TP = 34,2%; M9: TP = 32,2%).</w:t>
      </w:r>
    </w:p>
    <w:p>
      <w:pPr>
        <w:pStyle w:val="BodyText"/>
      </w:pPr>
      <w:r>
        <w:rPr>
          <w:bCs/>
          <w:b/>
        </w:rPr>
        <w:t xml:space="preserve">H3 được ủng hộ.</w:t>
      </w:r>
      <w:r>
        <w:t xml:space="preserve"> </w:t>
      </w:r>
      <w:r>
        <w:t xml:space="preserve">DAI nâng cao hiệu quả doanh nghiệp khoảng 19% và định hình lại đáng kể đường cong I–P — nén nhánh lên và giảm nhẹ suy giảm hiệu quả ở mức FSTS cao — ngay cả trước khi kiểm soát đặc điểm nhà quản lý. Đây là phát hiện điều tiết năng lực chính của nghiên cứu.</w:t>
      </w:r>
    </w:p>
    <w:bookmarkEnd w:id="39"/>
    <w:bookmarkStart w:id="40" w:name="đặc-điểm-nhà-quản-lý-h4-1"/>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+0,018, p &lt; ,001) và nhà quản lý nữ cấp cao (β = +0,202, p &lt; ,001) đều nâng cao hiệu quả doanh nghiệp độc lập với FSTS trong M9. Hiệu ứng kinh nghiệm ngụ ý khoảng 2% năng suất lao động cao hơn trên mỗi năm kinh nghiệm ngành bổ sung; hiệu ứng nhà quản lý nữ cấp cao ngụ ý khoảng 22% phần bù hiệu quả (exp(0,202) − 1 ≈ 22%). Tương tác FSTS×kinh_nghiệm_nhà_quản_lý không có ý nghĩa thống kê trong cả M9 (β = +0,005, p = ,29) lẫn M11 (β = +0,007, p = ,26), cho thấy kinh nghiệm nhà quản lý vận hành như một nhân tố dịch chuyển mức độ chứ không phải nhân tố điều tiết đường cong I–P.</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vắng mặt trong cả M9 lẫn M11; đặc điểm nhà quản lý dịch chuyển mức hiệu quả mà không tái tạo đường cong I–P.</w:t>
      </w:r>
    </w:p>
    <w:bookmarkEnd w:id="40"/>
    <w:bookmarkStart w:id="41" w:name="điều-tiết-của-chế-độ-thể-chế-h5"/>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+0,592, p &lt; ,001) cho thấy — khi kiểm soát TCI, DAI và đặc điểm doanh nghiệp — mỗi bậc tiến lên thang đo ICRV (từ Nhóm I đến Nhóm VI, tức từ thể chế mạnh hơn đến yếu hơn) tương quan với mức năng suất lao động cao hơn khoảng 81% (exp(0,592) − 1 ≈ 81%).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+1,849, p &lt; ,001) và FSTS²×ICRV (β = −2,932, p &lt; ,001). Số hạng FSTS²×ICRV âm tính cho thấy</w:t>
      </w:r>
      <w:r>
        <w:t xml:space="preserve"> </w:t>
      </w:r>
      <w:r>
        <w:rPr>
          <w:iCs/>
          <w:i/>
        </w:rPr>
        <w:t xml:space="preserve">độ lõm</w:t>
      </w:r>
      <w:r>
        <w:t xml:space="preserve"> </w:t>
      </w:r>
      <w:r>
        <w:t xml:space="preserve">của đường cong I–P sâu hơn khi thể chế suy yếu (nhóm ICRV cao hơn): hình chữ U ngược gay gắt nhất ở các chế độ tiên phong và dễ tổn thương, và phẳng nhất — thậm chí hơi lồi trong phạm vi quan sát — ở nhóm thể chế mạnh nhất. Phân tách theo nhóm ICRV, các điểm ngưỡng ước tính tụ quanh mức 40% FSTS thay vì dịch chuyển đơn điệu; chế độ thể chế chi phối</w:t>
      </w:r>
      <w:r>
        <w:t xml:space="preserve"> </w:t>
      </w:r>
      <w:r>
        <w:rPr>
          <w:iCs/>
          <w:i/>
        </w:rPr>
        <w:t xml:space="preserve">cường độ của độ lõm</w:t>
      </w:r>
      <w:r>
        <w:t xml:space="preserve"> </w:t>
      </w:r>
      <w:r>
        <w:t xml:space="preserve">nhiều hơn là vị trí chính xác của đỉnh. Mẫu này nhất quán với việc các doanh nghiệp trong môi trường thể chế yếu hơn đối mặt với lợi nhuận giảm dần dốc hơn khi cam kết xuất khẩu sâu, trong khi các doanh nghiệp ở chế độ tiên tiến thể hiện một biên dạng I–P phẳng hơn, tuyến tính hơn trên phạm vi quan sát.</w:t>
      </w:r>
    </w:p>
    <w:p>
      <w:pPr>
        <w:pStyle w:val="BodyText"/>
      </w:pPr>
      <w:r>
        <w:rPr>
          <w:bCs/>
          <w:b/>
        </w:rPr>
        <w:t xml:space="preserve">H5 được ủng hộ.</w:t>
      </w:r>
      <w:r>
        <w:t xml:space="preserve"> </w:t>
      </w:r>
      <w:r>
        <w:t xml:space="preserve">Chế độ thể chế ICRV điều tiết có hệ thống cả độ dốc lẫn độ cong của hàm I–P, với độ lõm của hình chữ U ngược sâu hơn khi chất lượng thể chế suy giảm.</w:t>
      </w:r>
    </w:p>
    <w:bookmarkEnd w:id="41"/>
    <w:bookmarkStart w:id="42" w:name="điều-tiết-ba-chiều-đầy-đủ-h6"/>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25,7%, LM p = ,026), thiết lập rằng hình chữ U ngược giữ vững ngay cả trong đặc tả đòi hỏi nhất. Tương tác DAI×ICRV (β = +0,052, p = ,049, *) có ý nghĩa thống kê, nhất quán với dự đoán CDCM rằng năng lực số cung cấp hiệu ứng hiệu quả mạnh hơn trên mỗi đơn vị trong môi trường thể chế yếu hơn. Số hạng ba chiều FSTS×DAI×ICRV (β = −0,016,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,057 trong M11 (so với ,039 trong M10) cho thấy sự cải thiện độ phù hợp có ý nghĩa từ việc thêm cấu trúc điều tiết ba chiều.</w:t>
      </w:r>
    </w:p>
    <w:p>
      <w:pPr>
        <w:pStyle w:val="BodyText"/>
      </w:pPr>
      <w:r>
        <w:rPr>
          <w:bCs/>
          <w:b/>
        </w:rPr>
        <w:t xml:space="preserve">H6 (tương tác ba chiều) được ủng hộ một phần; hình chữ U ngược M11 được xác nhận.</w:t>
      </w:r>
      <w:r>
        <w:t xml:space="preserve"> </w:t>
      </w:r>
      <w:r>
        <w:t xml:space="preserve">Tương tác chính DAI×ICRV có ý nghĩa thống kê (p = ,049), ủng hộ các hiệu ứng số phụ thuộc chế độ. Sự tái tạo đường cong FSTS ba chiều qua DAI×ICRV không đạt ý nghĩa thống kê — chiều đo lường DAI hạn chế của WBES (chỉ Tầng 1–2) có thể cản trở việc phát hiện tương tác CDCM dự đoán đầy đủ.</w:t>
      </w:r>
    </w:p>
    <w:bookmarkEnd w:id="42"/>
    <w:bookmarkStart w:id="43" w:name="tính-vững-đa-chiều-của-hiệu-quả"/>
    <w:p>
      <w:pPr>
        <w:pStyle w:val="Heading3"/>
      </w:pPr>
      <w:r>
        <w:t xml:space="preserve">4.8 Tính Vững Đa Chiều của Hiệu Quả</w:t>
      </w:r>
    </w:p>
    <w:p>
      <w:pPr>
        <w:pStyle w:val="FirstParagraph"/>
      </w:pPr>
      <w:r>
        <w:t xml:space="preserve">Hiệu quả doanh nghiệp mang tính đa chiều (Combs, Crook, &amp; Shook, 2005; Richard, Devinney, Yip, &amp; Johnson, 2009), do đó chúng tôi kiểm tra liệu hình chữ U ngược có giữ vững với một cách thao tác hóa thay thế hay không. Bên cạnh kết quả</w:t>
      </w:r>
      <w:r>
        <w:t xml:space="preserve"> </w:t>
      </w:r>
      <w:r>
        <w:rPr>
          <w:iCs/>
          <w:i/>
        </w:rPr>
        <w:t xml:space="preserve">mức</w:t>
      </w:r>
      <w:r>
        <w:t xml:space="preserve"> </w:t>
      </w:r>
      <w:r>
        <w:t xml:space="preserve">năng suất lao động là biến chính, chúng tôi tái ước lượng mối quan hệ I–P trên</w:t>
      </w:r>
      <w:r>
        <w:t xml:space="preserve"> </w:t>
      </w:r>
      <w:r>
        <w:rPr>
          <w:bCs/>
          <w:b/>
        </w:rPr>
        <w:t xml:space="preserve">tăng trưởng doanh số</w:t>
      </w:r>
      <w:r>
        <w:t xml:space="preserve"> </w:t>
      </w:r>
      <w:r>
        <w:t xml:space="preserve">thực ba năm (được khôi phục từ các mục doanh số WBES, với FE quốc gia-năm hấp thụ lạm phát trong từng đợt). Hình chữ U ngược được nhận diện rõ nét đối với mức năng suất (FSTS² β = −0,80, p = ,008; TP ≈ 37%) nhưng</w:t>
      </w:r>
      <w:r>
        <w:t xml:space="preserve"> </w:t>
      </w:r>
      <w:r>
        <w:rPr>
          <w:bCs/>
          <w:b/>
        </w:rPr>
        <w:t xml:space="preserve">không</w:t>
      </w:r>
      <w:r>
        <w:t xml:space="preserve"> </w:t>
      </w:r>
      <w:r>
        <w:t xml:space="preserve">được phát hiện đối với tăng trưởng doanh số (FSTS² β ≈ 0, p = ,16; n.s.). Sự khác biệt này nhất quán về mặt lý thuyết chứ không mâu thuẫn: cơ chế điểm tối ưu được tái định vị liên quan đến</w:t>
      </w:r>
      <w:r>
        <w:t xml:space="preserve"> </w:t>
      </w:r>
      <w:r>
        <w:rPr>
          <w:iCs/>
          <w:i/>
        </w:rPr>
        <w:t xml:space="preserve">giá trị nắm bắt được trên mỗi đơn vị quốc tế hóa</w:t>
      </w:r>
      <w:r>
        <w:t xml:space="preserve"> </w:t>
      </w:r>
      <w:r>
        <w:t xml:space="preserve">— một thuộc tính tồn kho (stock) của năng suất — chứ không phải động lực dòng (flow) của tăng trưởng theo từng kỳ. Một chiều thứ ba dự kiến là tăng trưởng việc làm không thể được xây dựng vì bảng dữ liệu chuẩn hóa không giữ lại mục việc làm có độ trễ cần thiết, và các file doanh nghiệp thô cần để khôi phục nó chỉ có sẵn cho một số ít nền kinh tế; chúng tôi nêu đây là một hạn chế đo lường. Do đó, hình chữ U ngược chủ đạo nên được đọc như một thuộc tính của mức năng suất theo mặt cắt ngang, chứ không phải của quỹ đạo tăng trưởng doanh nghiệp.</w:t>
      </w:r>
    </w:p>
    <w:p>
      <w:r>
        <w:pict>
          <v:rect style="width:0;height:1.5pt" o:hralign="center" o:hrstd="t" o:hr="t"/>
        </w:pict>
      </w:r>
    </w:p>
    <w:bookmarkEnd w:id="43"/>
    <w:bookmarkEnd w:id="44"/>
    <w:bookmarkStart w:id="51" w:name="thảo-luận"/>
    <w:p>
      <w:pPr>
        <w:pStyle w:val="Heading2"/>
      </w:pPr>
      <w:r>
        <w:t xml:space="preserve">5. Thảo Luận</w:t>
      </w:r>
    </w:p>
    <w:bookmarkStart w:id="45" w:name="Xcc09be98fabfc247188b98c87479a591f04cffe"/>
    <w:p>
      <w:pPr>
        <w:pStyle w:val="Heading3"/>
      </w:pPr>
      <w:r>
        <w:t xml:space="preserve">5.1 Đóng Góp Lý Thuyết: Một Điểm Tối Ưu Được Đồng Xác Định</w:t>
      </w:r>
    </w:p>
    <w:p>
      <w:pPr>
        <w:pStyle w:val="FirstParagraph"/>
      </w:pPr>
      <w:r>
        <w:t xml:space="preserve">Các phát hiện của nghiên cứu này ủng hộ một cách giải thích tích hợp, mà luận điểm trung tâm là:</w:t>
      </w:r>
      <w:r>
        <w:t xml:space="preserve"> </w:t>
      </w:r>
      <w:r>
        <w:rPr>
          <w:iCs/>
          <w:i/>
        </w:rPr>
        <w:t xml:space="preserve">dạng thức</w:t>
      </w:r>
      <w:r>
        <w:t xml:space="preserve"> </w:t>
      </w:r>
      <w:r>
        <w:t xml:space="preserve">của mối quan hệ I–P mang tính phổ quát, trong khi</w:t>
      </w:r>
      <w:r>
        <w:t xml:space="preserve"> </w:t>
      </w:r>
      <w:r>
        <w:rPr>
          <w:iCs/>
          <w:i/>
        </w:rPr>
        <w:t xml:space="preserve">điểm tối ưu</w:t>
      </w:r>
      <w:r>
        <w:t xml:space="preserve"> </w:t>
      </w:r>
      <w:r>
        <w:t xml:space="preserve">của nó được đồng xác định bởi các yếu tố bối cảnh thể chế và số. Từ đó, bốn đóng góp cho lý thuyết kinh doanh quốc tế được rút ra.</w:t>
      </w:r>
    </w:p>
    <w:p>
      <w:pPr>
        <w:pStyle w:val="BodyText"/>
      </w:pPr>
      <w:r>
        <w:t xml:space="preserve">Cách tiếp cận</w:t>
      </w:r>
      <w:r>
        <w:t xml:space="preserve"> </w:t>
      </w:r>
      <w:r>
        <w:rPr>
          <w:bCs/>
          <w:b/>
        </w:rPr>
        <w:t xml:space="preserve">điểm tối ưu được tái định vị</w:t>
      </w:r>
      <w:r>
        <w:t xml:space="preserve"> </w:t>
      </w:r>
      <w:r>
        <w:t xml:space="preserve">(relocated-optimum) tái định khung cuộc tranh luận kéo dài hai thập niên về hình dạng của đường cong I–P. Hình chữ U ngược giữ vững trên cả sáu nhóm chế độ ICRV (H1), nhưng</w:t>
      </w:r>
      <w:r>
        <w:t xml:space="preserve"> </w:t>
      </w:r>
      <w:r>
        <w:rPr>
          <w:iCs/>
          <w:i/>
        </w:rPr>
        <w:t xml:space="preserve">dạng thức</w:t>
      </w:r>
      <w:r>
        <w:t xml:space="preserve"> </w:t>
      </w:r>
      <w:r>
        <w:t xml:space="preserve">của nó không phải là một tham số cấu trúc cố định: chế độ thể chế chi phối</w:t>
      </w:r>
      <w:r>
        <w:t xml:space="preserve"> </w:t>
      </w:r>
      <w:r>
        <w:rPr>
          <w:iCs/>
          <w:i/>
        </w:rPr>
        <w:t xml:space="preserve">độ lõm</w:t>
      </w:r>
      <w:r>
        <w:t xml:space="preserve"> </w:t>
      </w:r>
      <w:r>
        <w:t xml:space="preserve">của đường cong (H5) — một hình chữ U ngược rõ nét ở các chế độ thể chế yếu hơn, và phẳng dần về gần tuyến tính ở các chế độ tiên tiến — trong khi năng lực số tái tạo đường cong và tái định vị điểm tối ưu hữu hiệu của nó (H3). Cách nhìn này hóa giải mâu thuẫn bề ngoài giữa các nghiên cứu báo cáo hiệu ứng tuyến tính dương, hình chữ U ngược, và hiệu ứng bằng không (xem mục 5.2): chúng chỉ là những quan sát về cùng một đường cong được lấy mẫu ở các vị trí thể chế khác nhau. Đóng góp ở đây là chuyển trọng tâm giải thích từ</w:t>
      </w:r>
      <w:r>
        <w:t xml:space="preserve"> </w:t>
      </w:r>
      <w:r>
        <w:rPr>
          <w:iCs/>
          <w:i/>
        </w:rPr>
        <w:t xml:space="preserve">sự tồn tại</w:t>
      </w:r>
      <w:r>
        <w:t xml:space="preserve"> </w:t>
      </w:r>
      <w:r>
        <w:t xml:space="preserve">của tính phi tuyến sang</w:t>
      </w:r>
      <w:r>
        <w:t xml:space="preserve"> </w:t>
      </w:r>
      <w:r>
        <w:rPr>
          <w:iCs/>
          <w:i/>
        </w:rPr>
        <w:t xml:space="preserve">các nhân tố xác định điểm tối ưu</w:t>
      </w:r>
      <w:r>
        <w:t xml:space="preserve"> </w:t>
      </w:r>
      <w:r>
        <w:t xml:space="preserve">— một sự dịch chuyển từ việc mô tả khớp đường cong sang một lý thuyết bối cảnh về việc quốc tế hóa sinh lợi ở đâu.</w:t>
      </w:r>
    </w:p>
    <w:p>
      <w:pPr>
        <w:pStyle w:val="BodyText"/>
      </w:pPr>
      <w:r>
        <w:t xml:space="preserve">Cơ chế</w:t>
      </w:r>
      <w:r>
        <w:t xml:space="preserve"> </w:t>
      </w:r>
      <w:r>
        <w:rPr>
          <w:bCs/>
          <w:b/>
        </w:rPr>
        <w:t xml:space="preserve">thay thế thể chế bằng năng lực số</w:t>
      </w:r>
      <w:r>
        <w:t xml:space="preserve"> </w:t>
      </w:r>
      <w:r>
        <w:t xml:space="preserve">(digital-for-institutional substitution) mở rộng lý thuyết khoảng trống thể chế (Khanna &amp; Palepu, 1997) sang miền số. Tương tác DAI×ICRV (β = +0,052, p = ,049) cho thấy giá trị tái tạo đường cong của áp dụng số nền tảng lớn hơn chính tại nơi thể chế chính thức yếu hơn. Hạ tầng số do vậy không vận hành như một nhân tố nâng cao đồng đều, mà như một nhân tố thay thế một phần cho các chức năng thực thi hợp đồng, cung cấp thông tin thị trường và phối hợp mà thể chế mạnh vốn đảm nhận. Theo hiểu biết của chúng tôi, đây là bằng chứng cấp doanh nghiệp đa nền kinh tế đầu tiên cho thấy số hóa và chất lượng thể chế đóng vai trò thay thế cho nhau, chứ không phải bổ sung cho nhau, trong quá trình chuyển hóa quốc tế hóa thành hiệu quả.</w:t>
      </w:r>
    </w:p>
    <w:p>
      <w:pPr>
        <w:pStyle w:val="BodyText"/>
      </w:pPr>
      <w:r>
        <w:t xml:space="preserve">Sự phân biệt</w:t>
      </w:r>
      <w:r>
        <w:t xml:space="preserve"> </w:t>
      </w:r>
      <w:r>
        <w:rPr>
          <w:bCs/>
          <w:b/>
        </w:rPr>
        <w:t xml:space="preserve">mức độ – tái định vị</w:t>
      </w:r>
      <w:r>
        <w:t xml:space="preserve"> </w:t>
      </w:r>
      <w:r>
        <w:t xml:space="preserve">tách bạch hai vai trò mà tài liệu về năng lực thường gộp lẫn. Năng lực công nghệ nâng mức hiệu quả trên toàn đường cong nhưng không tái định vị điểm tối ưu một cách đáng tin cậy trong mẫu gộp (xem mục 5.3), trong khi chế độ thể chế tái định vị điểm tối ưu mà không nâng mức một cách đồng đều. Việc phân biệt các lực tái định vị điểm tối ưu với các lực dịch chuyển mức độ làm sáng tỏ vì sao những phát hiện năng lực ở từng quốc gia (chẳng hạn điều tiết TCI tại P3 Việt Nam và P5 Trung Quốc) không nhất thiết khái quát hóa được: việc tái tạo đường cong dựa trên năng lực đòi hỏi một sự bổ sung thể chế vốn hiện diện không đồng đều trên phổ ICRV.</w:t>
      </w:r>
    </w:p>
    <w:p>
      <w:pPr>
        <w:pStyle w:val="BodyText"/>
      </w:pPr>
      <w:r>
        <w:t xml:space="preserve">Cuối cùng, nghiên cứu đề xuất</w:t>
      </w:r>
      <w:r>
        <w:t xml:space="preserve"> </w:t>
      </w:r>
      <w:r>
        <w:rPr>
          <w:bCs/>
          <w:b/>
        </w:rPr>
        <w:t xml:space="preserve">khung ICRV</w:t>
      </w:r>
      <w:r>
        <w:t xml:space="preserve"> </w:t>
      </w:r>
      <w:r>
        <w:t xml:space="preserve">như một cấu trúc bối cảnh súc tích cho nghiên cứu kinh doanh quốc tế xuyên quốc gia. Bằng cách sắp xếp các nền kinh tế đồng thời theo năng lực thể chế và tổn thương nguồn lực — hai chiều mà truyền thống các biến thể của chủ nghĩa tư bản (Hall &amp; Soskice, 2001) và khoảng trống thể chế (Khanna &amp; Palepu, 1997) thường xử lý tách rời — khung ICRV dự báo được cả độ dốc lẫn độ cong của hàm I–P trên 45 nền kinh tế, qua đó cung cấp một giàn khung có thể chuyển giao để lý thuyết hóa chiến lược doanh nghiệp trong các chế độ thể chế không đồng nhất.</w:t>
      </w:r>
    </w:p>
    <w:bookmarkEnd w:id="45"/>
    <w:bookmarkStart w:id="46" w:name="Xbca7393d1dccf37b24923e17b97f7f766e76c8b"/>
    <w:p>
      <w:pPr>
        <w:pStyle w:val="Heading3"/>
      </w:pPr>
      <w:r>
        <w:t xml:space="preserve">5.2 Giải Quyết Tính Không Đồng Nhất Qua Các Nghiên Cứu</w:t>
      </w:r>
    </w:p>
    <w:p>
      <w:pPr>
        <w:pStyle w:val="FirstParagraph"/>
      </w:pPr>
      <w:r>
        <w:t xml:space="preserve">Phát hiện trung tâm — hình chữ U ngược với điểm ngưỡng khoảng 37% cường độ doanh số nước ngoài, vững trên 45 nền kinh tế và sáu nhóm ICRV —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36%;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độ lõm của đường cong sâu hơn khi thể chế suy yếu, vì vậy các nghiên cứu tại các nền kinh tế tiên phong có khả năng phát hiện một hình chữ U ngược gay gắt hơn, trong khi các nghiên cứu tại các nền kinh tế tiên tiến về thể chế có xu hướng quan sát một biên dạng nhánh lên phẳng hơn, tuyến tính hơn trên phạm vi cường độ xuất khẩu quan sát được.</w:t>
      </w:r>
    </w:p>
    <w:bookmarkEnd w:id="46"/>
    <w:bookmarkStart w:id="47" w:name="Xcf35da8639c9a7ca5df7fc006bb821baef68043"/>
    <w:p>
      <w:pPr>
        <w:pStyle w:val="Heading3"/>
      </w:pPr>
      <w:r>
        <w:t xml:space="preserve">5.3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45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7"/>
    <w:bookmarkStart w:id="48" w:name="áp-dụng-số-và-tính-bổ-sung-thể-chế"/>
    <w:p>
      <w:pPr>
        <w:pStyle w:val="Heading3"/>
      </w:pPr>
      <w:r>
        <w:t xml:space="preserve">5.4 Áp Dụng Số và Tính Bổ Sung Thể Chế</w:t>
      </w:r>
    </w:p>
    <w:p>
      <w:pPr>
        <w:pStyle w:val="FirstParagraph"/>
      </w:pPr>
      <w:r>
        <w:t xml:space="preserve">Việc tái tạo đường cong bổ sung năng lực tìm thấy cho DAI trong M9 — và tương tác DAI×ICRV có ý nghĩa thống kê (β = +0,052, p = ,049) trong M11 —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8"/>
    <w:bookmarkStart w:id="49" w:name="tính-không-đồng-nhất-quản-lý"/>
    <w:p>
      <w:pPr>
        <w:pStyle w:val="Heading3"/>
      </w:pPr>
      <w:r>
        <w:t xml:space="preserve">5.5 Tính Không Đồng Nhất Quản Lý</w:t>
      </w:r>
    </w:p>
    <w:p>
      <w:pPr>
        <w:pStyle w:val="FirstParagraph"/>
      </w:pPr>
      <w:r>
        <w:t xml:space="preserve">Phần bù hiệu quả nhất quán và có ý nghĩa thống kê cho các nhà quản lý nữ cấp cao (khoảng 17–20%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 một trong những nền kinh tế Nhóm IV ICRV lớn nhất trong mẫu, với tỷ lệ tham gia lực lượng lao động nữ-trên-nam là 88,61% (World Bank Prosperity Data360, 2025) —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9"/>
    <w:bookmarkStart w:id="50" w:name="hạn-chế"/>
    <w:p>
      <w:pPr>
        <w:pStyle w:val="Heading3"/>
      </w:pPr>
      <w:r>
        <w:t xml:space="preserve">5.6 Hạn Chế</w:t>
      </w:r>
    </w:p>
    <w:p>
      <w:pPr>
        <w:pStyle w:val="FirstParagraph"/>
      </w:pPr>
      <w:r>
        <w:t xml:space="preserve">Ba ràng buộc suy luận giới hạn các phát hiện này. Thứ nhất, WBES là thiết kế mặt cắt ngang: thuật ngữ</w:t>
      </w:r>
      <w:r>
        <w:t xml:space="preserve"> </w:t>
      </w:r>
      <w:r>
        <w:t xml:space="preserve">“</w:t>
      </w:r>
      <w:r>
        <w:t xml:space="preserve">hiệu quả</w:t>
      </w:r>
      <w:r>
        <w:t xml:space="preserve">”</w:t>
      </w:r>
      <w:r>
        <w:t xml:space="preserve"> </w:t>
      </w:r>
      <w:r>
        <w:t xml:space="preserve">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bao trùm 45 nền kinh tế được ánh xạ ICRV qua sáu nhóm chế độ; đợt duy nhất hiện có của Oman (2003) thiếu các biến năng suất và cường độ xuất khẩu cốt lõi nên không đi vào mẫu ước lượng. Các đợt WBES tương lai của Oman sẽ làm sắc nét các ước tính Nhóm II.</w:t>
      </w:r>
    </w:p>
    <w:p>
      <w:r>
        <w:pict>
          <v:rect style="width:0;height:1.5pt" o:hralign="center" o:hrstd="t" o:hr="t"/>
        </w:pict>
      </w:r>
    </w:p>
    <w:bookmarkEnd w:id="50"/>
    <w:bookmarkEnd w:id="51"/>
    <w:bookmarkStart w:id="52" w:name="kết-luận"/>
    <w:p>
      <w:pPr>
        <w:pStyle w:val="Heading2"/>
      </w:pPr>
      <w:r>
        <w:t xml:space="preserve">6. Kết Luận</w:t>
      </w:r>
    </w:p>
    <w:p>
      <w:pPr>
        <w:pStyle w:val="FirstParagraph"/>
      </w:pPr>
      <w:r>
        <w:t xml:space="preserve">Nghiên cứu này không nhằm trả lời câu hỏi quốc tế hóa có sinh lợi hay không, mà là sinh lợi ở đâu và cho ai. Trên mẫu WBES gồm 45 nền kinh tế và 98 đợt khảo sát, mối quan hệ I–P hình chữ U ngược mang tính phổ quát về dạng thức — đạt đỉnh ở khoảng 37% cường độ xuất khẩu — song</w:t>
      </w:r>
      <w:r>
        <w:t xml:space="preserve"> </w:t>
      </w:r>
      <w:r>
        <w:rPr>
          <w:iCs/>
          <w:i/>
        </w:rPr>
        <w:t xml:space="preserve">dạng thức</w:t>
      </w:r>
      <w:r>
        <w:t xml:space="preserve"> </w:t>
      </w:r>
      <w:r>
        <w:t xml:space="preserve">của nó lại được điều kiện hóa một cách đồng thời bởi chế độ thể chế và năng lực số — thể chế chi phối độ lõm của đường cong còn năng lực số tái tạo nó — và năng lực số vận hành như một nhân tố thay thế một phần cho sức mạnh thể chế. Ba hàm ý được rút ra. Đối với các doanh nghiệp ở nhánh lên (FSTS &lt; 36%), tăng cường quốc tế hóa giúp nâng năng suất và ưu tiên là gỡ bỏ các rào cản mở rộng xuất khẩu; vượt qua điểm tối ưu, ràng buộc cốt yếu là năng lực phối hợp chứ không phải tiếp cận thị trường. Năng lực công nghệ nâng mức hiệu quả ở mọi mức cường độ xuất khẩu mà không tái định vị điểm tối ưu một cách đáng tin cậy, vì vậy nên hiểu việc xây dựng năng lực như một đòn bẩy hiệu quả nền tảng hơn là một can thiệp dịch chuyển đường cong. Áp dụng số nền tảng vừa là nhân tố nâng cao mức độ vừa là nhân tố tái tạo đường cong, và lợi nhuận của nó lớn nhất ở nơi thể chế yếu nhất (DAI×ICRV, p = ,049) — khiến số hóa trở thành một công cụ có đòn bẩy đặc biệt cao ở các chế độ tiên phong và dễ tổn thương.</w:t>
      </w:r>
    </w:p>
    <w:p>
      <w:pPr>
        <w:pStyle w:val="BodyText"/>
      </w:pPr>
      <w:r>
        <w:t xml:space="preserve">Logic điểm tối ưu được tái định vị cũng làm rõ những doanh nghiệp nào dễ phơi nhiễm nhất trước các cú sốc vĩ mô: những doanh nghiệp bị đẩy vượt quá điểm tối ưu riêng của chế độ mình bởi các cam kết xuất khẩu trước đó sẽ chịu hình phạt nhánh xuống nặng nề nhất, mà kết quả ICRV cho thấy là dốc nhất ở các chế độ thể chế yếu hơn. Hoạt động giám sát vĩ mô gần đây đối với Việt Nam — nền kinh tế Nhóm IV ICRV lớn nhất trong mẫu — minh họa cho điểm này, khi đơn đặt hàng xuất khẩu thu hẹp vào đầu năm 2026 (World Bank, 2026b) đặt các nhà xuất khẩu có FSTS cao vào chính đoạn dễ phơi nhiễm này. Năng lực số có thể đệm đỡ sự suy giảm bằng cách làm phẳng nhánh xuống (M8–M9), mang lại cho doanh nghiệp một biên độ điều chỉnh khi cầu bên ngoài suy yếu.</w:t>
      </w:r>
    </w:p>
    <w:p>
      <w:pPr>
        <w:pStyle w:val="BodyText"/>
      </w:pPr>
      <w:r>
        <w:t xml:space="preserve">Nghiên cứu tương lai nên tận dụng các chiều bảng đang phát triển của WBES để thiết lập quan hệ nhân quả, kết hợp các thước đo năng lực số Tầng 3–4 (áp dụng AI, điện toán đám mây, tham gia nền tảng) khi các mục này trở nên có sẵn trong các đợt WBES 2025+, và kiểm định trực tiếp liệu cơ chế thay thế thể chế bằng năng lực số được ghi nhận ở đây có mạnh lên hay suy giảm khi thể chế phát triển.</w:t>
      </w:r>
    </w:p>
    <w:p>
      <w:r>
        <w:pict>
          <v:rect style="width:0;height:1.5pt" o:hralign="center" o:hrstd="t" o:hr="t"/>
        </w:pict>
      </w:r>
    </w:p>
    <w:bookmarkEnd w:id="52"/>
    <w:bookmarkStart w:id="53"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3"/>
    <w:bookmarkStart w:id="54"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28.500, AdjR² = ,057, TP = 25,7%, LM p = ,026): DAI×ICRV = +0,052</w:t>
      </w:r>
      <w:r>
        <w:rPr>
          <w:iCs/>
          <w:i/>
        </w:rPr>
        <w:t xml:space="preserve">, ba chiều FSTS×DAI×ICRV = −0,016 (NS), mgr_experience = +0,022</w:t>
      </w:r>
      <w:r>
        <w:rPr>
          <w:bCs/>
          <w:b/>
        </w:rPr>
        <w:t xml:space="preserve">, FSTS×mgr = +0,007 (NS), mgr_female = +0,210</w:t>
      </w:r>
      <w:r>
        <w:t xml:space="preserve">*, female_owner = +0,122**.</w:t>
      </w:r>
    </w:p>
    <w:p>
      <w:r>
        <w:pict>
          <v:rect style="width:0;height:1.5pt" o:hralign="center" o:hrstd="t" o:hr="t"/>
        </w:pict>
      </w:r>
    </w:p>
    <w:bookmarkEnd w:id="54"/>
    <w:bookmarkStart w:id="55"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 patu@ctu.edu.vn, ORCID: 0000-0003-0667-3137</w:t>
      </w:r>
      <w:r>
        <w:t xml:space="preserve"> </w:t>
      </w:r>
      <w:r>
        <w:rPr>
          <w:iCs/>
          <w:i/>
        </w:rPr>
        <w:t xml:space="preserve">Tác giả thứ nhất: Đỗ Thùy Hương, Trường Đại học Kỹ thuật - Công nghệ Vĩnh Long, huongdt@vlute.edu.vn, ORCID: 0000-0002-7711-2487</w:t>
      </w:r>
    </w:p>
    <w:bookmarkEnd w:id="55"/>
    <w:bookmarkEnd w:id="5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2026-05-26T13:11:17Z</dcterms:created>
  <dcterms:modified xsi:type="dcterms:W3CDTF">2026-05-26T13:11:17Z</dcterms:modified>
</cp:coreProperties>
</file>

<file path=docProps/custom.xml><?xml version="1.0" encoding="utf-8"?>
<Properties xmlns="http://schemas.openxmlformats.org/officeDocument/2006/custom-properties" xmlns:vt="http://schemas.openxmlformats.org/officeDocument/2006/docPropsVTypes"/>
</file>