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(8 hình trong text; 2–3 hình theo kế hoạch — chạy</w:t>
      </w:r>
      <w:r>
        <w:t xml:space="preserve"> </w:t>
      </w:r>
      <w:r>
        <w:rPr>
          <w:rStyle w:val="VerbatimChar"/>
        </w:rPr>
        <w:t xml:space="preserve">python3 thesis/generate_figures.py</w:t>
      </w:r>
      <w:r>
        <w:t xml:space="preserve">).</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LỜI CAM ĐOAN .................................................................................................................................... ii</w:t>
      </w:r>
      <w:r>
        <w:t xml:space="preserve"> </w:t>
      </w:r>
      <w:r>
        <w:t xml:space="preserve">TÓM TẮT ............................................................................................................................................ iii</w:t>
      </w:r>
      <w:r>
        <w:t xml:space="preserve"> </w:t>
      </w:r>
      <w:r>
        <w:t xml:space="preserve">ABSTRACT .......................................................................................................................................... iv</w:t>
      </w:r>
      <w:r>
        <w:t xml:space="preserve"> </w:t>
      </w:r>
      <w:r>
        <w:t xml:space="preserve">MỤC LỤC ............................................................................................................................................. v</w:t>
      </w:r>
      <w:r>
        <w:t xml:space="preserve"> </w:t>
      </w:r>
      <w:r>
        <w:t xml:space="preserve">DANH MỤC BẢNG ................................................................................................................................ vii</w:t>
      </w:r>
      <w:r>
        <w:t xml:space="preserve"> </w:t>
      </w:r>
      <w:r>
        <w:t xml:space="preserve">DANH MỤC HÌNH ................................................................................................................................. ix</w:t>
      </w:r>
      <w:r>
        <w:t xml:space="preserve"> </w:t>
      </w:r>
      <w:r>
        <w:t xml:space="preserve">DANH MỤC TỪ VIẾT TẮT .................................................................................................................... x</w:t>
      </w:r>
    </w:p>
    <w:p>
      <w:pPr>
        <w:pStyle w:val="BodyText"/>
      </w:pPr>
      <w:r>
        <w:rPr>
          <w:bCs/>
          <w:b/>
        </w:rPr>
        <w:t xml:space="preserve">CHƯƠNG 1 — GIỚI THIỆU</w:t>
      </w:r>
      <w:r>
        <w:t xml:space="preserve"> </w:t>
      </w:r>
      <w:r>
        <w:rPr>
          <w:iCs/>
          <w:i/>
        </w:rPr>
        <w:t xml:space="preserve">(thesis/14_cd1_part1_intro_theory_vi.md)</w:t>
      </w:r>
      <w:r>
        <w:t xml:space="preserve"> </w:t>
      </w:r>
      <w:r>
        <w:t xml:space="preserve">§1.1 Đặt vấn đề .................................................................................................................... ...</w:t>
      </w:r>
      <w:r>
        <w:t xml:space="preserve"> </w:t>
      </w:r>
      <w:r>
        <w:t xml:space="preserve">§1.2 Mục tiêu chuyên đề ....................................................................................................... ...</w:t>
      </w:r>
      <w:r>
        <w:t xml:space="preserve"> </w:t>
      </w:r>
      <w:r>
        <w:t xml:space="preserve">§1.3 Phạm vi và đối tượng nghiên cứu .................................................................................... ...</w:t>
      </w:r>
      <w:r>
        <w:t xml:space="preserve"> </w:t>
      </w:r>
      <w:r>
        <w:t xml:space="preserve">§1.4 Phương pháp tiếp cận ................................................................................................... ...</w:t>
      </w:r>
      <w:r>
        <w:t xml:space="preserve"> </w:t>
      </w:r>
      <w:r>
        <w:t xml:space="preserve">§1.5 Đóng góp dự kiến của chuyên đề .................................................................................... ...</w:t>
      </w:r>
      <w:r>
        <w:t xml:space="preserve"> </w:t>
      </w:r>
      <w:r>
        <w:t xml:space="preserve">§1.6 Kết cấu chuyên đề ........................................................................................................ ...</w:t>
      </w:r>
    </w:p>
    <w:p>
      <w:pPr>
        <w:pStyle w:val="BodyText"/>
      </w:pPr>
      <w:r>
        <w:rPr>
          <w:bCs/>
          <w:b/>
        </w:rPr>
        <w:t xml:space="preserve">CHƯƠNG 2 — CƠ SỞ LÝ LUẬN VỀ HIỆU QUẢ HOẠT ĐỘNG KINH DOANH</w:t>
      </w:r>
      <w:r>
        <w:t xml:space="preserve"> </w:t>
      </w:r>
      <w:r>
        <w:rPr>
          <w:iCs/>
          <w:i/>
        </w:rPr>
        <w:t xml:space="preserve">(thesis/14)</w:t>
      </w:r>
      <w:r>
        <w:t xml:space="preserve"> </w:t>
      </w:r>
      <w:r>
        <w:t xml:space="preserve">§2.1 Khái niệm hiệu quả hoạt động kinh doanh ...................................................................... ...</w:t>
      </w:r>
      <w:r>
        <w:t xml:space="preserve"> </w:t>
      </w:r>
      <w:r>
        <w:t xml:space="preserve">§2.2 Các chiều đo lường hiệu quả ......................................................................................... ...</w:t>
      </w:r>
      <w:r>
        <w:t xml:space="preserve"> </w:t>
      </w:r>
      <w:r>
        <w:t xml:space="preserve">§2.3 Meta-analysis và tổng quan văn liệu I–P ......................................................................... ...</w:t>
      </w:r>
      <w:r>
        <w:t xml:space="preserve"> </w:t>
      </w:r>
      <w:r>
        <w:t xml:space="preserve">§2.4 Chuẩn hóa xuyên quốc gia ............................................................................................ ...</w:t>
      </w:r>
      <w:r>
        <w:t xml:space="preserve"> </w:t>
      </w:r>
      <w:r>
        <w:t xml:space="preserve">§2.5 Ba khung lý thuyết cốt lõi .............................................................................................. ...</w:t>
      </w:r>
      <w:r>
        <w:t xml:space="preserve"> </w:t>
      </w:r>
      <w:r>
        <w:t xml:space="preserve">§2.6 Điều kiện biên cho U-curve Lu &amp; Beamish (2004) .............................................................. ...</w:t>
      </w:r>
      <w:r>
        <w:t xml:space="preserve"> </w:t>
      </w:r>
      <w:r>
        <w:t xml:space="preserve">§2.7 Khung 4-Tier chuyển đổi số + mô hình CDCM .................................................................. ...</w:t>
      </w:r>
    </w:p>
    <w:p>
      <w:pPr>
        <w:pStyle w:val="BodyText"/>
      </w:pPr>
      <w:r>
        <w:rPr>
          <w:bCs/>
          <w:b/>
        </w:rPr>
        <w:t xml:space="preserve">CHƯƠNG 3 — KHUNG PHÂN LOẠI 6 PHÂN NHÓM CON ICRV</w:t>
      </w:r>
      <w:r>
        <w:t xml:space="preserve"> </w:t>
      </w:r>
      <w:r>
        <w:rPr>
          <w:iCs/>
          <w:i/>
        </w:rPr>
        <w:t xml:space="preserve">(thesis/14)</w:t>
      </w:r>
      <w:r>
        <w:t xml:space="preserve"> </w:t>
      </w:r>
      <w:r>
        <w:t xml:space="preserve">§3.1 Cơ sở phân loại ............................................................................................................ ...</w:t>
      </w:r>
      <w:r>
        <w:t xml:space="preserve"> </w:t>
      </w:r>
      <w:r>
        <w:t xml:space="preserve">§3.2 6 phân nhóm con ICRV (Bảng 3.1) ................................................................................. ...</w:t>
      </w:r>
      <w:r>
        <w:t xml:space="preserve"> </w:t>
      </w:r>
      <w:r>
        <w:t xml:space="preserve">§3.3 Logic phân nhóm (Bảng 3.2) ......................................................................................... ...</w:t>
      </w:r>
      <w:r>
        <w:t xml:space="preserve"> </w:t>
      </w:r>
      <w:r>
        <w:t xml:space="preserve">§3.4 Ranh giới phân loại và trường hợp đặc biệt .................................................................... ...</w:t>
      </w:r>
      <w:r>
        <w:t xml:space="preserve"> </w:t>
      </w:r>
      <w:r>
        <w:t xml:space="preserve">§3.5 So sánh với khung phân loại hiện có ............................................................................... ...</w:t>
      </w:r>
    </w:p>
    <w:p>
      <w:pPr>
        <w:pStyle w:val="BodyText"/>
      </w:pPr>
      <w:r>
        <w:rPr>
          <w:bCs/>
          <w:b/>
        </w:rPr>
        <w:t xml:space="preserve">CHƯƠNG 4 — THỰC TRẠNG HIỆU QUẢ DOANH NGHIỆP CHÂU Á 2009–2025</w:t>
      </w:r>
      <w:r>
        <w:t xml:space="preserve"> </w:t>
      </w:r>
      <w:r>
        <w:rPr>
          <w:iCs/>
          <w:i/>
        </w:rPr>
        <w:t xml:space="preserve">(thesis/15)</w:t>
      </w:r>
      <w:r>
        <w:t xml:space="preserve"> </w:t>
      </w:r>
      <w:r>
        <w:t xml:space="preserve">§4.1 Nguồn dữ liệu World Bank Enterprise Surveys ................................................................. ...</w:t>
      </w:r>
      <w:r>
        <w:t xml:space="preserve"> </w:t>
      </w:r>
      <w:r>
        <w:t xml:space="preserve">§4.2 Thực trạng năng suất lao động — phân tán trong từng quốc gia ....................................... ...</w:t>
      </w:r>
      <w:r>
        <w:t xml:space="preserve"> </w:t>
      </w:r>
      <w:r>
        <w:t xml:space="preserve">§4.3 Thực trạng quốc tế hóa và tăng trưởng việc làm ............................................................. ...</w:t>
      </w:r>
      <w:r>
        <w:t xml:space="preserve"> </w:t>
      </w:r>
      <w:r>
        <w:t xml:space="preserve">§4.4 Thực trạng đổi mới sáng tạo và năng lực số ................................................................... ...</w:t>
      </w:r>
      <w:r>
        <w:t xml:space="preserve"> </w:t>
      </w:r>
      <w:r>
        <w:t xml:space="preserve">§4.4.0 Khung 5 lĩnh vực chỉ số WBES ................................................................................. ...</w:t>
      </w:r>
      <w:r>
        <w:t xml:space="preserve"> </w:t>
      </w:r>
      <w:r>
        <w:t xml:space="preserve">§4.4.5 Tái định hình Tier-1 Digital Presence rebrand .............................................................. ...</w:t>
      </w:r>
      <w:r>
        <w:t xml:space="preserve"> </w:t>
      </w:r>
      <w:r>
        <w:t xml:space="preserve">§4.4.5.1 Đối chiếu DAI xuyên quốc gia (Singapore vs Việt Nam) ............................................ ...</w:t>
      </w:r>
      <w:r>
        <w:t xml:space="preserve"> </w:t>
      </w:r>
      <w:r>
        <w:t xml:space="preserve">§4.5 Thực trạng cấu trúc doanh nghiệp ................................................................................. ...</w:t>
      </w:r>
      <w:r>
        <w:t xml:space="preserve"> </w:t>
      </w:r>
      <w:r>
        <w:t xml:space="preserve">§4.5.5 Bốn rào cản hàng đầu của khu vực tư nhân Á-Thái ..................................................... ...</w:t>
      </w:r>
      <w:r>
        <w:t xml:space="preserve"> </w:t>
      </w:r>
      <w:r>
        <w:t xml:space="preserve">§4.5.6 Giới tính quản lý cấp cao và sở hữu ........................................................................... ...</w:t>
      </w:r>
      <w:r>
        <w:t xml:space="preserve"> </w:t>
      </w:r>
      <w:r>
        <w:t xml:space="preserve">§4.6 Bức tranh thay đổi theo thời gian ................................................................................... ...</w:t>
      </w:r>
      <w:r>
        <w:t xml:space="preserve"> </w:t>
      </w:r>
      <w:r>
        <w:t xml:space="preserve">§4.7 Tổng hợp Chương 4 (10 kết luận chính) .......................................................................... ...</w:t>
      </w:r>
      <w:r>
        <w:t xml:space="preserve"> </w:t>
      </w:r>
      <w:r>
        <w:t xml:space="preserve">§4.7.5 Phân biệt 3 thuật ngữ tham nhũng WBES (Bribery vs Graft) ....................................... ...</w:t>
      </w:r>
      <w:r>
        <w:t xml:space="preserve"> </w:t>
      </w:r>
      <w:r>
        <w:t xml:space="preserve">§4.8 Khung phân tích cấp ngành — kế hoạch CĐ2 ................................................................. ...</w:t>
      </w:r>
      <w:r>
        <w:t xml:space="preserve"> </w:t>
      </w:r>
      <w:r>
        <w:t xml:space="preserve">§4.9 Phân nhóm con Emerging — phát hiện dị biệt nội bộ ....................................................... ...</w:t>
      </w:r>
      <w:r>
        <w:t xml:space="preserve"> </w:t>
      </w:r>
      <w:r>
        <w:t xml:space="preserve">§4.10 Phân tích sâu đợt khảo sát 2025 .................................................................................. ...</w:t>
      </w:r>
      <w:r>
        <w:t xml:space="preserve"> </w:t>
      </w:r>
      <w:r>
        <w:t xml:space="preserve">§4.11 Cô lập đứt gãy schema BREADY 2025 — 3 đề xuất phương pháp luận .............................. ...</w:t>
      </w:r>
    </w:p>
    <w:p>
      <w:pPr>
        <w:pStyle w:val="BodyText"/>
      </w:pPr>
      <w:r>
        <w:rPr>
          <w:bCs/>
          <w:b/>
        </w:rPr>
        <w:t xml:space="preserve">CHƯƠNG 5 — BẢY TIỂU CẢNH ĐIỂN HÌNH</w:t>
      </w:r>
      <w:r>
        <w:t xml:space="preserve"> </w:t>
      </w:r>
      <w:r>
        <w:rPr>
          <w:iCs/>
          <w:i/>
        </w:rPr>
        <w:t xml:space="preserve">(thesis/16)</w:t>
      </w:r>
      <w:r>
        <w:t xml:space="preserve"> </w:t>
      </w:r>
      <w:r>
        <w:t xml:space="preserve">§5.1 Singapore (Advanced đổi mới sáng tạo dẫn dắt, n=623) .................................................. ...</w:t>
      </w:r>
      <w:r>
        <w:t xml:space="preserve"> </w:t>
      </w:r>
      <w:r>
        <w:t xml:space="preserve">§5.2 Saudi Arabia, Qatar và Kuwait (Advanced tài nguyên dẫn dắt, n=1.632) ........................... ...</w:t>
      </w:r>
      <w:r>
        <w:t xml:space="preserve"> </w:t>
      </w:r>
      <w:r>
        <w:t xml:space="preserve">§5.3 Việt Nam (Emerging, n=3.077) — cập nhật ADB Vietnam Outlook 2026 ............................... ...</w:t>
      </w:r>
      <w:r>
        <w:t xml:space="preserve"> </w:t>
      </w:r>
      <w:r>
        <w:t xml:space="preserve">§5.4 Trung Quốc (Upper-middle, n=4.889) .............................................................................. ...</w:t>
      </w:r>
      <w:r>
        <w:t xml:space="preserve"> </w:t>
      </w:r>
      <w:r>
        <w:t xml:space="preserve">§5.5 Tổng hợp Emerging Asia (n=42.278) — bổ sung India case ............................................... ...</w:t>
      </w:r>
      <w:r>
        <w:t xml:space="preserve"> </w:t>
      </w:r>
      <w:r>
        <w:t xml:space="preserve">§5.6 Mongolia (Emerging — tài nguyên, n=1.905) ................................................................... ...</w:t>
      </w:r>
      <w:r>
        <w:t xml:space="preserve"> </w:t>
      </w:r>
      <w:r>
        <w:t xml:space="preserve">§5.7 SIDS Thái Bình Dương (7 nước — boundary case, n=1.371) .............................................. ...</w:t>
      </w:r>
      <w:r>
        <w:t xml:space="preserve"> </w:t>
      </w:r>
      <w:r>
        <w:t xml:space="preserve">§5.7.5 Bối cảnh kinh tế vĩ mô PICs Pacific ............................................................................ ...</w:t>
      </w:r>
      <w:r>
        <w:t xml:space="preserve"> </w:t>
      </w:r>
      <w:r>
        <w:t xml:space="preserve">§5.8 So sánh tổng hợp bảy tiểu cảnh ..................................................................................... ...</w:t>
      </w:r>
    </w:p>
    <w:p>
      <w:pPr>
        <w:pStyle w:val="BodyText"/>
      </w:pPr>
      <w:r>
        <w:rPr>
          <w:bCs/>
          <w:b/>
        </w:rPr>
        <w:t xml:space="preserve">CHƯƠNG 6 — CÁC YẾU TỐ GIẢI THÍCH SƠ BỘ</w:t>
      </w:r>
      <w:r>
        <w:t xml:space="preserve"> </w:t>
      </w:r>
      <w:r>
        <w:rPr>
          <w:iCs/>
          <w:i/>
        </w:rPr>
        <w:t xml:space="preserve">(thesis/16)</w:t>
      </w:r>
      <w:r>
        <w:t xml:space="preserve"> </w:t>
      </w:r>
      <w:r>
        <w:t xml:space="preserve">§6.1 Pattern giới tính trong quản lý và sở hữu — bằng chứng EAP châu Á dẫn đầu .................... ...</w:t>
      </w:r>
      <w:r>
        <w:t xml:space="preserve"> </w:t>
      </w:r>
      <w:r>
        <w:t xml:space="preserve">§6.2 Đường cong U của đổi mới sáng tạo và số hóa ................................................................ ...</w:t>
      </w:r>
    </w:p>
    <w:p>
      <w:pPr>
        <w:pStyle w:val="BodyText"/>
      </w:pPr>
      <w:r>
        <w:rPr>
          <w:bCs/>
          <w:b/>
        </w:rPr>
        <w:t xml:space="preserve">CHƯƠNG 7 — KHOẢNG TRỐNG THỰC TIỄN VÀ KẾT LUẬN</w:t>
      </w:r>
      <w:r>
        <w:t xml:space="preserve"> </w:t>
      </w:r>
      <w:r>
        <w:rPr>
          <w:iCs/>
          <w:i/>
        </w:rPr>
        <w:t xml:space="preserve">(thesis/16)</w:t>
      </w:r>
      <w:r>
        <w:t xml:space="preserve"> </w:t>
      </w:r>
      <w:r>
        <w:t xml:space="preserve">§7.1 Khoảng trống nghiên cứu thực tiễn ................................................................................ ...</w:t>
      </w:r>
      <w:r>
        <w:t xml:space="preserve"> </w:t>
      </w:r>
      <w:r>
        <w:t xml:space="preserve">§7.2 Kết luận chính (8 kết luận) ............................................................................................ ...</w:t>
      </w:r>
      <w:r>
        <w:t xml:space="preserve"> </w:t>
      </w:r>
      <w:r>
        <w:t xml:space="preserve">§7.3 Hàm ý cho luận án và Chuyên đề 2 ................................................................................. ...</w:t>
      </w:r>
      <w:r>
        <w:t xml:space="preserve"> </w:t>
      </w:r>
      <w:r>
        <w:t xml:space="preserve">§7.3.1 Hàm ý lý thuyết ........................................................................................................ ...</w:t>
      </w:r>
      <w:r>
        <w:t xml:space="preserve"> </w:t>
      </w:r>
      <w:r>
        <w:t xml:space="preserve">§7.3.2 Hàm ý phương pháp luận .......................................................................................... ...</w:t>
      </w:r>
      <w:r>
        <w:t xml:space="preserve"> </w:t>
      </w:r>
      <w:r>
        <w:t xml:space="preserve">§7.3.3 Hàm ý chính sách (9 hàm ý) ...................................................................................... ...</w:t>
      </w:r>
      <w:r>
        <w:t xml:space="preserve"> </w:t>
      </w:r>
      <w:r>
        <w:t xml:space="preserve">§7.3.4 Hàm ý cho Chuyên đề 2 và luận án ............................................................................. ...</w:t>
      </w:r>
      <w:r>
        <w:t xml:space="preserve"> </w:t>
      </w:r>
      <w:r>
        <w:t xml:space="preserve">§7.4 Hạn chế của chuyên đề ................................................................................................. ...</w:t>
      </w:r>
      <w:r>
        <w:t xml:space="preserve"> </w:t>
      </w:r>
      <w:r>
        <w:t xml:space="preserve">§7.5 Kế hoạch hoàn thiện ..................................................................................................... ...</w:t>
      </w:r>
    </w:p>
    <w:p>
      <w:pPr>
        <w:pStyle w:val="BodyText"/>
      </w:pPr>
      <w:r>
        <w:rPr>
          <w:bCs/>
          <w:b/>
        </w:rPr>
        <w:t xml:space="preserve">TÀI LIỆU THAM KHẢO</w:t>
      </w:r>
      <w:r>
        <w:t xml:space="preserve"> </w:t>
      </w:r>
      <w:r>
        <w:rPr>
          <w:iCs/>
          <w:i/>
        </w:rPr>
        <w:t xml:space="preserve">(APA 7th — đầy đủ: thesis/04_references_apa7.md)</w:t>
      </w:r>
      <w:r>
        <w:t xml:space="preserve"> </w:t>
      </w:r>
      <w:r>
        <w:t xml:space="preserve">...................... ...</w:t>
      </w:r>
    </w:p>
    <w:p>
      <w:pPr>
        <w:pStyle w:val="BodyText"/>
      </w:pPr>
      <w:r>
        <w:rPr>
          <w:bCs/>
          <w:b/>
        </w:rPr>
        <w:t xml:space="preserve">PHỤ LỤC</w:t>
      </w:r>
      <w:r>
        <w:t xml:space="preserve"> </w:t>
      </w:r>
      <w:r>
        <w:t xml:space="preserve">Phụ lục A — Phạm vi thực tế nhóm dữ liệu WBES (47 nền kinh tế, 108 cặp QG×năm) .............. ...</w:t>
      </w:r>
      <w:r>
        <w:t xml:space="preserve"> </w:t>
      </w:r>
      <w:r>
        <w:t xml:space="preserve">Phụ lục B–G — (sẽ bổ sung giai đoạn 1–3, 6–8/2026) ............................................................. ...</w:t>
      </w:r>
      <w:r>
        <w:t xml:space="preserve"> </w:t>
      </w:r>
      <w:r>
        <w:t xml:space="preserve">Phụ lục H — Bảng thuật ngữ Anh-Việt rút gọn</w:t>
      </w:r>
      <w:r>
        <w:t xml:space="preserve"> </w:t>
      </w:r>
      <w:r>
        <w:rPr>
          <w:iCs/>
          <w:i/>
        </w:rPr>
        <w:t xml:space="preserve">(xem thesis/09b_vn_term_glossary.md)</w:t>
      </w:r>
      <w:r>
        <w:t xml:space="preserve"> </w:t>
      </w:r>
      <w:r>
        <w:t xml:space="preserve">........... ...</w:t>
      </w:r>
    </w:p>
    <w:p>
      <w:pPr>
        <w:pStyle w:val="BodyText"/>
      </w:pPr>
      <w:r>
        <w:rPr>
          <w:iCs/>
          <w:i/>
        </w:rPr>
        <w:t xml:space="preserve">Số trang sẽ cập nhật khi xuất Word/PDF.</w:t>
      </w:r>
    </w:p>
    <w:p>
      <w:r>
        <w:pict>
          <v:rect style="width:0;height:1.5pt" o:hralign="center" o:hrstd="t" o:hr="t"/>
        </w:pict>
      </w:r>
    </w:p>
    <w:bookmarkEnd w:id="24"/>
    <w:bookmarkStart w:id="25"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Số hiệu</w:t>
            </w:r>
          </w:p>
        </w:tc>
        <w:tc>
          <w:tcPr/>
          <w:p>
            <w:pPr>
              <w:pStyle w:val="Compact"/>
              <w:jc w:val="left"/>
            </w:pPr>
            <w:r>
              <w:t xml:space="preserve">Tên bảng</w:t>
            </w:r>
          </w:p>
        </w:tc>
        <w:tc>
          <w:tcPr/>
          <w:p>
            <w:pPr>
              <w:pStyle w:val="Compact"/>
              <w:jc w:val="left"/>
            </w:pPr>
            <w:r>
              <w:t xml:space="preserve">Chương</w:t>
            </w:r>
          </w:p>
        </w:tc>
      </w:tr>
      <w:tr>
        <w:tc>
          <w:tcPr/>
          <w:p>
            <w:pPr>
              <w:pStyle w:val="Compact"/>
              <w:jc w:val="left"/>
            </w:pPr>
            <w:r>
              <w:t xml:space="preserve">Bảng 2.6.1</w:t>
            </w:r>
          </w:p>
        </w:tc>
        <w:tc>
          <w:tcPr/>
          <w:p>
            <w:pPr>
              <w:pStyle w:val="Compact"/>
              <w:jc w:val="left"/>
            </w:pPr>
            <w:r>
              <w:t xml:space="preserve">Ma trận đối chiếu lý thuyết 3 trạng thái U-curve theo 3 điều kiện cấu trúc</w:t>
            </w:r>
          </w:p>
        </w:tc>
        <w:tc>
          <w:tcPr/>
          <w:p>
            <w:pPr>
              <w:pStyle w:val="Compact"/>
              <w:jc w:val="left"/>
            </w:pPr>
            <w:r>
              <w:t xml:space="preserve">2</w:t>
            </w:r>
          </w:p>
        </w:tc>
      </w:tr>
      <w:tr>
        <w:tc>
          <w:tcPr/>
          <w:p>
            <w:pPr>
              <w:pStyle w:val="Compact"/>
              <w:jc w:val="left"/>
            </w:pPr>
            <w:r>
              <w:t xml:space="preserve">Bảng 2.7</w:t>
            </w:r>
          </w:p>
        </w:tc>
        <w:tc>
          <w:tcPr/>
          <w:p>
            <w:pPr>
              <w:pStyle w:val="Compact"/>
              <w:jc w:val="left"/>
            </w:pPr>
            <w:r>
              <w:t xml:space="preserve">Bốn tầng bậc số hóa theo Verhoef et al. (2021) — Khung 4-Tier với quan sát WBES</w:t>
            </w:r>
          </w:p>
        </w:tc>
        <w:tc>
          <w:tcPr/>
          <w:p>
            <w:pPr>
              <w:pStyle w:val="Compact"/>
              <w:jc w:val="left"/>
            </w:pPr>
            <w:r>
              <w:t xml:space="preserve">2</w:t>
            </w:r>
          </w:p>
        </w:tc>
      </w:tr>
      <w:tr>
        <w:tc>
          <w:tcPr/>
          <w:p>
            <w:pPr>
              <w:pStyle w:val="Compact"/>
              <w:jc w:val="left"/>
            </w:pPr>
            <w:r>
              <w:t xml:space="preserve">Bảng 3.1</w:t>
            </w:r>
          </w:p>
        </w:tc>
        <w:tc>
          <w:tcPr/>
          <w:p>
            <w:pPr>
              <w:pStyle w:val="Compact"/>
              <w:jc w:val="left"/>
            </w:pPr>
            <w:r>
              <w:t xml:space="preserve">Phân loại 6 phân nhóm con ICRV — 47 nền kinh tế (scope chính + boundary case)</w:t>
            </w:r>
          </w:p>
        </w:tc>
        <w:tc>
          <w:tcPr/>
          <w:p>
            <w:pPr>
              <w:pStyle w:val="Compact"/>
              <w:jc w:val="left"/>
            </w:pPr>
            <w:r>
              <w:t xml:space="preserve">3</w:t>
            </w:r>
          </w:p>
        </w:tc>
      </w:tr>
      <w:tr>
        <w:tc>
          <w:tcPr/>
          <w:p>
            <w:pPr>
              <w:pStyle w:val="Compact"/>
              <w:jc w:val="left"/>
            </w:pPr>
            <w:r>
              <w:t xml:space="preserve">Bảng 3.2</w:t>
            </w:r>
          </w:p>
        </w:tc>
        <w:tc>
          <w:tcPr/>
          <w:p>
            <w:pPr>
              <w:pStyle w:val="Compact"/>
              <w:jc w:val="left"/>
            </w:pPr>
            <w:r>
              <w:t xml:space="preserve">Logic phân nhóm con ICRV và tiêu chí xếp loại</w:t>
            </w:r>
          </w:p>
        </w:tc>
        <w:tc>
          <w:tcPr/>
          <w:p>
            <w:pPr>
              <w:pStyle w:val="Compact"/>
              <w:jc w:val="left"/>
            </w:pPr>
            <w:r>
              <w:t xml:space="preserve">3</w:t>
            </w:r>
          </w:p>
        </w:tc>
      </w:tr>
      <w:tr>
        <w:tc>
          <w:tcPr/>
          <w:p>
            <w:pPr>
              <w:pStyle w:val="Compact"/>
              <w:jc w:val="left"/>
            </w:pPr>
            <w:r>
              <w:t xml:space="preserve">Bảng 4.1</w:t>
            </w:r>
          </w:p>
        </w:tc>
        <w:tc>
          <w:tcPr/>
          <w:p>
            <w:pPr>
              <w:pStyle w:val="Compact"/>
              <w:jc w:val="left"/>
            </w:pPr>
            <w:r>
              <w:t xml:space="preserve">Phân tán năng suất lao động theo phân nhóm con thể chế (n=108 cặp QG×năm — v3.1)</w:t>
            </w:r>
          </w:p>
        </w:tc>
        <w:tc>
          <w:tcPr/>
          <w:p>
            <w:pPr>
              <w:pStyle w:val="Compact"/>
              <w:jc w:val="left"/>
            </w:pPr>
            <w:r>
              <w:t xml:space="preserve">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4</w:t>
            </w:r>
          </w:p>
        </w:tc>
      </w:tr>
      <w:tr>
        <w:tc>
          <w:tcPr/>
          <w:p>
            <w:pPr>
              <w:pStyle w:val="Compact"/>
              <w:jc w:val="left"/>
            </w:pPr>
            <w:r>
              <w:t xml:space="preserve">Bảng 4.4</w:t>
            </w:r>
          </w:p>
        </w:tc>
        <w:tc>
          <w:tcPr/>
          <w:p>
            <w:pPr>
              <w:pStyle w:val="Compact"/>
              <w:jc w:val="left"/>
            </w:pPr>
            <w:r>
              <w:t xml:space="preserve">Đổi mới sáng tạo và áp dụng số theo phân nhóm con (%)</w:t>
            </w:r>
          </w:p>
        </w:tc>
        <w:tc>
          <w:tcPr/>
          <w:p>
            <w:pPr>
              <w:pStyle w:val="Compact"/>
              <w:jc w:val="left"/>
            </w:pPr>
            <w:r>
              <w:t xml:space="preserve">4</w:t>
            </w:r>
          </w:p>
        </w:tc>
      </w:tr>
      <w:tr>
        <w:tc>
          <w:tcPr/>
          <w:p>
            <w:pPr>
              <w:pStyle w:val="Compact"/>
              <w:jc w:val="left"/>
            </w:pPr>
            <w:r>
              <w:t xml:space="preserve">Bảng 4.4.0</w:t>
            </w:r>
          </w:p>
        </w:tc>
        <w:tc>
          <w:tcPr/>
          <w:p>
            <w:pPr>
              <w:pStyle w:val="Compact"/>
              <w:jc w:val="left"/>
            </w:pPr>
            <w:r>
              <w:t xml:space="preserve">Khung 5 lĩnh vực chỉ số WBES — định vị phạm vi đo lường §4.4</w:t>
            </w:r>
          </w:p>
        </w:tc>
        <w:tc>
          <w:tcPr/>
          <w:p>
            <w:pPr>
              <w:pStyle w:val="Compact"/>
              <w:jc w:val="left"/>
            </w:pPr>
            <w:r>
              <w:t xml:space="preserve">4</w:t>
            </w:r>
          </w:p>
        </w:tc>
      </w:tr>
      <w:tr>
        <w:tc>
          <w:tcPr/>
          <w:p>
            <w:pPr>
              <w:pStyle w:val="Compact"/>
              <w:jc w:val="left"/>
            </w:pPr>
            <w:r>
              <w:t xml:space="preserve">Bảng 4.4.5.1</w:t>
            </w:r>
          </w:p>
        </w:tc>
        <w:tc>
          <w:tcPr/>
          <w:p>
            <w:pPr>
              <w:pStyle w:val="Compact"/>
              <w:jc w:val="left"/>
            </w:pPr>
            <w:r>
              <w:t xml:space="preserve">Đối chiếu cơ chế DAI: Singapore (Advanced innovation) vs Việt Nam (Emerging) — CDCM</w:t>
            </w:r>
          </w:p>
        </w:tc>
        <w:tc>
          <w:tcPr/>
          <w:p>
            <w:pPr>
              <w:pStyle w:val="Compact"/>
              <w:jc w:val="left"/>
            </w:pPr>
            <w:r>
              <w:t xml:space="preserve">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4</w:t>
            </w:r>
          </w:p>
        </w:tc>
      </w:tr>
      <w:tr>
        <w:tc>
          <w:tcPr/>
          <w:p>
            <w:pPr>
              <w:pStyle w:val="Compact"/>
              <w:jc w:val="left"/>
            </w:pPr>
            <w:r>
              <w:t xml:space="preserve">Bảng 4.5.5</w:t>
            </w:r>
          </w:p>
        </w:tc>
        <w:tc>
          <w:tcPr/>
          <w:p>
            <w:pPr>
              <w:pStyle w:val="Compact"/>
              <w:jc w:val="left"/>
            </w:pPr>
            <w:r>
              <w:t xml:space="preserve">Bốn rào cản hàng đầu khu vực tư nhân Asia-Pacific — phân tầng theo ICRV</w:t>
            </w:r>
          </w:p>
        </w:tc>
        <w:tc>
          <w:tcPr/>
          <w:p>
            <w:pPr>
              <w:pStyle w:val="Compact"/>
              <w:jc w:val="left"/>
            </w:pPr>
            <w:r>
              <w:t xml:space="preserve">4</w:t>
            </w:r>
          </w:p>
        </w:tc>
      </w:tr>
      <w:tr>
        <w:tc>
          <w:tcPr/>
          <w:p>
            <w:pPr>
              <w:pStyle w:val="Compact"/>
              <w:jc w:val="left"/>
            </w:pPr>
            <w:r>
              <w:t xml:space="preserve">Bảng 4.5.6</w:t>
            </w:r>
          </w:p>
        </w:tc>
        <w:tc>
          <w:tcPr/>
          <w:p>
            <w:pPr>
              <w:pStyle w:val="Compact"/>
              <w:jc w:val="left"/>
            </w:pPr>
            <w:r>
              <w:t xml:space="preserve">Tỷ lệ nữ quản lý cấp cao và nữ sở hữu — theo phân nhóm con ICRV</w:t>
            </w:r>
          </w:p>
        </w:tc>
        <w:tc>
          <w:tcPr/>
          <w:p>
            <w:pPr>
              <w:pStyle w:val="Compact"/>
              <w:jc w:val="left"/>
            </w:pPr>
            <w:r>
              <w:t xml:space="preserve">4</w:t>
            </w:r>
          </w:p>
        </w:tc>
      </w:tr>
      <w:tr>
        <w:tc>
          <w:tcPr/>
          <w:p>
            <w:pPr>
              <w:pStyle w:val="Compact"/>
              <w:jc w:val="left"/>
            </w:pPr>
            <w:r>
              <w:t xml:space="preserve">Bảng 4.6</w:t>
            </w:r>
          </w:p>
        </w:tc>
        <w:tc>
          <w:tcPr/>
          <w:p>
            <w:pPr>
              <w:pStyle w:val="Compact"/>
              <w:jc w:val="left"/>
            </w:pPr>
            <w:r>
              <w:t xml:space="preserve">Δ điểm phần trăm so sánh 2018–2025 với 2009–2012 (5 chỉ số × 4 phân nhóm con)</w:t>
            </w:r>
          </w:p>
        </w:tc>
        <w:tc>
          <w:tcPr/>
          <w:p>
            <w:pPr>
              <w:pStyle w:val="Compact"/>
              <w:jc w:val="left"/>
            </w:pPr>
            <w:r>
              <w:t xml:space="preserve">4</w:t>
            </w:r>
          </w:p>
        </w:tc>
      </w:tr>
      <w:tr>
        <w:tc>
          <w:tcPr/>
          <w:p>
            <w:pPr>
              <w:pStyle w:val="Compact"/>
              <w:jc w:val="left"/>
            </w:pPr>
            <w:r>
              <w:t xml:space="preserve">Bảng 4.7.5</w:t>
            </w:r>
          </w:p>
        </w:tc>
        <w:tc>
          <w:tcPr/>
          <w:p>
            <w:pPr>
              <w:pStyle w:val="Compact"/>
              <w:jc w:val="left"/>
            </w:pPr>
            <w:r>
              <w:t xml:space="preserve">Phân biệt 3 chỉ số tham nhũng WBES: Bribery Incidence, Bribery Depth, Graft Index</w:t>
            </w:r>
          </w:p>
        </w:tc>
        <w:tc>
          <w:tcPr/>
          <w:p>
            <w:pPr>
              <w:pStyle w:val="Compact"/>
              <w:jc w:val="left"/>
            </w:pPr>
            <w:r>
              <w:t xml:space="preserve">4</w:t>
            </w:r>
          </w:p>
        </w:tc>
      </w:tr>
      <w:tr>
        <w:tc>
          <w:tcPr/>
          <w:p>
            <w:pPr>
              <w:pStyle w:val="Compact"/>
              <w:jc w:val="left"/>
            </w:pPr>
            <w:r>
              <w:t xml:space="preserve">Bảng 4.8.1</w:t>
            </w:r>
          </w:p>
        </w:tc>
        <w:tc>
          <w:tcPr/>
          <w:p>
            <w:pPr>
              <w:pStyle w:val="Compact"/>
              <w:jc w:val="left"/>
            </w:pPr>
            <w:r>
              <w:t xml:space="preserve">Khung phân loại 9 ngành ISIC Rev. 4 và dynamism profile (Kafouros 2023)</w:t>
            </w:r>
          </w:p>
        </w:tc>
        <w:tc>
          <w:tcPr/>
          <w:p>
            <w:pPr>
              <w:pStyle w:val="Compact"/>
              <w:jc w:val="left"/>
            </w:pPr>
            <w:r>
              <w:t xml:space="preserve">4</w:t>
            </w:r>
          </w:p>
        </w:tc>
      </w:tr>
      <w:tr>
        <w:tc>
          <w:tcPr/>
          <w:p>
            <w:pPr>
              <w:pStyle w:val="Compact"/>
              <w:jc w:val="left"/>
            </w:pPr>
            <w:r>
              <w:t xml:space="preserve">Bảng 4.9</w:t>
            </w:r>
          </w:p>
        </w:tc>
        <w:tc>
          <w:tcPr/>
          <w:p>
            <w:pPr>
              <w:pStyle w:val="Compact"/>
              <w:jc w:val="left"/>
            </w:pPr>
            <w:r>
              <w:t xml:space="preserve">Phân nhóm con Emerging — 3 tiểu nhóm, số liệu tổng hợp 2009–2025 (n=47.803)</w:t>
            </w:r>
          </w:p>
        </w:tc>
        <w:tc>
          <w:tcPr/>
          <w:p>
            <w:pPr>
              <w:pStyle w:val="Compact"/>
              <w:jc w:val="left"/>
            </w:pPr>
            <w:r>
              <w:t xml:space="preserve">4</w:t>
            </w:r>
          </w:p>
        </w:tc>
      </w:tr>
      <w:tr>
        <w:tc>
          <w:tcPr/>
          <w:p>
            <w:pPr>
              <w:pStyle w:val="Compact"/>
              <w:jc w:val="left"/>
            </w:pPr>
            <w:r>
              <w:t xml:space="preserve">Bảng 4.10</w:t>
            </w:r>
          </w:p>
        </w:tc>
        <w:tc>
          <w:tcPr/>
          <w:p>
            <w:pPr>
              <w:pStyle w:val="Compact"/>
              <w:jc w:val="left"/>
            </w:pPr>
            <w:r>
              <w:t xml:space="preserve">14 quốc gia trong đợt khảo sát 2025 (n=16.979 — gồm Kiribati)</w:t>
            </w:r>
          </w:p>
        </w:tc>
        <w:tc>
          <w:tcPr/>
          <w:p>
            <w:pPr>
              <w:pStyle w:val="Compact"/>
              <w:jc w:val="left"/>
            </w:pPr>
            <w:r>
              <w:t xml:space="preserve">4</w:t>
            </w:r>
          </w:p>
        </w:tc>
      </w:tr>
      <w:tr>
        <w:tc>
          <w:tcPr/>
          <w:p>
            <w:pPr>
              <w:pStyle w:val="Compact"/>
              <w:jc w:val="left"/>
            </w:pPr>
            <w:r>
              <w:t xml:space="preserve">Bảng 4.11</w:t>
            </w:r>
          </w:p>
        </w:tc>
        <w:tc>
          <w:tcPr/>
          <w:p>
            <w:pPr>
              <w:pStyle w:val="Compact"/>
              <w:jc w:val="left"/>
            </w:pPr>
            <w:r>
              <w:t xml:space="preserve">Hệ thống ba lớp phòng vệ (triple-defense) chống đứt gãy schema BREADY 2025</w:t>
            </w:r>
          </w:p>
        </w:tc>
        <w:tc>
          <w:tcPr/>
          <w:p>
            <w:pPr>
              <w:pStyle w:val="Compact"/>
              <w:jc w:val="left"/>
            </w:pPr>
            <w:r>
              <w:t xml:space="preserve">4</w:t>
            </w:r>
          </w:p>
        </w:tc>
      </w:tr>
      <w:tr>
        <w:tc>
          <w:tcPr/>
          <w:p>
            <w:pPr>
              <w:pStyle w:val="Compact"/>
              <w:jc w:val="left"/>
            </w:pPr>
            <w:r>
              <w:t xml:space="preserve">Bảng 5.1</w:t>
            </w:r>
          </w:p>
        </w:tc>
        <w:tc>
          <w:tcPr/>
          <w:p>
            <w:pPr>
              <w:pStyle w:val="Compact"/>
              <w:jc w:val="left"/>
            </w:pPr>
            <w:r>
              <w:t xml:space="preserve">Ma trận so sánh đa chiều bảy tiểu cảnh điển hình (n=101.185)</w:t>
            </w:r>
          </w:p>
        </w:tc>
        <w:tc>
          <w:tcPr/>
          <w:p>
            <w:pPr>
              <w:pStyle w:val="Compact"/>
              <w:jc w:val="left"/>
            </w:pPr>
            <w:r>
              <w:t xml:space="preserve">5</w:t>
            </w:r>
          </w:p>
        </w:tc>
      </w:tr>
      <w:tr>
        <w:tc>
          <w:tcPr/>
          <w:p>
            <w:pPr>
              <w:pStyle w:val="Compact"/>
              <w:jc w:val="left"/>
            </w:pPr>
            <w:r>
              <w:t xml:space="preserve">Bảng 5.2</w:t>
            </w:r>
          </w:p>
        </w:tc>
        <w:tc>
          <w:tcPr/>
          <w:p>
            <w:pPr>
              <w:pStyle w:val="Compact"/>
              <w:jc w:val="left"/>
            </w:pPr>
            <w:r>
              <w:t xml:space="preserve">So sánh chỉ số chính: Saudi Arabia, Qatar, Kuwait vs Singapore</w:t>
            </w:r>
          </w:p>
        </w:tc>
        <w:tc>
          <w:tcPr/>
          <w:p>
            <w:pPr>
              <w:pStyle w:val="Compact"/>
              <w:jc w:val="left"/>
            </w:pPr>
            <w:r>
              <w:t xml:space="preserve">5</w:t>
            </w:r>
          </w:p>
        </w:tc>
      </w:tr>
      <w:tr>
        <w:tc>
          <w:tcPr/>
          <w:p>
            <w:pPr>
              <w:pStyle w:val="Compact"/>
              <w:jc w:val="left"/>
            </w:pPr>
            <w:r>
              <w:t xml:space="preserve">Bảng 6.1</w:t>
            </w:r>
          </w:p>
        </w:tc>
        <w:tc>
          <w:tcPr/>
          <w:p>
            <w:pPr>
              <w:pStyle w:val="Compact"/>
              <w:jc w:val="left"/>
            </w:pPr>
            <w:r>
              <w:t xml:space="preserve">Hệ số tương quan Pearson (n=101.185) — 4 yếu tố × 5 phân nhóm con</w:t>
            </w:r>
          </w:p>
        </w:tc>
        <w:tc>
          <w:tcPr/>
          <w:p>
            <w:pPr>
              <w:pStyle w:val="Compact"/>
              <w:jc w:val="left"/>
            </w:pPr>
            <w:r>
              <w:t xml:space="preserve">6</w:t>
            </w:r>
          </w:p>
        </w:tc>
      </w:tr>
      <w:tr>
        <w:tc>
          <w:tcPr/>
          <w:p>
            <w:pPr>
              <w:pStyle w:val="Compact"/>
              <w:jc w:val="left"/>
            </w:pPr>
            <w:r>
              <w:t xml:space="preserve">Bảng 6.1.1</w:t>
            </w:r>
          </w:p>
        </w:tc>
        <w:tc>
          <w:tcPr/>
          <w:p>
            <w:pPr>
              <w:pStyle w:val="Compact"/>
              <w:jc w:val="left"/>
            </w:pPr>
            <w:r>
              <w:t xml:space="preserve">Tỷ lệ nữ quản lý cấp cao và nữ sở hữu — phân tầng theo khu vực địa lý (WBES)</w:t>
            </w:r>
          </w:p>
        </w:tc>
        <w:tc>
          <w:tcPr/>
          <w:p>
            <w:pPr>
              <w:pStyle w:val="Compact"/>
              <w:jc w:val="left"/>
            </w:pPr>
            <w:r>
              <w:t xml:space="preserve">6</w:t>
            </w:r>
          </w:p>
        </w:tc>
      </w:tr>
      <w:tr>
        <w:tc>
          <w:tcPr/>
          <w:p>
            <w:pPr>
              <w:pStyle w:val="Compact"/>
              <w:jc w:val="left"/>
            </w:pPr>
            <w:r>
              <w:t xml:space="preserve">Bảng 6.1.2</w:t>
            </w:r>
          </w:p>
        </w:tc>
        <w:tc>
          <w:tcPr/>
          <w:p>
            <w:pPr>
              <w:pStyle w:val="Compact"/>
              <w:jc w:val="left"/>
            </w:pPr>
            <w:r>
              <w:t xml:space="preserve">Đối chiếu mối quan hệ I-P và cơ chế DAI/TCI: Việt Nam vs Singapore (CDCM)</w:t>
            </w:r>
          </w:p>
        </w:tc>
        <w:tc>
          <w:tcPr/>
          <w:p>
            <w:pPr>
              <w:pStyle w:val="Compact"/>
              <w:jc w:val="left"/>
            </w:pPr>
            <w:r>
              <w:t xml:space="preserve">6</w:t>
            </w:r>
          </w:p>
        </w:tc>
      </w:tr>
    </w:tbl>
    <w:p>
      <w:pPr>
        <w:pStyle w:val="BodyText"/>
      </w:pPr>
      <w:r>
        <w:rPr>
          <w:iCs/>
          <w:i/>
        </w:rPr>
        <w:t xml:space="preserve">Ghi chú: Bảng 3.1 và 3.2 trong Chương 3 (compressed — xem commit</w:t>
      </w:r>
      <w:r>
        <w:rPr>
          <w:iCs/>
          <w:i/>
        </w:rPr>
        <w:t xml:space="preserve"> </w:t>
      </w:r>
      <w:r>
        <w:rPr>
          <w:rStyle w:val="VerbatimChar"/>
          <w:iCs/>
          <w:i/>
        </w:rPr>
        <w:t xml:space="preserve">cd4276a</w:t>
      </w:r>
      <w:r>
        <w:rPr>
          <w:iCs/>
          <w:i/>
        </w:rPr>
        <w:t xml:space="preserve">). Số trang điền khi xuất Word/PDF.</w:t>
      </w:r>
    </w:p>
    <w:bookmarkEnd w:id="25"/>
    <w:bookmarkStart w:id="26"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Số hiệu</w:t>
            </w:r>
          </w:p>
        </w:tc>
        <w:tc>
          <w:tcPr/>
          <w:p>
            <w:pPr>
              <w:pStyle w:val="Compact"/>
              <w:jc w:val="left"/>
            </w:pPr>
            <w:r>
              <w:t xml:space="preserve">Tên hình</w:t>
            </w:r>
          </w:p>
        </w:tc>
        <w:tc>
          <w:tcPr/>
          <w:p>
            <w:pPr>
              <w:pStyle w:val="Compact"/>
              <w:jc w:val="left"/>
            </w:pPr>
            <w:r>
              <w:t xml:space="preserve">Chương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4</w:t>
            </w:r>
          </w:p>
        </w:tc>
      </w:tr>
      <w:tr>
        <w:tc>
          <w:tcPr/>
          <w:p>
            <w:pPr>
              <w:pStyle w:val="Compact"/>
              <w:jc w:val="left"/>
            </w:pPr>
            <w:r>
              <w:t xml:space="preserve">Hình 4.1.1</w:t>
            </w:r>
          </w:p>
        </w:tc>
        <w:tc>
          <w:tcPr/>
          <w:p>
            <w:pPr>
              <w:pStyle w:val="Compact"/>
              <w:jc w:val="left"/>
            </w:pPr>
            <w:r>
              <w:t xml:space="preserve">Bar chart phân bố pool theo 5 phân nhóm con thể chế (n=101.185 doanh nghiệp)</w:t>
            </w:r>
          </w:p>
        </w:tc>
        <w:tc>
          <w:tcPr/>
          <w:p>
            <w:pPr>
              <w:pStyle w:val="Compact"/>
              <w:jc w:val="left"/>
            </w:pPr>
            <w:r>
              <w:t xml:space="preserve">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4</w:t>
            </w:r>
          </w:p>
        </w:tc>
      </w:tr>
      <w:tr>
        <w:tc>
          <w:tcPr/>
          <w:p>
            <w:pPr>
              <w:pStyle w:val="Compact"/>
              <w:jc w:val="left"/>
            </w:pPr>
            <w:r>
              <w:t xml:space="preserve">Hình 4.4</w:t>
            </w:r>
          </w:p>
        </w:tc>
        <w:tc>
          <w:tcPr/>
          <w:p>
            <w:pPr>
              <w:pStyle w:val="Compact"/>
              <w:jc w:val="left"/>
            </w:pPr>
            <w:r>
              <w:t xml:space="preserve">Slope chart 2009–2012 vs 2018–2025: Δ điểm phần trăm 5 chỉ số × 4 phân nhóm con</w:t>
            </w:r>
          </w:p>
        </w:tc>
        <w:tc>
          <w:tcPr/>
          <w:p>
            <w:pPr>
              <w:pStyle w:val="Compact"/>
              <w:jc w:val="left"/>
            </w:pPr>
            <w:r>
              <w:t xml:space="preserve">4</w:t>
            </w:r>
          </w:p>
        </w:tc>
      </w:tr>
      <w:tr>
        <w:tc>
          <w:tcPr/>
          <w:p>
            <w:pPr>
              <w:pStyle w:val="Compact"/>
              <w:jc w:val="left"/>
            </w:pPr>
            <w:r>
              <w:t xml:space="preserve">Hình 4.6</w:t>
            </w:r>
          </w:p>
        </w:tc>
        <w:tc>
          <w:tcPr/>
          <w:p>
            <w:pPr>
              <w:pStyle w:val="Compact"/>
              <w:jc w:val="left"/>
            </w:pPr>
            <w:r>
              <w:t xml:space="preserve">Phân phối quy mô doanh nghiệp theo phân nhóm con (stacked bar, n=101.185)</w:t>
            </w:r>
          </w:p>
        </w:tc>
        <w:tc>
          <w:tcPr/>
          <w:p>
            <w:pPr>
              <w:pStyle w:val="Compact"/>
              <w:jc w:val="left"/>
            </w:pPr>
            <w:r>
              <w:t xml:space="preserve">4</w:t>
            </w:r>
          </w:p>
        </w:tc>
      </w:tr>
      <w:tr>
        <w:tc>
          <w:tcPr/>
          <w:p>
            <w:pPr>
              <w:pStyle w:val="Compact"/>
              <w:jc w:val="left"/>
            </w:pPr>
            <w:r>
              <w:t xml:space="preserve">Hình 4.7</w:t>
            </w:r>
          </w:p>
        </w:tc>
        <w:tc>
          <w:tcPr/>
          <w:p>
            <w:pPr>
              <w:pStyle w:val="Compact"/>
              <w:jc w:val="left"/>
            </w:pPr>
            <w:r>
              <w:t xml:space="preserve">Spider/radar chart 5 chiều × 2 mốc thời gian: Advanced, Emerging, SIDS Thái Bình Dương</w:t>
            </w:r>
          </w:p>
        </w:tc>
        <w:tc>
          <w:tcPr/>
          <w:p>
            <w:pPr>
              <w:pStyle w:val="Compact"/>
              <w:jc w:val="left"/>
            </w:pPr>
            <w:r>
              <w:t xml:space="preserve">4</w:t>
            </w:r>
          </w:p>
        </w:tc>
      </w:tr>
      <w:tr>
        <w:tc>
          <w:tcPr/>
          <w:p>
            <w:pPr>
              <w:pStyle w:val="Compact"/>
              <w:jc w:val="left"/>
            </w:pPr>
            <w:r>
              <w:t xml:space="preserve">Hình 5.6.1</w:t>
            </w:r>
          </w:p>
        </w:tc>
        <w:tc>
          <w:tcPr/>
          <w:p>
            <w:pPr>
              <w:pStyle w:val="Compact"/>
              <w:jc w:val="left"/>
            </w:pPr>
            <w:r>
              <w:t xml:space="preserve">Mongolia: Tiến trình 4 chỉ số qua 4 đợt khảo sát WBES 2009–2025</w:t>
            </w:r>
          </w:p>
        </w:tc>
        <w:tc>
          <w:tcPr/>
          <w:p>
            <w:pPr>
              <w:pStyle w:val="Compact"/>
              <w:jc w:val="left"/>
            </w:pPr>
            <w:r>
              <w:t xml:space="preserve">5</w:t>
            </w:r>
          </w:p>
        </w:tc>
      </w:tr>
      <w:tr>
        <w:tc>
          <w:tcPr/>
          <w:p>
            <w:pPr>
              <w:pStyle w:val="Compact"/>
              <w:jc w:val="left"/>
            </w:pPr>
            <w:r>
              <w:t xml:space="preserve">Hình 6.1</w:t>
            </w:r>
          </w:p>
        </w:tc>
        <w:tc>
          <w:tcPr/>
          <w:p>
            <w:pPr>
              <w:pStyle w:val="Compact"/>
              <w:jc w:val="left"/>
            </w:pPr>
            <w:r>
              <w:t xml:space="preserve">Bốn lần đảo dấu hệ số tương quan cross-regime — minh họa institutional moderation</w:t>
            </w:r>
          </w:p>
        </w:tc>
        <w:tc>
          <w:tcPr/>
          <w:p>
            <w:pPr>
              <w:pStyle w:val="Compact"/>
              <w:jc w:val="left"/>
            </w:pPr>
            <w:r>
              <w:t xml:space="preserve">6</w:t>
            </w:r>
          </w:p>
        </w:tc>
      </w:tr>
    </w:tbl>
    <w:p>
      <w:pPr>
        <w:pStyle w:val="BodyText"/>
      </w:pPr>
      <w:r>
        <w:rPr>
          <w:iCs/>
          <w:i/>
        </w:rPr>
        <w:t xml:space="preserve">Ghi chú: Tái lập tất cả hình bằng lệnh</w:t>
      </w:r>
      <w:r>
        <w:rPr>
          <w:iCs/>
          <w:i/>
        </w:rPr>
        <w:t xml:space="preserve"> </w:t>
      </w:r>
      <w:r>
        <w:rPr>
          <w:rStyle w:val="VerbatimChar"/>
          <w:iCs/>
          <w:i/>
        </w:rPr>
        <w:t xml:space="preserve">python3 thesis/generate_figures.py</w:t>
      </w:r>
      <w:r>
        <w:rPr>
          <w:iCs/>
          <w:i/>
        </w:rPr>
        <w:t xml:space="preserve">. File tái lập lưu tại</w:t>
      </w:r>
      <w:r>
        <w:rPr>
          <w:iCs/>
          <w:i/>
        </w:rPr>
        <w:t xml:space="preserve"> </w:t>
      </w:r>
      <w:r>
        <w:rPr>
          <w:rStyle w:val="VerbatimChar"/>
          <w:iCs/>
          <w:i/>
        </w:rPr>
        <w:t xml:space="preserve">thesis/figures/</w:t>
      </w:r>
      <w:r>
        <w:rPr>
          <w:iCs/>
          <w:i/>
        </w:rPr>
        <w:t xml:space="preserve">. Số trang điền khi xuất Word/PDF.</w: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 đầy đủ</w:t>
            </w:r>
          </w:p>
        </w:tc>
        <w:tc>
          <w:tcPr/>
          <w:p>
            <w:pPr>
              <w:pStyle w:val="Compact"/>
              <w:jc w:val="left"/>
            </w:pPr>
            <w:r>
              <w:t xml:space="preserve">Tiếng Việt</w:t>
            </w:r>
          </w:p>
        </w:tc>
      </w:tr>
      <w:tr>
        <w:tc>
          <w:tcPr/>
          <w:p>
            <w:pPr>
              <w:pStyle w:val="Compact"/>
              <w:jc w:val="left"/>
            </w:pPr>
            <w:r>
              <w:rPr>
                <w:bCs/>
                <w:b/>
              </w:rP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rPr>
                <w:bCs/>
                <w:b/>
              </w:rPr>
              <w:t xml:space="preserve">APA 7th</w:t>
            </w:r>
          </w:p>
        </w:tc>
        <w:tc>
          <w:tcPr/>
          <w:p>
            <w:pPr>
              <w:pStyle w:val="Compact"/>
              <w:jc w:val="left"/>
            </w:pPr>
            <w:r>
              <w:t xml:space="preserve">American Psychological Association, 7th edition</w:t>
            </w:r>
          </w:p>
        </w:tc>
        <w:tc>
          <w:tcPr/>
          <w:p>
            <w:pPr>
              <w:pStyle w:val="Compact"/>
              <w:jc w:val="left"/>
            </w:pPr>
            <w:r>
              <w:t xml:space="preserve">Quy cách trích dẫn APA phiên bản 7</w:t>
            </w:r>
          </w:p>
        </w:tc>
      </w:tr>
      <w:tr>
        <w:tc>
          <w:tcPr/>
          <w:p>
            <w:pPr>
              <w:pStyle w:val="Compact"/>
              <w:jc w:val="left"/>
            </w:pPr>
            <w:r>
              <w:rPr>
                <w:bCs/>
                <w:b/>
              </w:rPr>
              <w:t xml:space="preserve">APJM</w:t>
            </w:r>
          </w:p>
        </w:tc>
        <w:tc>
          <w:tcPr/>
          <w:p>
            <w:pPr>
              <w:pStyle w:val="Compact"/>
              <w:jc w:val="left"/>
            </w:pPr>
            <w:r>
              <w:t xml:space="preserve">Asia Pacific Journal of Management</w:t>
            </w:r>
          </w:p>
        </w:tc>
        <w:tc>
          <w:tcPr/>
          <w:p>
            <w:pPr>
              <w:pStyle w:val="Compact"/>
              <w:jc w:val="left"/>
            </w:pPr>
            <w:r>
              <w:t xml:space="preserve">Tạp chí Quản trị châu Á–Thái Bình Dương</w:t>
            </w:r>
          </w:p>
        </w:tc>
      </w:tr>
      <w:tr>
        <w:tc>
          <w:tcPr/>
          <w:p>
            <w:pPr>
              <w:pStyle w:val="Compact"/>
              <w:jc w:val="left"/>
            </w:pPr>
            <w:r>
              <w:rPr>
                <w:bCs/>
                <w:b/>
              </w:rP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rPr>
                <w:bCs/>
                <w:b/>
              </w:rPr>
              <w:t xml:space="preserve">BREADY</w:t>
            </w:r>
          </w:p>
        </w:tc>
        <w:tc>
          <w:tcPr/>
          <w:p>
            <w:pPr>
              <w:pStyle w:val="Compact"/>
              <w:jc w:val="left"/>
            </w:pPr>
            <w:r>
              <w:t xml:space="preserve">Standardized2018+/BREADY (tên tắt nhóm tác giả cho WBES schema sau 2018)</w:t>
            </w:r>
          </w:p>
        </w:tc>
        <w:tc>
          <w:tcPr/>
          <w:p>
            <w:pPr>
              <w:pStyle w:val="Compact"/>
              <w:jc w:val="left"/>
            </w:pPr>
            <w:r>
              <w:t xml:space="preserve">Lược đồ bảng hỏi WBES từ 2018 trở đi</w:t>
            </w:r>
          </w:p>
        </w:tc>
      </w:tr>
      <w:tr>
        <w:tc>
          <w:tcPr/>
          <w:p>
            <w:pPr>
              <w:pStyle w:val="Compact"/>
              <w:jc w:val="left"/>
            </w:pPr>
            <w:r>
              <w:rPr>
                <w:bCs/>
                <w:b/>
              </w:rPr>
              <w:t xml:space="preserve">CAGR</w:t>
            </w:r>
          </w:p>
        </w:tc>
        <w:tc>
          <w:tcPr/>
          <w:p>
            <w:pPr>
              <w:pStyle w:val="Compact"/>
              <w:jc w:val="left"/>
            </w:pPr>
            <w:r>
              <w:t xml:space="preserve">Compound Annual Growth Rate</w:t>
            </w:r>
          </w:p>
        </w:tc>
        <w:tc>
          <w:tcPr/>
          <w:p>
            <w:pPr>
              <w:pStyle w:val="Compact"/>
              <w:jc w:val="left"/>
            </w:pPr>
            <w:r>
              <w:t xml:space="preserve">Tốc độ tăng trưởng kép hằng năm</w:t>
            </w:r>
          </w:p>
        </w:tc>
      </w:tr>
      <w:tr>
        <w:tc>
          <w:tcPr/>
          <w:p>
            <w:pPr>
              <w:pStyle w:val="Compact"/>
              <w:jc w:val="left"/>
            </w:pPr>
            <w:r>
              <w:rPr>
                <w:bCs/>
                <w:b/>
              </w:rPr>
              <w:t xml:space="preserve">CĐ1 / CĐ2</w:t>
            </w:r>
          </w:p>
        </w:tc>
        <w:tc>
          <w:tcPr/>
          <w:p>
            <w:pPr>
              <w:pStyle w:val="Compact"/>
              <w:jc w:val="left"/>
            </w:pPr>
            <w:r>
              <w:t xml:space="preserve">Chuyên đề tiến sĩ số 1 / số 2</w:t>
            </w:r>
          </w:p>
        </w:tc>
        <w:tc>
          <w:tcPr/>
          <w:p>
            <w:pPr>
              <w:pStyle w:val="Compact"/>
              <w:jc w:val="left"/>
            </w:pPr>
            <w:r>
              <w:t xml:space="preserve">—</w:t>
            </w:r>
          </w:p>
        </w:tc>
      </w:tr>
      <w:tr>
        <w:tc>
          <w:tcPr/>
          <w:p>
            <w:pPr>
              <w:pStyle w:val="Compact"/>
              <w:jc w:val="left"/>
            </w:pPr>
            <w:r>
              <w:rPr>
                <w:bCs/>
                <w:b/>
              </w:rP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rPr>
                <w:bCs/>
                <w:b/>
              </w:rPr>
              <w:t xml:space="preserve">CEE</w:t>
            </w:r>
          </w:p>
        </w:tc>
        <w:tc>
          <w:tcPr/>
          <w:p>
            <w:pPr>
              <w:pStyle w:val="Compact"/>
              <w:jc w:val="left"/>
            </w:pPr>
            <w:r>
              <w:t xml:space="preserve">Central and Eastern Europe</w:t>
            </w:r>
          </w:p>
        </w:tc>
        <w:tc>
          <w:tcPr/>
          <w:p>
            <w:pPr>
              <w:pStyle w:val="Compact"/>
              <w:jc w:val="left"/>
            </w:pPr>
            <w:r>
              <w:t xml:space="preserve">Trung và Đông Âu</w:t>
            </w:r>
          </w:p>
        </w:tc>
      </w:tr>
      <w:tr>
        <w:tc>
          <w:tcPr/>
          <w:p>
            <w:pPr>
              <w:pStyle w:val="Compact"/>
              <w:jc w:val="left"/>
            </w:pPr>
            <w:r>
              <w:rPr>
                <w:bCs/>
                <w:b/>
              </w:rPr>
              <w:t xml:space="preserve">CPTPP</w:t>
            </w:r>
          </w:p>
        </w:tc>
        <w:tc>
          <w:tcPr/>
          <w:p>
            <w:pPr>
              <w:pStyle w:val="Compact"/>
              <w:jc w:val="left"/>
            </w:pPr>
            <w:r>
              <w:t xml:space="preserve">Comprehensive and Progressive Agreement for Trans-Pacific Partnership</w:t>
            </w:r>
          </w:p>
        </w:tc>
        <w:tc>
          <w:tcPr/>
          <w:p>
            <w:pPr>
              <w:pStyle w:val="Compact"/>
              <w:jc w:val="left"/>
            </w:pPr>
            <w:r>
              <w:t xml:space="preserve">Hiệp định Đối tác Toàn diện và Tiến bộ xuyên Thái Bình Dương</w:t>
            </w:r>
          </w:p>
        </w:tc>
      </w:tr>
      <w:tr>
        <w:tc>
          <w:tcPr/>
          <w:p>
            <w:pPr>
              <w:pStyle w:val="Compact"/>
              <w:jc w:val="left"/>
            </w:pPr>
            <w:r>
              <w:rPr>
                <w:bCs/>
                <w:b/>
              </w:rPr>
              <w:t xml:space="preserve">CTU</w:t>
            </w:r>
          </w:p>
        </w:tc>
        <w:tc>
          <w:tcPr/>
          <w:p>
            <w:pPr>
              <w:pStyle w:val="Compact"/>
              <w:jc w:val="left"/>
            </w:pPr>
            <w:r>
              <w:t xml:space="preserve">Can Tho University</w:t>
            </w:r>
          </w:p>
        </w:tc>
        <w:tc>
          <w:tcPr/>
          <w:p>
            <w:pPr>
              <w:pStyle w:val="Compact"/>
              <w:jc w:val="left"/>
            </w:pPr>
            <w:r>
              <w:t xml:space="preserve">Trường Đại học Cần Thơ</w:t>
            </w:r>
          </w:p>
        </w:tc>
      </w:tr>
      <w:tr>
        <w:tc>
          <w:tcPr/>
          <w:p>
            <w:pPr>
              <w:pStyle w:val="Compact"/>
              <w:jc w:val="left"/>
            </w:pPr>
            <w:r>
              <w:rPr>
                <w:bCs/>
                <w:b/>
              </w:rPr>
              <w:t xml:space="preserve">DAI</w:t>
            </w:r>
          </w:p>
        </w:tc>
        <w:tc>
          <w:tcPr/>
          <w:p>
            <w:pPr>
              <w:pStyle w:val="Compact"/>
              <w:jc w:val="left"/>
            </w:pPr>
            <w:r>
              <w:t xml:space="preserve">Digital Adoption Index</w:t>
            </w:r>
          </w:p>
        </w:tc>
        <w:tc>
          <w:tcPr/>
          <w:p>
            <w:pPr>
              <w:pStyle w:val="Compact"/>
              <w:jc w:val="left"/>
            </w:pPr>
            <w:r>
              <w:t xml:space="preserve">Chỉ số năng lực số</w:t>
            </w:r>
          </w:p>
        </w:tc>
      </w:tr>
      <w:tr>
        <w:tc>
          <w:tcPr/>
          <w:p>
            <w:pPr>
              <w:pStyle w:val="Compact"/>
              <w:jc w:val="left"/>
            </w:pPr>
            <w:r>
              <w:rPr>
                <w:bCs/>
                <w:b/>
              </w:rPr>
              <w:t xml:space="preserve">EAP</w:t>
            </w:r>
          </w:p>
        </w:tc>
        <w:tc>
          <w:tcPr/>
          <w:p>
            <w:pPr>
              <w:pStyle w:val="Compact"/>
              <w:jc w:val="left"/>
            </w:pPr>
            <w:r>
              <w:t xml:space="preserve">East Asia and Pacific (World Bank region)</w:t>
            </w:r>
          </w:p>
        </w:tc>
        <w:tc>
          <w:tcPr/>
          <w:p>
            <w:pPr>
              <w:pStyle w:val="Compact"/>
              <w:jc w:val="left"/>
            </w:pPr>
            <w:r>
              <w:t xml:space="preserve">Đông Á và Thái Bình Dương</w:t>
            </w:r>
          </w:p>
        </w:tc>
      </w:tr>
      <w:tr>
        <w:tc>
          <w:tcPr/>
          <w:p>
            <w:pPr>
              <w:pStyle w:val="Compact"/>
              <w:jc w:val="left"/>
            </w:pPr>
            <w:r>
              <w:rPr>
                <w:bCs/>
                <w:b/>
              </w:rPr>
              <w:t xml:space="preserve">EPS</w:t>
            </w:r>
          </w:p>
        </w:tc>
        <w:tc>
          <w:tcPr/>
          <w:p>
            <w:pPr>
              <w:pStyle w:val="Compact"/>
              <w:jc w:val="left"/>
            </w:pPr>
            <w:r>
              <w:t xml:space="preserve">Employment Permit System (Korea)</w:t>
            </w:r>
          </w:p>
        </w:tc>
        <w:tc>
          <w:tcPr/>
          <w:p>
            <w:pPr>
              <w:pStyle w:val="Compact"/>
              <w:jc w:val="left"/>
            </w:pPr>
            <w:r>
              <w:t xml:space="preserve">Hệ thống cấp phép lao động của Hàn Quốc</w:t>
            </w:r>
          </w:p>
        </w:tc>
      </w:tr>
      <w:tr>
        <w:tc>
          <w:tcPr/>
          <w:p>
            <w:pPr>
              <w:pStyle w:val="Compact"/>
              <w:jc w:val="left"/>
            </w:pPr>
            <w:r>
              <w:rPr>
                <w:bCs/>
                <w:b/>
              </w:rP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rPr>
                <w:bCs/>
                <w:b/>
              </w:rPr>
              <w:t xml:space="preserve">FE</w:t>
            </w:r>
          </w:p>
        </w:tc>
        <w:tc>
          <w:tcPr/>
          <w:p>
            <w:pPr>
              <w:pStyle w:val="Compact"/>
              <w:jc w:val="left"/>
            </w:pPr>
            <w:r>
              <w:t xml:space="preserve">Fixed Effects</w:t>
            </w:r>
          </w:p>
        </w:tc>
        <w:tc>
          <w:tcPr/>
          <w:p>
            <w:pPr>
              <w:pStyle w:val="Compact"/>
              <w:jc w:val="left"/>
            </w:pPr>
            <w:r>
              <w:t xml:space="preserve">Hiệu ứng cố định</w:t>
            </w:r>
          </w:p>
        </w:tc>
      </w:tr>
      <w:tr>
        <w:tc>
          <w:tcPr/>
          <w:p>
            <w:pPr>
              <w:pStyle w:val="Compact"/>
              <w:jc w:val="left"/>
            </w:pPr>
            <w:r>
              <w:rPr>
                <w:bCs/>
                <w:b/>
              </w:rPr>
              <w:t xml:space="preserve">FSTS</w:t>
            </w:r>
          </w:p>
        </w:tc>
        <w:tc>
          <w:tcPr/>
          <w:p>
            <w:pPr>
              <w:pStyle w:val="Compact"/>
              <w:jc w:val="left"/>
            </w:pPr>
            <w:r>
              <w:t xml:space="preserve">Foreign Sales to Total Sales</w:t>
            </w:r>
          </w:p>
        </w:tc>
        <w:tc>
          <w:tcPr/>
          <w:p>
            <w:pPr>
              <w:pStyle w:val="Compact"/>
              <w:jc w:val="left"/>
            </w:pPr>
            <w:r>
              <w:t xml:space="preserve">Tỷ lệ doanh số quốc tế trên tổng doanh số</w:t>
            </w:r>
          </w:p>
        </w:tc>
      </w:tr>
      <w:tr>
        <w:tc>
          <w:tcPr/>
          <w:p>
            <w:pPr>
              <w:pStyle w:val="Compact"/>
              <w:jc w:val="left"/>
            </w:pPr>
            <w:r>
              <w:rPr>
                <w:bCs/>
                <w:b/>
              </w:rP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rPr>
                <w:bCs/>
                <w:b/>
              </w:rP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rPr>
                <w:bCs/>
                <w:b/>
              </w:rP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rPr>
                <w:bCs/>
                <w:b/>
              </w:rPr>
              <w:t xml:space="preserve">HHI</w:t>
            </w:r>
          </w:p>
        </w:tc>
        <w:tc>
          <w:tcPr/>
          <w:p>
            <w:pPr>
              <w:pStyle w:val="Compact"/>
              <w:jc w:val="left"/>
            </w:pPr>
            <w:r>
              <w:t xml:space="preserve">Herfindahl-Hirschman Index</w:t>
            </w:r>
          </w:p>
        </w:tc>
        <w:tc>
          <w:tcPr/>
          <w:p>
            <w:pPr>
              <w:pStyle w:val="Compact"/>
              <w:jc w:val="left"/>
            </w:pPr>
            <w:r>
              <w:t xml:space="preserve">Chỉ số đo mức độ tập trung thị trường</w:t>
            </w:r>
          </w:p>
        </w:tc>
      </w:tr>
      <w:tr>
        <w:tc>
          <w:tcPr/>
          <w:p>
            <w:pPr>
              <w:pStyle w:val="Compact"/>
              <w:jc w:val="left"/>
            </w:pPr>
            <w:r>
              <w:rPr>
                <w:bCs/>
                <w:b/>
              </w:rPr>
              <w:t xml:space="preserve">IB</w:t>
            </w:r>
          </w:p>
        </w:tc>
        <w:tc>
          <w:tcPr/>
          <w:p>
            <w:pPr>
              <w:pStyle w:val="Compact"/>
              <w:jc w:val="left"/>
            </w:pPr>
            <w:r>
              <w:t xml:space="preserve">International Business</w:t>
            </w:r>
          </w:p>
        </w:tc>
        <w:tc>
          <w:tcPr/>
          <w:p>
            <w:pPr>
              <w:pStyle w:val="Compact"/>
              <w:jc w:val="left"/>
            </w:pPr>
            <w:r>
              <w:t xml:space="preserve">Kinh doanh quốc tế</w:t>
            </w:r>
          </w:p>
        </w:tc>
      </w:tr>
      <w:tr>
        <w:tc>
          <w:tcPr/>
          <w:p>
            <w:pPr>
              <w:pStyle w:val="Compact"/>
              <w:jc w:val="left"/>
            </w:pPr>
            <w:r>
              <w:rPr>
                <w:bCs/>
                <w:b/>
              </w:rP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rPr>
                <w:bCs/>
                <w:b/>
              </w:rPr>
              <w:t xml:space="preserve">ICT</w:t>
            </w:r>
          </w:p>
        </w:tc>
        <w:tc>
          <w:tcPr/>
          <w:p>
            <w:pPr>
              <w:pStyle w:val="Compact"/>
              <w:jc w:val="left"/>
            </w:pPr>
            <w:r>
              <w:t xml:space="preserve">Information and Communications Technology</w:t>
            </w:r>
          </w:p>
        </w:tc>
        <w:tc>
          <w:tcPr/>
          <w:p>
            <w:pPr>
              <w:pStyle w:val="Compact"/>
              <w:jc w:val="left"/>
            </w:pPr>
            <w:r>
              <w:t xml:space="preserve">Công nghệ thông tin và truyền thông</w:t>
            </w:r>
          </w:p>
        </w:tc>
      </w:tr>
      <w:tr>
        <w:tc>
          <w:tcPr/>
          <w:p>
            <w:pPr>
              <w:pStyle w:val="Compact"/>
              <w:jc w:val="left"/>
            </w:pPr>
            <w:r>
              <w:rPr>
                <w:bCs/>
                <w:b/>
              </w:rPr>
              <w:t xml:space="preserve">IFC</w:t>
            </w:r>
          </w:p>
        </w:tc>
        <w:tc>
          <w:tcPr/>
          <w:p>
            <w:pPr>
              <w:pStyle w:val="Compact"/>
              <w:jc w:val="left"/>
            </w:pPr>
            <w:r>
              <w:t xml:space="preserve">International Finance Corporation</w:t>
            </w:r>
          </w:p>
        </w:tc>
        <w:tc>
          <w:tcPr/>
          <w:p>
            <w:pPr>
              <w:pStyle w:val="Compact"/>
              <w:jc w:val="left"/>
            </w:pPr>
            <w:r>
              <w:t xml:space="preserve">Tổng công ty Tài chính Quốc tế</w:t>
            </w:r>
          </w:p>
        </w:tc>
      </w:tr>
      <w:tr>
        <w:tc>
          <w:tcPr/>
          <w:p>
            <w:pPr>
              <w:pStyle w:val="Compact"/>
              <w:jc w:val="left"/>
            </w:pPr>
            <w:r>
              <w:rPr>
                <w:bCs/>
                <w:b/>
              </w:rPr>
              <w:t xml:space="preserve">IJOEM</w:t>
            </w:r>
          </w:p>
        </w:tc>
        <w:tc>
          <w:tcPr/>
          <w:p>
            <w:pPr>
              <w:pStyle w:val="Compact"/>
              <w:jc w:val="left"/>
            </w:pPr>
            <w:r>
              <w:t xml:space="preserve">International Journal of Emerging Markets</w:t>
            </w:r>
          </w:p>
        </w:tc>
        <w:tc>
          <w:tcPr/>
          <w:p>
            <w:pPr>
              <w:pStyle w:val="Compact"/>
              <w:jc w:val="left"/>
            </w:pPr>
            <w:r>
              <w:t xml:space="preserve">—</w:t>
            </w:r>
          </w:p>
        </w:tc>
      </w:tr>
      <w:tr>
        <w:tc>
          <w:tcPr/>
          <w:p>
            <w:pPr>
              <w:pStyle w:val="Compact"/>
              <w:jc w:val="left"/>
            </w:pPr>
            <w:r>
              <w:rPr>
                <w:bCs/>
                <w:b/>
              </w:rP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rPr>
                <w:bCs/>
                <w:b/>
              </w:rP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rPr>
                <w:bCs/>
                <w:b/>
              </w:rPr>
              <w:t xml:space="preserve">ISIC Rev. 4</w:t>
            </w:r>
          </w:p>
        </w:tc>
        <w:tc>
          <w:tcPr/>
          <w:p>
            <w:pPr>
              <w:pStyle w:val="Compact"/>
              <w:jc w:val="left"/>
            </w:pPr>
            <w:r>
              <w:t xml:space="preserve">International Standard Industrial Classification, Revision 4</w:t>
            </w:r>
          </w:p>
        </w:tc>
        <w:tc>
          <w:tcPr/>
          <w:p>
            <w:pPr>
              <w:pStyle w:val="Compact"/>
              <w:jc w:val="left"/>
            </w:pPr>
            <w:r>
              <w:t xml:space="preserve">Phân loại công nghiệp tiêu chuẩn quốc tế phiên bản 4</w:t>
            </w:r>
          </w:p>
        </w:tc>
      </w:tr>
      <w:tr>
        <w:tc>
          <w:tcPr/>
          <w:p>
            <w:pPr>
              <w:pStyle w:val="Compact"/>
              <w:jc w:val="left"/>
            </w:pPr>
            <w:r>
              <w:rPr>
                <w:bCs/>
                <w:b/>
              </w:rPr>
              <w:t xml:space="preserve">IV / 2SLS</w:t>
            </w:r>
          </w:p>
        </w:tc>
        <w:tc>
          <w:tcPr/>
          <w:p>
            <w:pPr>
              <w:pStyle w:val="Compact"/>
              <w:jc w:val="left"/>
            </w:pPr>
            <w:r>
              <w:t xml:space="preserve">Instrumental Variable / Two-Stage Least Squares</w:t>
            </w:r>
          </w:p>
        </w:tc>
        <w:tc>
          <w:tcPr/>
          <w:p>
            <w:pPr>
              <w:pStyle w:val="Compact"/>
              <w:jc w:val="left"/>
            </w:pPr>
            <w:r>
              <w:t xml:space="preserve">Biến công cụ / Bình phương nhỏ nhất hai bước</w:t>
            </w:r>
          </w:p>
        </w:tc>
      </w:tr>
      <w:tr>
        <w:tc>
          <w:tcPr/>
          <w:p>
            <w:pPr>
              <w:pStyle w:val="Compact"/>
              <w:jc w:val="left"/>
            </w:pPr>
            <w:r>
              <w:rPr>
                <w:bCs/>
                <w:b/>
              </w:rP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rPr>
                <w:bCs/>
                <w:b/>
              </w:rPr>
              <w:t xml:space="preserve">MFN</w:t>
            </w:r>
          </w:p>
        </w:tc>
        <w:tc>
          <w:tcPr/>
          <w:p>
            <w:pPr>
              <w:pStyle w:val="Compact"/>
              <w:jc w:val="left"/>
            </w:pPr>
            <w:r>
              <w:t xml:space="preserve">Most-Favored-Nation</w:t>
            </w:r>
          </w:p>
        </w:tc>
        <w:tc>
          <w:tcPr/>
          <w:p>
            <w:pPr>
              <w:pStyle w:val="Compact"/>
              <w:jc w:val="left"/>
            </w:pPr>
            <w:r>
              <w:t xml:space="preserve">Điều khoản tối huệ quốc</w:t>
            </w:r>
          </w:p>
        </w:tc>
      </w:tr>
      <w:tr>
        <w:tc>
          <w:tcPr/>
          <w:p>
            <w:pPr>
              <w:pStyle w:val="Compact"/>
              <w:jc w:val="left"/>
            </w:pPr>
            <w:r>
              <w:rPr>
                <w:bCs/>
                <w:b/>
              </w:rPr>
              <w:t xml:space="preserve">MIRAB</w:t>
            </w:r>
          </w:p>
        </w:tc>
        <w:tc>
          <w:tcPr/>
          <w:p>
            <w:pPr>
              <w:pStyle w:val="Compact"/>
              <w:jc w:val="left"/>
            </w:pPr>
            <w:r>
              <w:t xml:space="preserve">Migration, Remittances, Aid, and Bureaucracy</w:t>
            </w:r>
          </w:p>
        </w:tc>
        <w:tc>
          <w:tcPr/>
          <w:p>
            <w:pPr>
              <w:pStyle w:val="Compact"/>
              <w:jc w:val="left"/>
            </w:pPr>
            <w:r>
              <w:t xml:space="preserve">Mô hình kinh tế di cư–kiều hối–viện trợ–bộ máy hành chính</w:t>
            </w:r>
          </w:p>
        </w:tc>
      </w:tr>
      <w:tr>
        <w:tc>
          <w:tcPr/>
          <w:p>
            <w:pPr>
              <w:pStyle w:val="Compact"/>
              <w:jc w:val="left"/>
            </w:pPr>
            <w:r>
              <w:rPr>
                <w:bCs/>
                <w:b/>
              </w:rPr>
              <w:t xml:space="preserve">MIR</w:t>
            </w:r>
          </w:p>
        </w:tc>
        <w:tc>
          <w:tcPr/>
          <w:p>
            <w:pPr>
              <w:pStyle w:val="Compact"/>
              <w:jc w:val="left"/>
            </w:pPr>
            <w:r>
              <w:t xml:space="preserve">Management International Review</w:t>
            </w:r>
          </w:p>
        </w:tc>
        <w:tc>
          <w:tcPr/>
          <w:p>
            <w:pPr>
              <w:pStyle w:val="Compact"/>
              <w:jc w:val="left"/>
            </w:pPr>
            <w:r>
              <w:t xml:space="preserve">Tạp chí Quản trị Quốc tế</w:t>
            </w:r>
          </w:p>
        </w:tc>
      </w:tr>
      <w:tr>
        <w:tc>
          <w:tcPr/>
          <w:p>
            <w:pPr>
              <w:pStyle w:val="Compact"/>
              <w:jc w:val="left"/>
            </w:pPr>
            <w:r>
              <w:rPr>
                <w:bCs/>
                <w:b/>
              </w:rP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rPr>
                <w:bCs/>
                <w:b/>
              </w:rPr>
              <w:t xml:space="preserve">NCS</w:t>
            </w:r>
          </w:p>
        </w:tc>
        <w:tc>
          <w:tcPr/>
          <w:p>
            <w:pPr>
              <w:pStyle w:val="Compact"/>
              <w:jc w:val="left"/>
            </w:pPr>
            <w:r>
              <w:t xml:space="preserve">Nghiên cứu sinh</w:t>
            </w:r>
          </w:p>
        </w:tc>
        <w:tc>
          <w:tcPr/>
          <w:p>
            <w:pPr>
              <w:pStyle w:val="Compact"/>
              <w:jc w:val="left"/>
            </w:pPr>
            <w:r>
              <w:t xml:space="preserve">PhD candidate</w:t>
            </w:r>
          </w:p>
        </w:tc>
      </w:tr>
      <w:tr>
        <w:tc>
          <w:tcPr/>
          <w:p>
            <w:pPr>
              <w:pStyle w:val="Compact"/>
              <w:jc w:val="left"/>
            </w:pPr>
            <w:r>
              <w:rPr>
                <w:bCs/>
                <w:b/>
              </w:rPr>
              <w:t xml:space="preserve">OLI</w:t>
            </w:r>
          </w:p>
        </w:tc>
        <w:tc>
          <w:tcPr/>
          <w:p>
            <w:pPr>
              <w:pStyle w:val="Compact"/>
              <w:jc w:val="left"/>
            </w:pPr>
            <w:r>
              <w:t xml:space="preserve">Ownership-Location-Internalization (Dunning)</w:t>
            </w:r>
          </w:p>
        </w:tc>
        <w:tc>
          <w:tcPr/>
          <w:p>
            <w:pPr>
              <w:pStyle w:val="Compact"/>
              <w:jc w:val="left"/>
            </w:pPr>
            <w:r>
              <w:t xml:space="preserve">Khung lý thuyết Sở hữu–Địa điểm–Nội bộ hóa</w:t>
            </w:r>
          </w:p>
        </w:tc>
      </w:tr>
      <w:tr>
        <w:tc>
          <w:tcPr/>
          <w:p>
            <w:pPr>
              <w:pStyle w:val="Compact"/>
              <w:jc w:val="left"/>
            </w:pPr>
            <w:r>
              <w:rPr>
                <w:bCs/>
                <w:b/>
              </w:rP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rPr>
                <w:bCs/>
                <w:b/>
              </w:rPr>
              <w:t xml:space="preserve">PICS3</w:t>
            </w:r>
          </w:p>
        </w:tc>
        <w:tc>
          <w:tcPr/>
          <w:p>
            <w:pPr>
              <w:pStyle w:val="Compact"/>
              <w:jc w:val="left"/>
            </w:pPr>
            <w:r>
              <w:t xml:space="preserve">Private Investment and Climate Survey 3rd gen. (WBES schema 2009–2012)</w:t>
            </w:r>
          </w:p>
        </w:tc>
        <w:tc>
          <w:tcPr/>
          <w:p>
            <w:pPr>
              <w:pStyle w:val="Compact"/>
              <w:jc w:val="left"/>
            </w:pPr>
            <w:r>
              <w:t xml:space="preserve">Lược đồ bảng hỏi WBES giai đoạn 2009–2012</w:t>
            </w:r>
          </w:p>
        </w:tc>
      </w:tr>
      <w:tr>
        <w:tc>
          <w:tcPr/>
          <w:p>
            <w:pPr>
              <w:pStyle w:val="Compact"/>
              <w:jc w:val="left"/>
            </w:pPr>
            <w:r>
              <w:rPr>
                <w:bCs/>
                <w:b/>
              </w:rPr>
              <w:t xml:space="preserve">PICs</w:t>
            </w:r>
          </w:p>
        </w:tc>
        <w:tc>
          <w:tcPr/>
          <w:p>
            <w:pPr>
              <w:pStyle w:val="Compact"/>
              <w:jc w:val="left"/>
            </w:pPr>
            <w:r>
              <w:t xml:space="preserve">Pacific Island Countries</w:t>
            </w:r>
          </w:p>
        </w:tc>
        <w:tc>
          <w:tcPr/>
          <w:p>
            <w:pPr>
              <w:pStyle w:val="Compact"/>
              <w:jc w:val="left"/>
            </w:pPr>
            <w:r>
              <w:t xml:space="preserve">Quốc đảo Thái Bình Dương</w:t>
            </w:r>
          </w:p>
        </w:tc>
      </w:tr>
      <w:tr>
        <w:tc>
          <w:tcPr/>
          <w:p>
            <w:pPr>
              <w:pStyle w:val="Compact"/>
              <w:jc w:val="left"/>
            </w:pPr>
            <w:r>
              <w:rPr>
                <w:bCs/>
                <w:b/>
              </w:rPr>
              <w:t xml:space="preserve">PLMS</w:t>
            </w:r>
          </w:p>
        </w:tc>
        <w:tc>
          <w:tcPr/>
          <w:p>
            <w:pPr>
              <w:pStyle w:val="Compact"/>
              <w:jc w:val="left"/>
            </w:pPr>
            <w:r>
              <w:t xml:space="preserve">Pacific Labour Mobility Scheme (Australia)</w:t>
            </w:r>
          </w:p>
        </w:tc>
        <w:tc>
          <w:tcPr/>
          <w:p>
            <w:pPr>
              <w:pStyle w:val="Compact"/>
              <w:jc w:val="left"/>
            </w:pPr>
            <w:r>
              <w:t xml:space="preserve">Chương trình lao động Thái Bình Dương (Australia)</w:t>
            </w:r>
          </w:p>
        </w:tc>
      </w:tr>
      <w:tr>
        <w:tc>
          <w:tcPr/>
          <w:p>
            <w:pPr>
              <w:pStyle w:val="Compact"/>
              <w:jc w:val="left"/>
            </w:pPr>
            <w:r>
              <w:rPr>
                <w:bCs/>
                <w:b/>
              </w:rPr>
              <w:t xml:space="preserve">QTKD</w:t>
            </w:r>
          </w:p>
        </w:tc>
        <w:tc>
          <w:tcPr/>
          <w:p>
            <w:pPr>
              <w:pStyle w:val="Compact"/>
              <w:jc w:val="left"/>
            </w:pPr>
            <w:r>
              <w:t xml:space="preserve">Quản trị kinh doanh</w:t>
            </w:r>
          </w:p>
        </w:tc>
        <w:tc>
          <w:tcPr/>
          <w:p>
            <w:pPr>
              <w:pStyle w:val="Compact"/>
              <w:jc w:val="left"/>
            </w:pPr>
            <w:r>
              <w:t xml:space="preserve">Business Administration</w:t>
            </w:r>
          </w:p>
        </w:tc>
      </w:tr>
      <w:tr>
        <w:tc>
          <w:tcPr/>
          <w:p>
            <w:pPr>
              <w:pStyle w:val="Compact"/>
              <w:jc w:val="left"/>
            </w:pPr>
            <w:r>
              <w:rPr>
                <w:bCs/>
                <w:b/>
              </w:rPr>
              <w:t xml:space="preserve">RCEP</w:t>
            </w:r>
          </w:p>
        </w:tc>
        <w:tc>
          <w:tcPr/>
          <w:p>
            <w:pPr>
              <w:pStyle w:val="Compact"/>
              <w:jc w:val="left"/>
            </w:pPr>
            <w:r>
              <w:t xml:space="preserve">Regional Comprehensive Economic Partnership</w:t>
            </w:r>
          </w:p>
        </w:tc>
        <w:tc>
          <w:tcPr/>
          <w:p>
            <w:pPr>
              <w:pStyle w:val="Compact"/>
              <w:jc w:val="left"/>
            </w:pPr>
            <w:r>
              <w:t xml:space="preserve">Hiệp định Đối tác Kinh tế Toàn diện Khu vực</w:t>
            </w:r>
          </w:p>
        </w:tc>
      </w:tr>
      <w:tr>
        <w:tc>
          <w:tcPr/>
          <w:p>
            <w:pPr>
              <w:pStyle w:val="Compact"/>
              <w:jc w:val="left"/>
            </w:pPr>
            <w:r>
              <w:rPr>
                <w:bCs/>
                <w:b/>
              </w:rPr>
              <w:t xml:space="preserve">RDT</w:t>
            </w:r>
          </w:p>
        </w:tc>
        <w:tc>
          <w:tcPr/>
          <w:p>
            <w:pPr>
              <w:pStyle w:val="Compact"/>
              <w:jc w:val="left"/>
            </w:pPr>
            <w:r>
              <w:t xml:space="preserve">Resource Diversion Trap</w:t>
            </w:r>
          </w:p>
        </w:tc>
        <w:tc>
          <w:tcPr/>
          <w:p>
            <w:pPr>
              <w:pStyle w:val="Compact"/>
              <w:jc w:val="left"/>
            </w:pPr>
            <w:r>
              <w:t xml:space="preserve">Bẫy chuyển hướng nguồn lực</w:t>
            </w:r>
          </w:p>
        </w:tc>
      </w:tr>
      <w:tr>
        <w:tc>
          <w:tcPr/>
          <w:p>
            <w:pPr>
              <w:pStyle w:val="Compact"/>
              <w:jc w:val="left"/>
            </w:pPr>
            <w:r>
              <w:rPr>
                <w:bCs/>
                <w:b/>
              </w:rPr>
              <w:t xml:space="preserve">RE</w:t>
            </w:r>
          </w:p>
        </w:tc>
        <w:tc>
          <w:tcPr/>
          <w:p>
            <w:pPr>
              <w:pStyle w:val="Compact"/>
              <w:jc w:val="left"/>
            </w:pPr>
            <w:r>
              <w:t xml:space="preserve">Random Effects</w:t>
            </w:r>
          </w:p>
        </w:tc>
        <w:tc>
          <w:tcPr/>
          <w:p>
            <w:pPr>
              <w:pStyle w:val="Compact"/>
              <w:jc w:val="left"/>
            </w:pPr>
            <w:r>
              <w:t xml:space="preserve">Hiệu ứng ngẫu nhiên</w:t>
            </w:r>
          </w:p>
        </w:tc>
      </w:tr>
      <w:tr>
        <w:tc>
          <w:tcPr/>
          <w:p>
            <w:pPr>
              <w:pStyle w:val="Compact"/>
              <w:jc w:val="left"/>
            </w:pPr>
            <w:r>
              <w:rPr>
                <w:bCs/>
                <w:b/>
              </w:rPr>
              <w:t xml:space="preserve">ROA</w:t>
            </w:r>
          </w:p>
        </w:tc>
        <w:tc>
          <w:tcPr/>
          <w:p>
            <w:pPr>
              <w:pStyle w:val="Compact"/>
              <w:jc w:val="left"/>
            </w:pPr>
            <w:r>
              <w:t xml:space="preserve">Return on Assets</w:t>
            </w:r>
          </w:p>
        </w:tc>
        <w:tc>
          <w:tcPr/>
          <w:p>
            <w:pPr>
              <w:pStyle w:val="Compact"/>
              <w:jc w:val="left"/>
            </w:pPr>
            <w:r>
              <w:t xml:space="preserve">Tỷ suất sinh lời trên tài sản</w:t>
            </w:r>
          </w:p>
        </w:tc>
      </w:tr>
      <w:tr>
        <w:tc>
          <w:tcPr/>
          <w:p>
            <w:pPr>
              <w:pStyle w:val="Compact"/>
              <w:jc w:val="left"/>
            </w:pPr>
            <w:r>
              <w:rPr>
                <w:bCs/>
                <w:b/>
              </w:rPr>
              <w:t xml:space="preserve">RSE</w:t>
            </w:r>
          </w:p>
        </w:tc>
        <w:tc>
          <w:tcPr/>
          <w:p>
            <w:pPr>
              <w:pStyle w:val="Compact"/>
              <w:jc w:val="left"/>
            </w:pPr>
            <w:r>
              <w:t xml:space="preserve">Recognised Seasonal Employer (New Zealand)</w:t>
            </w:r>
          </w:p>
        </w:tc>
        <w:tc>
          <w:tcPr/>
          <w:p>
            <w:pPr>
              <w:pStyle w:val="Compact"/>
              <w:jc w:val="left"/>
            </w:pPr>
            <w:r>
              <w:t xml:space="preserve">Chương trình lao động theo mùa của New Zealand</w:t>
            </w:r>
          </w:p>
        </w:tc>
      </w:tr>
      <w:tr>
        <w:tc>
          <w:tcPr/>
          <w:p>
            <w:pPr>
              <w:pStyle w:val="Compact"/>
              <w:jc w:val="left"/>
            </w:pPr>
            <w:r>
              <w:rPr>
                <w:bCs/>
                <w:b/>
              </w:rP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rPr>
                <w:bCs/>
                <w:b/>
              </w:rPr>
              <w:t xml:space="preserve">SME</w:t>
            </w:r>
          </w:p>
        </w:tc>
        <w:tc>
          <w:tcPr/>
          <w:p>
            <w:pPr>
              <w:pStyle w:val="Compact"/>
              <w:jc w:val="left"/>
            </w:pPr>
            <w:r>
              <w:t xml:space="preserve">Small and Medium-sized Enterprise</w:t>
            </w:r>
          </w:p>
        </w:tc>
        <w:tc>
          <w:tcPr/>
          <w:p>
            <w:pPr>
              <w:pStyle w:val="Compact"/>
              <w:jc w:val="left"/>
            </w:pPr>
            <w:r>
              <w:t xml:space="preserve">Doanh nghiệp vừa và nhỏ</w:t>
            </w:r>
          </w:p>
        </w:tc>
      </w:tr>
      <w:tr>
        <w:tc>
          <w:tcPr/>
          <w:p>
            <w:pPr>
              <w:pStyle w:val="Compact"/>
              <w:jc w:val="left"/>
            </w:pPr>
            <w:r>
              <w:rPr>
                <w:bCs/>
                <w:b/>
              </w:rPr>
              <w:t xml:space="preserve">SOE</w:t>
            </w:r>
          </w:p>
        </w:tc>
        <w:tc>
          <w:tcPr/>
          <w:p>
            <w:pPr>
              <w:pStyle w:val="Compact"/>
              <w:jc w:val="left"/>
            </w:pPr>
            <w:r>
              <w:t xml:space="preserve">State-Owned Enterprise</w:t>
            </w:r>
          </w:p>
        </w:tc>
        <w:tc>
          <w:tcPr/>
          <w:p>
            <w:pPr>
              <w:pStyle w:val="Compact"/>
              <w:jc w:val="left"/>
            </w:pPr>
            <w:r>
              <w:t xml:space="preserve">Doanh nghiệp nhà nước</w:t>
            </w:r>
          </w:p>
        </w:tc>
      </w:tr>
      <w:tr>
        <w:tc>
          <w:tcPr/>
          <w:p>
            <w:pPr>
              <w:pStyle w:val="Compact"/>
              <w:jc w:val="left"/>
            </w:pPr>
            <w:r>
              <w:rPr>
                <w:bCs/>
                <w:b/>
              </w:rP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rPr>
                <w:bCs/>
                <w:b/>
              </w:rPr>
              <w:t xml:space="preserve">TFP</w:t>
            </w:r>
          </w:p>
        </w:tc>
        <w:tc>
          <w:tcPr/>
          <w:p>
            <w:pPr>
              <w:pStyle w:val="Compact"/>
              <w:jc w:val="left"/>
            </w:pPr>
            <w:r>
              <w:t xml:space="preserve">Total Factor Productivity</w:t>
            </w:r>
          </w:p>
        </w:tc>
        <w:tc>
          <w:tcPr/>
          <w:p>
            <w:pPr>
              <w:pStyle w:val="Compact"/>
              <w:jc w:val="left"/>
            </w:pPr>
            <w:r>
              <w:t xml:space="preserve">Năng suất nhân tố tổng hợp</w:t>
            </w:r>
          </w:p>
        </w:tc>
      </w:tr>
      <w:tr>
        <w:tc>
          <w:tcPr/>
          <w:p>
            <w:pPr>
              <w:pStyle w:val="Compact"/>
              <w:jc w:val="left"/>
            </w:pPr>
            <w:r>
              <w:rPr>
                <w:bCs/>
                <w:b/>
              </w:rPr>
              <w:t xml:space="preserve">TP</w:t>
            </w:r>
          </w:p>
        </w:tc>
        <w:tc>
          <w:tcPr/>
          <w:p>
            <w:pPr>
              <w:pStyle w:val="Compact"/>
              <w:jc w:val="left"/>
            </w:pPr>
            <w:r>
              <w:t xml:space="preserve">Turning Point</w:t>
            </w:r>
          </w:p>
        </w:tc>
        <w:tc>
          <w:tcPr/>
          <w:p>
            <w:pPr>
              <w:pStyle w:val="Compact"/>
              <w:jc w:val="left"/>
            </w:pPr>
            <w:r>
              <w:t xml:space="preserve">Điểm uốn</w:t>
            </w:r>
          </w:p>
        </w:tc>
      </w:tr>
      <w:tr>
        <w:tc>
          <w:tcPr/>
          <w:p>
            <w:pPr>
              <w:pStyle w:val="Compact"/>
              <w:jc w:val="left"/>
            </w:pPr>
            <w:r>
              <w:rPr>
                <w:bCs/>
                <w:b/>
              </w:rPr>
              <w:t xml:space="preserve">VEFR</w:t>
            </w:r>
          </w:p>
        </w:tc>
        <w:tc>
          <w:tcPr/>
          <w:p>
            <w:pPr>
              <w:pStyle w:val="Compact"/>
              <w:jc w:val="left"/>
            </w:pPr>
            <w:r>
              <w:t xml:space="preserve">Vietnam Economic and Finance Review</w:t>
            </w:r>
          </w:p>
        </w:tc>
        <w:tc>
          <w:tcPr/>
          <w:p>
            <w:pPr>
              <w:pStyle w:val="Compact"/>
              <w:jc w:val="left"/>
            </w:pPr>
            <w:r>
              <w:t xml:space="preserve">Tạp chí Kinh tế và Tài chính Việt Nam</w:t>
            </w:r>
          </w:p>
        </w:tc>
      </w:tr>
      <w:tr>
        <w:tc>
          <w:tcPr/>
          <w:p>
            <w:pPr>
              <w:pStyle w:val="Compact"/>
              <w:jc w:val="left"/>
            </w:pPr>
            <w:r>
              <w:rPr>
                <w:bCs/>
                <w:b/>
              </w:rPr>
              <w:t xml:space="preserve">WB</w:t>
            </w:r>
          </w:p>
        </w:tc>
        <w:tc>
          <w:tcPr/>
          <w:p>
            <w:pPr>
              <w:pStyle w:val="Compact"/>
              <w:jc w:val="left"/>
            </w:pPr>
            <w:r>
              <w:t xml:space="preserve">World Bank</w:t>
            </w:r>
          </w:p>
        </w:tc>
        <w:tc>
          <w:tcPr/>
          <w:p>
            <w:pPr>
              <w:pStyle w:val="Compact"/>
              <w:jc w:val="left"/>
            </w:pPr>
            <w:r>
              <w:t xml:space="preserve">Ngân hàng Thế giới</w:t>
            </w:r>
          </w:p>
        </w:tc>
      </w:tr>
      <w:tr>
        <w:tc>
          <w:tcPr/>
          <w:p>
            <w:pPr>
              <w:pStyle w:val="Compact"/>
              <w:jc w:val="left"/>
            </w:pPr>
            <w:r>
              <w:rPr>
                <w:bCs/>
                <w:b/>
              </w:rPr>
              <w:t xml:space="preserve">WBES</w:t>
            </w:r>
          </w:p>
        </w:tc>
        <w:tc>
          <w:tcPr/>
          <w:p>
            <w:pPr>
              <w:pStyle w:val="Compact"/>
              <w:jc w:val="left"/>
            </w:pPr>
            <w:r>
              <w:t xml:space="preserve">World Bank Enterprise Surveys</w:t>
            </w:r>
          </w:p>
        </w:tc>
        <w:tc>
          <w:tcPr/>
          <w:p>
            <w:pPr>
              <w:pStyle w:val="Compact"/>
              <w:jc w:val="left"/>
            </w:pPr>
            <w:r>
              <w:t xml:space="preserve">Khảo sát Doanh nghiệp Ngân hàng Thế giới</w:t>
            </w:r>
          </w:p>
        </w:tc>
      </w:tr>
      <w:tr>
        <w:tc>
          <w:tcPr/>
          <w:p>
            <w:pPr>
              <w:pStyle w:val="Compact"/>
              <w:jc w:val="left"/>
            </w:pPr>
            <w:r>
              <w:rPr>
                <w:bCs/>
                <w:b/>
              </w:rPr>
              <w:t xml:space="preserve">WGI</w:t>
            </w:r>
          </w:p>
        </w:tc>
        <w:tc>
          <w:tcPr/>
          <w:p>
            <w:pPr>
              <w:pStyle w:val="Compact"/>
              <w:jc w:val="left"/>
            </w:pPr>
            <w:r>
              <w:t xml:space="preserve">World Governance Indicators</w:t>
            </w:r>
          </w:p>
        </w:tc>
        <w:tc>
          <w:tcPr/>
          <w:p>
            <w:pPr>
              <w:pStyle w:val="Compact"/>
              <w:jc w:val="left"/>
            </w:pPr>
            <w:r>
              <w:t xml:space="preserve">Chỉ số quản trị thế giới</w:t>
            </w:r>
          </w:p>
        </w:tc>
      </w:tr>
    </w:tbl>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(tác giả, ghi chú nội bộ, 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(tác giả, ghi chú nội bộ, 2026).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42" w:name="X6a96fa224f36a19d68653d3e10335f396843985"/>
    <w:p>
      <w:pPr>
        <w:pStyle w:val="Heading2"/>
      </w:pPr>
      <w:r>
        <w:t xml:space="preserve">CHƯƠNG 2 — CƠ SỞ LÝ LUẬN VỀ HIỆU QUẢ HOẠT ĐỘNG KINH DOANH</w:t>
      </w:r>
    </w:p>
    <w:bookmarkStart w:id="35" w:name="Xa7c0ac42fb7cc3e8e031ee5a831dff8a58a414c"/>
    <w:p>
      <w:pPr>
        <w:pStyle w:val="Heading3"/>
      </w:pPr>
      <w:r>
        <w:t xml:space="preserve">2.1 Khái niệm hiệu quả hoạt động kinh doanh</w:t>
      </w:r>
    </w:p>
    <w:p>
      <w:pPr>
        <w:pStyle w:val="FirstParagraph"/>
      </w:pPr>
      <w:r>
        <w:t xml:space="preserve">Khái niệm "hiệu quả hoạt động kinh doanh" (firm performance) được tiếp cận từ nhiều quan điểm khác nhau trong văn liệu quản trị và kinh tế học doanh nghiệp. Quan điểm tài chính – kế toán nhìn hiệu quả qua khả năng sinh lợi và tạo dòng tiền cho cổ đông, đo lường bằng các chỉ số như Tỷ suất lợi nhuận trên tài sản (ROA), Tỷ suất lợi nhuận trên vốn (ROE), Tỷ suất lợi nhuận trên doanh thu (ROS), biên lợi nhuận gộp và giá trị doanh nghiệp (Penman, 2013). Quan điểm chiến lược mở rộng phạm vi hiệu quả thành ba lĩnh vực bao trùm: tài chính, hoạt động (operational) và mức độ hoàn thành mục tiêu tổ chức, đồng thời nhấn mạnh sự cần thiết của các thước đo đa chiều (Venkatraman &amp; Ramanujam, 1986). Quan điểm các bên liên quan (stakeholder view) bổ sung khía cạnh giá trị tạo ra cho người lao động, khách hàng, nhà cung cấp, cộng đồng và môi trường (Freeman, 1984), do đó hiệu quả không chỉ là kết quả tài chính cho cổ đông.</w:t>
      </w:r>
    </w:p>
    <w:p>
      <w:pPr>
        <w:pStyle w:val="BodyText"/>
      </w:pPr>
      <w:r>
        <w:t xml:space="preserve">Tổng hợp các quan điểm trên, chuyên đề định nghĩa hiệu quả hoạt động kinh doanh là</w:t>
      </w:r>
      <w:r>
        <w:t xml:space="preserve"> </w:t>
      </w:r>
      <w:r>
        <w:rPr>
          <w:bCs/>
          <w:b/>
        </w:rPr>
        <w:t xml:space="preserve">kết quả tổng hợp của hoạt động sản xuất – kinh doanh, thể hiện qua nhiều chiều và phản ánh khả năng chuyển hoá nguồn lực thành giá trị kinh tế</w:t>
      </w:r>
      <w:r>
        <w:t xml:space="preserve">. Định nghĩa này phù hợp với định hướng đa chiều của các phân tích tổng hợp (meta-analysis) hiện hành (Bausch &amp; Krist, 2007; Kirca et al., 2012; Marano et al., 2016; Wu, Wood &amp; Khan, 2022) và tương thích với dữ liệu vi mô có sẵn trong WBES.</w:t>
      </w:r>
    </w:p>
    <w:bookmarkEnd w:id="35"/>
    <w:bookmarkStart w:id="36" w:name="X5ef270652eca80d7e53eac0343c34ae73df99a0"/>
    <w:p>
      <w:pPr>
        <w:pStyle w:val="Heading3"/>
      </w:pPr>
      <w:r>
        <w:t xml:space="preserve">2.2 Các chiều đo lường hiệu quả</w:t>
      </w:r>
    </w:p>
    <w:p>
      <w:pPr>
        <w:pStyle w:val="FirstParagraph"/>
      </w:pPr>
      <w:r>
        <w:t xml:space="preserve">Có thể nhóm các thước đo hiệu quả thành năm chiều chính (xem</w:t>
      </w:r>
      <w:r>
        <w:t xml:space="preserve"> </w:t>
      </w:r>
      <w:r>
        <w:rPr>
          <w:bCs/>
          <w:b/>
        </w:rPr>
        <w:t xml:space="preserve">Hình 2.1</w:t>
      </w:r>
      <w:r>
        <w:t xml:space="preserve">).</w:t>
      </w:r>
    </w:p>
    <w:p>
      <w:pPr>
        <w:pStyle w:val="BodyText"/>
      </w:pPr>
      <w:r>
        <w:rPr>
          <w:bCs/>
          <w:b/>
        </w:rPr>
        <w:t xml:space="preserve">Năng suất</w:t>
      </w:r>
      <w:r>
        <w:t xml:space="preserve">. Thước đo phổ biến nhất là năng suất lao động (sales per employee, value added per employee), dễ tính từ dữ liệu doanh nghiệp và có thể chuẩn hóa qua sức mua tương đương (PPP) để so sánh xuyên quốc gia (Hsieh &amp; Klenow, 2009). Thước đo nâng cao là</w:t>
      </w:r>
      <w:r>
        <w:t xml:space="preserve"> </w:t>
      </w:r>
      <w:r>
        <w:rPr>
          <w:bCs/>
          <w:b/>
        </w:rPr>
        <w:t xml:space="preserve">năng suất tổng nhân tố (Total Factor Productivity — TFP)</w:t>
      </w:r>
      <w:r>
        <w:t xml:space="preserve">, đòi hỏi ước lượng hàm sản xuất (Olley &amp; Pakes, 1996; Levinsohn &amp; Petrin, 2003); WBES giới hạn khả năng tính TFP do thiếu chuỗi vốn.</w:t>
      </w:r>
    </w:p>
    <w:p>
      <w:pPr>
        <w:pStyle w:val="BodyText"/>
      </w:pPr>
      <w:r>
        <w:rPr>
          <w:bCs/>
          <w:b/>
        </w:rPr>
        <w:t xml:space="preserve">Lợi nhuận và biên lợi nhuận</w:t>
      </w:r>
      <w:r>
        <w:t xml:space="preserve">. Chỉ số tài chính chuẩn gồm ROA, ROE, ROS, biên lợi nhuận gộp. Trong WBES, ROS có thể tính từ doanh thu và lợi nhuận hoạt động tự khai báo, mặc dù chất lượng tự khai báo cần thận trọng diễn giải (World Bank Enterprise Surveys, 2025).</w:t>
      </w:r>
    </w:p>
    <w:p>
      <w:pPr>
        <w:pStyle w:val="BodyText"/>
      </w:pPr>
      <w:r>
        <w:rPr>
          <w:bCs/>
          <w:b/>
        </w:rPr>
        <w:t xml:space="preserve">Tăng trưởng</w:t>
      </w:r>
      <w:r>
        <w:t xml:space="preserve">. Bao gồm tăng trưởng doanh thu (3 năm), tăng trưởng việc làm và tăng trưởng xuất khẩu. Đây là chiều phản ánh động lực phát triển và đặc biệt quan trọng đối với doanh nghiệp ở các nền kinh tế đang phát triển (Coad, Segarra &amp; Teruel, 2018).</w:t>
      </w:r>
    </w:p>
    <w:p>
      <w:pPr>
        <w:pStyle w:val="BodyText"/>
      </w:pPr>
      <w:r>
        <w:rPr>
          <w:bCs/>
          <w:b/>
        </w:rPr>
        <w:t xml:space="preserve">Đổi mới sáng tạo</w:t>
      </w:r>
      <w:r>
        <w:t xml:space="preserve">. Đo qua tỷ lệ doanh nghiệp giới thiệu sản phẩm mới, quy trình mới, đầu tư R&amp;D hoặc nắm giữ bằng sáng chế. Đổi mới được coi là động lực dài hạn của hiệu quả qua kênh tích lũy năng lực (Romer, 1990; Cohen &amp; Levinthal, 1990).</w:t>
      </w:r>
    </w:p>
    <w:p>
      <w:pPr>
        <w:pStyle w:val="BodyText"/>
      </w:pPr>
      <w:r>
        <w:rPr>
          <w:bCs/>
          <w:b/>
        </w:rPr>
        <w:t xml:space="preserve">Hiệu quả thị trường và quốc tế hóa</w:t>
      </w:r>
      <w:r>
        <w:t xml:space="preserve">. Thị phần và mức độ thâm nhập thị trường nước ngoài — đo bằng</w:t>
      </w:r>
      <w:r>
        <w:t xml:space="preserve"> </w:t>
      </w:r>
      <w:r>
        <w:rPr>
          <w:bCs/>
          <w:b/>
        </w:rPr>
        <w:t xml:space="preserve">Cường độ xuất khẩu (Foreign Sales to Total Sales — FSTS)</w:t>
      </w:r>
      <w:r>
        <w:t xml:space="preserve"> </w:t>
      </w:r>
      <w:r>
        <w:t xml:space="preserve">— phản ánh năng lực cạnh tranh thị trường rộng. WBES cung cấp đầy đủ chỉ số này.</w:t>
      </w:r>
    </w:p>
    <w:p>
      <w:pPr>
        <w:pStyle w:val="BodyText"/>
      </w:pPr>
      <w:r>
        <w:rPr>
          <w:bCs/>
          <w:b/>
        </w:rPr>
        <w:t xml:space="preserve">Hình 2.1</w:t>
      </w:r>
      <w:r>
        <w:t xml:space="preserve"> </w:t>
      </w:r>
      <w:r>
        <w:rPr>
          <w:iCs/>
          <w:i/>
        </w:rPr>
        <w:t xml:space="preserve">(sơ đồ minh hoạ)</w:t>
      </w:r>
      <w:r>
        <w:t xml:space="preserve">: Bốn ô vuông xếp xung quanh ô trung tâm "Hiệu quả tổng hợp": Năng suất, Lợi nhuận, Tăng trưởng, Đổi mới; ô thứ năm về Quốc tế hóa được vẽ chéo với ngụ ý đây là chiều bổ trợ và là kênh trung gian.</w:t>
      </w:r>
    </w:p>
    <w:bookmarkEnd w:id="36"/>
    <w:bookmarkStart w:id="37" w:name="Xb806cf8127fe85768f5b431a0660141c389d0fa"/>
    <w:p>
      <w:pPr>
        <w:pStyle w:val="Heading3"/>
      </w:pPr>
      <w:r>
        <w:t xml:space="preserve">2.3 So sánh thước đo qua các phân tích tổng hợp lớn</w:t>
      </w:r>
    </w:p>
    <w:p>
      <w:pPr>
        <w:pStyle w:val="FirstParagraph"/>
      </w:pPr>
      <w:r>
        <w:t xml:space="preserve">Bảng 2.1 tổng hợp tỷ lệ sử dụng các thước đo trong năm phân tích tổng hợp (meta-analysis) lớn về quan hệ giữa quốc tế hóa và hiệu quả doanh nghiệp 1980–2022.</w:t>
      </w:r>
    </w:p>
    <w:p>
      <w:pPr>
        <w:pStyle w:val="BodyText"/>
      </w:pPr>
      <w:r>
        <w:rPr>
          <w:bCs/>
          <w:b/>
        </w:rPr>
        <w:t xml:space="preserve">Bảng 2.1</w:t>
      </w:r>
      <w:r>
        <w:t xml:space="preserve">.</w:t>
      </w:r>
      <w:r>
        <w:t xml:space="preserve"> </w:t>
      </w:r>
      <w:r>
        <w:rPr>
          <w:iCs/>
          <w:i/>
        </w:rPr>
        <w:t xml:space="preserve">Tỷ lệ sử dụng các thước đo hiệu quả trong các phân tích tổng hợp lớn 1980–2022.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Thước đo</w:t>
            </w:r>
          </w:p>
        </w:tc>
        <w:tc>
          <w:tcPr/>
          <w:p>
            <w:pPr>
              <w:pStyle w:val="Compact"/>
              <w:jc w:val="left"/>
            </w:pPr>
            <w:r>
              <w:t xml:space="preserve">Bausch &amp; Krist (2007), k=87</w:t>
            </w:r>
          </w:p>
        </w:tc>
        <w:tc>
          <w:tcPr/>
          <w:p>
            <w:pPr>
              <w:pStyle w:val="Compact"/>
              <w:jc w:val="left"/>
            </w:pPr>
            <w:r>
              <w:t xml:space="preserve">Kirca et al. (2012), k=141</w:t>
            </w:r>
          </w:p>
        </w:tc>
        <w:tc>
          <w:tcPr/>
          <w:p>
            <w:pPr>
              <w:pStyle w:val="Compact"/>
              <w:jc w:val="left"/>
            </w:pPr>
            <w:r>
              <w:t xml:space="preserve">Marano et al. (2016), k=359</w:t>
            </w:r>
          </w:p>
        </w:tc>
        <w:tc>
          <w:tcPr/>
          <w:p>
            <w:pPr>
              <w:pStyle w:val="Compact"/>
              <w:jc w:val="left"/>
            </w:pPr>
            <w:r>
              <w:t xml:space="preserve">Arte &amp; Larimo (2022), k=∼200</w:t>
            </w:r>
          </w:p>
        </w:tc>
        <w:tc>
          <w:tcPr/>
          <w:p>
            <w:pPr>
              <w:pStyle w:val="Compact"/>
              <w:jc w:val="left"/>
            </w:pPr>
            <w:r>
              <w:t xml:space="preserve">Wu et al. (2022), k=359</w:t>
            </w:r>
          </w:p>
        </w:tc>
      </w:tr>
      <w:tr>
        <w:tc>
          <w:tcPr/>
          <w:p>
            <w:pPr>
              <w:pStyle w:val="Compact"/>
              <w:jc w:val="left"/>
            </w:pPr>
            <w:r>
              <w:t xml:space="preserve">Năng suất</w:t>
            </w:r>
          </w:p>
        </w:tc>
        <w:tc>
          <w:tcPr/>
          <w:p>
            <w:pPr>
              <w:pStyle w:val="Compact"/>
              <w:jc w:val="left"/>
            </w:pPr>
            <w:r>
              <w:t xml:space="preserve">35%</w:t>
            </w:r>
          </w:p>
        </w:tc>
        <w:tc>
          <w:tcPr/>
          <w:p>
            <w:pPr>
              <w:pStyle w:val="Compact"/>
              <w:jc w:val="left"/>
            </w:pPr>
            <w:r>
              <w:t xml:space="preserve">36%</w:t>
            </w:r>
          </w:p>
        </w:tc>
        <w:tc>
          <w:tcPr/>
          <w:p>
            <w:pPr>
              <w:pStyle w:val="Compact"/>
              <w:jc w:val="left"/>
            </w:pPr>
            <w:r>
              <w:t xml:space="preserve">28%</w:t>
            </w:r>
          </w:p>
        </w:tc>
        <w:tc>
          <w:tcPr/>
          <w:p>
            <w:pPr>
              <w:pStyle w:val="Compact"/>
              <w:jc w:val="left"/>
            </w:pPr>
            <w:r>
              <w:t xml:space="preserve">31%</w:t>
            </w:r>
          </w:p>
        </w:tc>
        <w:tc>
          <w:tcPr/>
          <w:p>
            <w:pPr>
              <w:pStyle w:val="Compact"/>
              <w:jc w:val="left"/>
            </w:pPr>
            <w:r>
              <w:t xml:space="preserve">38%</w:t>
            </w:r>
          </w:p>
        </w:tc>
      </w:tr>
      <w:tr>
        <w:tc>
          <w:tcPr/>
          <w:p>
            <w:pPr>
              <w:pStyle w:val="Compact"/>
              <w:jc w:val="left"/>
            </w:pPr>
            <w:r>
              <w:t xml:space="preserve">Lợi nhuận (ROA/ROE/ROS)</w:t>
            </w:r>
          </w:p>
        </w:tc>
        <w:tc>
          <w:tcPr/>
          <w:p>
            <w:pPr>
              <w:pStyle w:val="Compact"/>
              <w:jc w:val="left"/>
            </w:pPr>
            <w:r>
              <w:t xml:space="preserve">31%</w:t>
            </w:r>
          </w:p>
        </w:tc>
        <w:tc>
          <w:tcPr/>
          <w:p>
            <w:pPr>
              <w:pStyle w:val="Compact"/>
              <w:jc w:val="left"/>
            </w:pPr>
            <w:r>
              <w:t xml:space="preserve">29%</w:t>
            </w:r>
          </w:p>
        </w:tc>
        <w:tc>
          <w:tcPr/>
          <w:p>
            <w:pPr>
              <w:pStyle w:val="Compact"/>
              <w:jc w:val="left"/>
            </w:pPr>
            <w:r>
              <w:t xml:space="preserve">35%</w:t>
            </w:r>
          </w:p>
        </w:tc>
        <w:tc>
          <w:tcPr/>
          <w:p>
            <w:pPr>
              <w:pStyle w:val="Compact"/>
              <w:jc w:val="left"/>
            </w:pPr>
            <w:r>
              <w:t xml:space="preserve">33%</w:t>
            </w:r>
          </w:p>
        </w:tc>
        <w:tc>
          <w:tcPr/>
          <w:p>
            <w:pPr>
              <w:pStyle w:val="Compact"/>
              <w:jc w:val="left"/>
            </w:pPr>
            <w:r>
              <w:t xml:space="preserve">30%</w:t>
            </w:r>
          </w:p>
        </w:tc>
      </w:tr>
      <w:tr>
        <w:tc>
          <w:tcPr/>
          <w:p>
            <w:pPr>
              <w:pStyle w:val="Compact"/>
              <w:jc w:val="left"/>
            </w:pPr>
            <w:r>
              <w:t xml:space="preserve">Tăng trưởng</w:t>
            </w:r>
          </w:p>
        </w:tc>
        <w:tc>
          <w:tcPr/>
          <w:p>
            <w:pPr>
              <w:pStyle w:val="Compact"/>
              <w:jc w:val="left"/>
            </w:pPr>
            <w:r>
              <w:t xml:space="preserve">18%</w:t>
            </w:r>
          </w:p>
        </w:tc>
        <w:tc>
          <w:tcPr/>
          <w:p>
            <w:pPr>
              <w:pStyle w:val="Compact"/>
              <w:jc w:val="left"/>
            </w:pPr>
            <w:r>
              <w:t xml:space="preserve">21%</w:t>
            </w:r>
          </w:p>
        </w:tc>
        <w:tc>
          <w:tcPr/>
          <w:p>
            <w:pPr>
              <w:pStyle w:val="Compact"/>
              <w:jc w:val="left"/>
            </w:pPr>
            <w:r>
              <w:t xml:space="preserve">23%</w:t>
            </w:r>
          </w:p>
        </w:tc>
        <w:tc>
          <w:tcPr/>
          <w:p>
            <w:pPr>
              <w:pStyle w:val="Compact"/>
              <w:jc w:val="left"/>
            </w:pPr>
            <w:r>
              <w:t xml:space="preserve">22%</w:t>
            </w:r>
          </w:p>
        </w:tc>
        <w:tc>
          <w:tcPr/>
          <w:p>
            <w:pPr>
              <w:pStyle w:val="Compact"/>
              <w:jc w:val="left"/>
            </w:pPr>
            <w:r>
              <w:t xml:space="preserve">19%</w:t>
            </w:r>
          </w:p>
        </w:tc>
      </w:tr>
      <w:tr>
        <w:tc>
          <w:tcPr/>
          <w:p>
            <w:pPr>
              <w:pStyle w:val="Compact"/>
              <w:jc w:val="left"/>
            </w:pPr>
            <w:r>
              <w:t xml:space="preserve">Tổng hợp/đa chiều</w:t>
            </w:r>
          </w:p>
        </w:tc>
        <w:tc>
          <w:tcPr/>
          <w:p>
            <w:pPr>
              <w:pStyle w:val="Compact"/>
              <w:jc w:val="left"/>
            </w:pPr>
            <w:r>
              <w:t xml:space="preserve">11%</w:t>
            </w:r>
          </w:p>
        </w:tc>
        <w:tc>
          <w:tcPr/>
          <w:p>
            <w:pPr>
              <w:pStyle w:val="Compact"/>
              <w:jc w:val="left"/>
            </w:pPr>
            <w:r>
              <w:t xml:space="preserve">9%</w:t>
            </w: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r>
              <w:t xml:space="preserve">Khác (giá trị thị trường, sáng tạo)</w:t>
            </w:r>
          </w:p>
        </w:tc>
        <w:tc>
          <w:tcPr/>
          <w:p>
            <w:pPr>
              <w:pStyle w:val="Compact"/>
              <w:jc w:val="left"/>
            </w:pPr>
            <w:r>
              <w:t xml:space="preserve">5%</w:t>
            </w:r>
          </w:p>
        </w:tc>
        <w:tc>
          <w:tcPr/>
          <w:p>
            <w:pPr>
              <w:pStyle w:val="Compact"/>
              <w:jc w:val="left"/>
            </w:pPr>
            <w:r>
              <w:t xml:space="preserve">5%</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r>
    </w:tbl>
    <w:p>
      <w:pPr>
        <w:pStyle w:val="BodyText"/>
      </w:pPr>
      <w:r>
        <w:rPr>
          <w:iCs/>
          <w:i/>
        </w:rPr>
        <w:t xml:space="preserve">Nguồn: Tổng hợp của tác giả từ Bausch &amp; Krist (2007); Kirca et al. (2012); Marano et al. (2016); Arte &amp; Larimo (2022); Wu et al. (2022). Phạm vi thực: Bausch &amp; Krist 1980–2006; Kirca et al. 1980–2010; Marano et al. 1980–2014; Arte &amp; Larimo 1990–2019; Wu et al. 1995–2020.</w:t>
      </w:r>
    </w:p>
    <w:p>
      <w:pPr>
        <w:pStyle w:val="BodyText"/>
      </w:pPr>
      <w:r>
        <w:t xml:space="preserve">Bảng 2.1 cho thấy bộ ba "năng suất – lợi nhuận – tăng trưởng" chiếm ưu thế xuyên các phân tích tổng hợp. Đây là cơ sở để chuyên đề lựa chọn ba chiều này làm trục mô tả chính, bổ sung chiều đổi mới sáng tạo và cấu trúc doanh nghiệp.</w:t>
      </w:r>
    </w:p>
    <w:p>
      <w:pPr>
        <w:pStyle w:val="BodyText"/>
      </w:pPr>
      <w:r>
        <w:rPr>
          <w:bCs/>
          <w:b/>
        </w:rPr>
        <w:t xml:space="preserve">Về meta-analysis tổng hợp văn liệu I→P cho châu Á</w:t>
      </w:r>
      <w:r>
        <w:t xml:space="preserve">: Năm phân tích tổng hợp ở Bảng 2.1 đều lấy mẫu chủ yếu từ nghiên cứu về công ty đa quốc gia phương Tây và chưa có trọng tâm châu Á và Thái Bình Dương đặc thù. Đỗ et al. (202X, in preparation — P6) đang tiến hành meta-analysis tổng hợp hệ thống văn liệu I→P cho 47 nền kinh tế châu Á và Thái Bình Dương, dự kiến cung cấp pooled effect sizes để hiệu chỉnh định lượng (quantitative calibration) cho các giả thuyết H1–H6 trong Chuyên đề 2. Trong khi đó,</w:t>
      </w:r>
      <w:r>
        <w:t xml:space="preserve"> </w:t>
      </w:r>
      <w:r>
        <w:rPr>
          <w:bCs/>
          <w:b/>
        </w:rPr>
        <w:t xml:space="preserve">CĐ1 đã cung cấp bằng chứng sơ bộ về sự tồn tại (existence evidence) của các hiệu ứng phi tuyến và điều tiết thể chế</w:t>
      </w:r>
      <w:r>
        <w:t xml:space="preserve"> </w:t>
      </w:r>
      <w:r>
        <w:t xml:space="preserve">qua phân tích mô tả–chẩn đoán — bao gồm bốn lần đảo dấu hệ số tương quan xuyên phân nhóm con (§6, Hình 6.1) và turning point FSTS tại P3 (Việt Nam, ~49%) và P4 (Singapore, ~85%) — làm nền tảng định hướng cho H1–H6. CĐ1 hiện sử dụng</w:t>
      </w:r>
      <w:r>
        <w:t xml:space="preserve"> </w:t>
      </w:r>
      <w:r>
        <w:rPr>
          <w:bCs/>
          <w:b/>
        </w:rPr>
        <w:t xml:space="preserve">systematic narrative review</w:t>
      </w:r>
      <w:r>
        <w:t xml:space="preserve"> </w:t>
      </w:r>
      <w:r>
        <w:t xml:space="preserve">thay thế cho đến khi P6 hoàn thành — phương pháp này phù hợp với mục tiêu mô tả–chẩn đoán của chuyên đề và được chuẩn hóa theo PRISMA 2020 (Page et al., 2021).</w:t>
      </w:r>
    </w:p>
    <w:bookmarkEnd w:id="37"/>
    <w:bookmarkStart w:id="38" w:name="X8a684e6539e34c570fa604cf32631cabfb69886"/>
    <w:p>
      <w:pPr>
        <w:pStyle w:val="Heading3"/>
      </w:pPr>
      <w:r>
        <w:t xml:space="preserve">2.4 Vấn đề chuẩn hóa đo lường xuyên quốc gia</w:t>
      </w:r>
    </w:p>
    <w:p>
      <w:pPr>
        <w:pStyle w:val="FirstParagraph"/>
      </w:pPr>
      <w:r>
        <w:t xml:space="preserve">Bốn vấn đề lớn cần xử lý khi so sánh hiệu quả doanh nghiệp xuyên 47 nền kinh tế châu Á và Thái Bình Dương.</w:t>
      </w:r>
    </w:p>
    <w:p>
      <w:pPr>
        <w:pStyle w:val="BodyText"/>
      </w:pPr>
      <w:r>
        <w:rPr>
          <w:iCs/>
          <w:i/>
        </w:rPr>
        <w:t xml:space="preserve">Thứ nhất, sự khác biệt chuẩn mực kế toán</w:t>
      </w:r>
      <w:r>
        <w:t xml:space="preserve">. Doanh nghiệp ở Singapore, Malaysia, Hong Kong áp dụng IFRS; ở Việt Nam tuân theo VAS (chuẩn riêng có hiệu chỉnh từ IFRS); một số quốc gia Trung Á, Nam Á, SIDS Thái Bình Dương sử dụng chuẩn cũ hơn. Vì vậy, các thước đo lợi nhuận có thể không hoàn toàn so sánh nguyên trạng (Penman, 2013).</w:t>
      </w:r>
    </w:p>
    <w:p>
      <w:pPr>
        <w:pStyle w:val="BodyText"/>
      </w:pPr>
      <w:r>
        <w:rPr>
          <w:iCs/>
          <w:i/>
        </w:rPr>
        <w:t xml:space="preserve">Thứ hai, hiệu chỉnh PPP, lạm phát và tỷ giá</w:t>
      </w:r>
      <w:r>
        <w:t xml:space="preserve">. Số liệu doanh thu và lợi nhuận cần chuyển về USD PPP 2017 để so sánh được. Lạm phát cao ở một số quốc gia (Pakistan, Sri Lanka, Lào, Yemen, Lebanon trong giai đoạn</w:t>
      </w:r>
      <w:r>
        <w:t xml:space="preserve"> </w:t>
      </w:r>
      <w:r>
        <w:rPr>
          <w:bCs/>
          <w:b/>
        </w:rPr>
        <w:t xml:space="preserve">2022–2025</w:t>
      </w:r>
      <w:r>
        <w:t xml:space="preserve">) đòi hỏi chuyển về giá thực (deflate) cẩn thận.</w:t>
      </w:r>
    </w:p>
    <w:p>
      <w:pPr>
        <w:pStyle w:val="BodyText"/>
      </w:pPr>
      <w:r>
        <w:rPr>
          <w:iCs/>
          <w:i/>
        </w:rPr>
        <w:t xml:space="preserve">Thứ ba, định danh và bám đuôi doanh nghiệp xuyên năm</w:t>
      </w:r>
      <w:r>
        <w:t xml:space="preserve">. WBES không phải dữ liệu mảng (panel) chuẩn; phần lớn các đợt khảo sát là mặt cắt chéo (cross-section) lặp với mẫu mới. Một số quốc gia (Trung Quốc, Việt Nam, Mongolia, Nepal) có panel ngắn 2–3 chu kỳ.</w:t>
      </w:r>
    </w:p>
    <w:p>
      <w:pPr>
        <w:pStyle w:val="BodyText"/>
      </w:pPr>
      <w:r>
        <w:rPr>
          <w:iCs/>
          <w:i/>
        </w:rPr>
        <w:t xml:space="preserve">Thứ tư, hài hòa khung dữ liệu (schema) xuyên ba thế hệ WBES</w:t>
      </w:r>
      <w:r>
        <w:t xml:space="preserve">. Schema PICS3 (Private Investment and Climate Survey thế hệ 3, 2007–2012), Standardized (2013–2017), và Standardized2018+/BREADY (tên tắt nhóm tác giả cho WBES schema sau 2018, 2018–2025) khác biệt về tên biến và cách hỏi. Giao thức hài hòa được trình bày chi tiết trong tài liệu nội bộ</w:t>
      </w:r>
      <w:r>
        <w:t xml:space="preserve"> </w:t>
      </w:r>
      <w:r>
        <w:rPr>
          <w:rStyle w:val="VerbatimChar"/>
        </w:rPr>
        <w:t xml:space="preserve">thesis/08_p7_data_harmonization_protocol_vi.md</w:t>
      </w:r>
      <w:r>
        <w:t xml:space="preserve">.</w:t>
      </w:r>
    </w:p>
    <w:bookmarkEnd w:id="38"/>
    <w:bookmarkStart w:id="39" w:name="X8eac86a11b2c35fb3fc0ac70c4351e03ff493c1"/>
    <w:p>
      <w:pPr>
        <w:pStyle w:val="Heading3"/>
      </w:pPr>
      <w:r>
        <w:t xml:space="preserve">2.5 Khung lý thuyết hỗ trợ phân tích thực trạng</w:t>
      </w:r>
    </w:p>
    <w:p>
      <w:pPr>
        <w:pStyle w:val="FirstParagraph"/>
      </w:pPr>
      <w:r>
        <w:t xml:space="preserve">Mặc dù chuyên đề là mô tả, ba khung lý thuyết được sử dụng làm "đèn soi" để diễn giải các pattern quan sát được.</w:t>
      </w:r>
    </w:p>
    <w:p>
      <w:pPr>
        <w:pStyle w:val="BodyText"/>
      </w:pPr>
      <w:r>
        <w:rPr>
          <w:iCs/>
          <w:i/>
        </w:rPr>
        <w:t xml:space="preserve">Lý thuyết tăng trưởng nội sinh</w:t>
      </w:r>
      <w:r>
        <w:t xml:space="preserve"> </w:t>
      </w:r>
      <w:r>
        <w:t xml:space="preserve">(Romer, 1990) lý giải năng suất là kết quả tích lũy tri thức và đầu tư R&amp;D. Khung này ngụ ý các nước châu Á có chính sách R&amp;D mạnh (Hàn Quốc, Singapore, Trung Quốc) nên có năng suất cao hơn các nước thiếu nền tảng R&amp;D.</w:t>
      </w:r>
    </w:p>
    <w:p>
      <w:pPr>
        <w:pStyle w:val="BodyText"/>
      </w:pPr>
      <w:r>
        <w:rPr>
          <w:iCs/>
          <w:i/>
        </w:rPr>
        <w:t xml:space="preserve">Lý thuyết doanh nghiệp dựa trên nguồn lực</w:t>
      </w:r>
      <w:r>
        <w:t xml:space="preserve"> </w:t>
      </w:r>
      <w:r>
        <w:t xml:space="preserve">(Barney, 1991; Wernerfelt, 1984) giải thích dị biệt giữa các doanh nghiệp trong cùng môi trường. Doanh nghiệp có nguồn lực</w:t>
      </w:r>
      <w:r>
        <w:t xml:space="preserve"> </w:t>
      </w:r>
      <w:r>
        <w:rPr>
          <w:bCs/>
          <w:b/>
        </w:rPr>
        <w:t xml:space="preserve">giá trị – hiếm – khó bắt chước – không thay thế (Valuable – Rare – Inimitable – Non-substitutable — VRIN)</w:t>
      </w:r>
      <w:r>
        <w:t xml:space="preserve"> </w:t>
      </w:r>
      <w:r>
        <w:t xml:space="preserve">sẽ có hiệu quả vượt trội. Khung này dự báo phân tán lớn về hiệu quả doanh nghiệp ngay cả trong cùng quốc gia.</w:t>
      </w:r>
    </w:p>
    <w:p>
      <w:pPr>
        <w:pStyle w:val="BodyText"/>
      </w:pPr>
      <w:r>
        <w:rPr>
          <w:iCs/>
          <w:i/>
        </w:rPr>
        <w:t xml:space="preserve">Lý thuyết thể chế</w:t>
      </w:r>
      <w:r>
        <w:t xml:space="preserve"> </w:t>
      </w:r>
      <w:r>
        <w:t xml:space="preserve">(North, 1990; Khanna &amp; Palepu, 2010) giải thích dị biệt giữa các quốc gia. Thể chế chính thức (luật, hợp đồng) và phi chính thức (chuẩn mực, mạng lưới) định hình chi phí giao dịch và rủi ro kinh doanh, qua đó tác động lên hiệu quả. Khung này đặc biệt phù hợp khi phân tích</w:t>
      </w:r>
      <w:r>
        <w:t xml:space="preserve"> </w:t>
      </w:r>
      <w:r>
        <w:rPr>
          <w:bCs/>
          <w:b/>
        </w:rPr>
        <w:t xml:space="preserve">khoảng trống thể chế (institutional voids)</w:t>
      </w:r>
      <w:r>
        <w:t xml:space="preserve"> </w:t>
      </w:r>
      <w:r>
        <w:t xml:space="preserve">ở các nền kinh tế emerging và frontier. Đỗ và Phan (2026 — VEFR) đã phát hiện trên 17 nước châu Á mới nổi rằng việc áp dụng công nghệ làm giảm đáng kể tác động bất lợi của các rào cản thể chế lên năng suất — pattern được tác giả gọi là "</w:t>
      </w:r>
      <w:r>
        <w:rPr>
          <w:bCs/>
          <w:b/>
        </w:rPr>
        <w:t xml:space="preserve">hiệu ứng lá chắn số (digital shield effect)</w:t>
      </w:r>
      <w:r>
        <w:t xml:space="preserve">" — và là nền tảng thực tiễn quan trọng cho việc kiểm định mở rộng trên 47 nước trong CĐ1 này.</w:t>
      </w:r>
    </w:p>
    <w:p>
      <w:pPr>
        <w:pStyle w:val="BodyText"/>
      </w:pPr>
      <w:r>
        <w:t xml:space="preserve">Ba khung lý thuyết trên cùng được sử dụng đa tầng trong Chuyên đề 2 và luận án; trong Chuyên đề 1, chúng đóng vai trò khung diễn giải bổ trợ cho phần mô tả.</w:t>
      </w:r>
    </w:p>
    <w:bookmarkEnd w:id="39"/>
    <w:bookmarkStart w:id="40" w:name="X4c0732984da07cecc2bb03685008189b4ec6c8b"/>
    <w:p>
      <w:pPr>
        <w:pStyle w:val="Heading3"/>
      </w:pPr>
      <w:r>
        <w:t xml:space="preserve">§2.6 ĐIỀU KIỆN BIÊN CHO U-CURVE LU &amp; BEAMISH (2004)</w:t>
      </w:r>
    </w:p>
    <w:p>
      <w:pPr>
        <w:pStyle w:val="FirstParagraph"/>
      </w:pPr>
      <w:r>
        <w:t xml:space="preserve">Phân tích bối cảnh lý thuyết của tác giả (ghi chú nội bộ, 2026) khuyến nghị: việc nhét khái niệm "chi phí buộc phải quốc tế hóa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4"/>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4"/>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4"/>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40"/>
    <w:bookmarkStart w:id="41" w:name="X5b689c7d2dbcc4ff74ca289d1b9bebaa55c18a2"/>
    <w:p>
      <w:pPr>
        <w:pStyle w:val="Heading3"/>
      </w:pPr>
      <w:r>
        <w:t xml:space="preserve">§2.7 KHUNG 4-TIER CHUYỂN ĐỔI SỐ + MÔ HÌNH NĂNG LỰC SỐ PHỤ THUỘC BỐI CẢNH</w:t>
      </w:r>
    </w:p>
    <w:p>
      <w:pPr>
        <w:pStyle w:val="FirstParagraph"/>
      </w:pPr>
      <w:r>
        <w:t xml:space="preserve">Phân tích đối chiếu của tác giả (ghi chú nội bộ, 2026; P4 Singapore — Mar et al., 2026,</w:t>
      </w:r>
      <w:r>
        <w:t xml:space="preserve"> </w:t>
      </w:r>
      <w:r>
        <w:rPr>
          <w:iCs/>
          <w:i/>
        </w:rPr>
        <w:t xml:space="preserve">MIR</w:t>
      </w:r>
      <w:r>
        <w:t xml:space="preserve">; P3 Việt Nam — Đỗ &amp; Phan, 2026 —</w:t>
      </w:r>
      <w:r>
        <w:t xml:space="preserve"> </w:t>
      </w:r>
      <w:r>
        <w:rPr>
          <w:iCs/>
          <w:i/>
        </w:rPr>
        <w:t xml:space="preserve">JABS</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P4 (Mar et al., 2026) + Việt Nam P3 (Đỗ &amp; Phan, 2026 —</w:t>
      </w:r>
      <w:r>
        <w:t xml:space="preserve"> </w:t>
      </w:r>
      <w:r>
        <w:rPr>
          <w:iCs/>
          <w:i/>
        </w:rPr>
        <w:t xml:space="preserve">JABS</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JABS</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5"/>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5"/>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P4;</w:t>
      </w:r>
    </w:p>
    <w:p>
      <w:pPr>
        <w:numPr>
          <w:ilvl w:val="0"/>
          <w:numId w:val="1005"/>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5"/>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 P4 Singapore manuscript,</w:t>
      </w:r>
      <w:r>
        <w:t xml:space="preserve"> </w:t>
      </w:r>
      <w:r>
        <w:rPr>
          <w:iCs/>
          <w:i/>
        </w:rPr>
        <w:t xml:space="preserve">MIR</w:t>
      </w:r>
      <w:r>
        <w:t xml:space="preserve"> </w:t>
      </w:r>
      <w:r>
        <w:t xml:space="preserve">under review); Đỗ &amp; Phan (2026 — P3 Việt Nam —</w:t>
      </w:r>
      <w:r>
        <w:t xml:space="preserve"> </w:t>
      </w:r>
      <w:r>
        <w:rPr>
          <w:iCs/>
          <w:i/>
        </w:rPr>
        <w:t xml:space="preserve">JABS</w:t>
      </w:r>
      <w:r>
        <w:t xml:space="preserve">); Coase (1937); Williamson (1985); Banalieva &amp; Dhanaraj (2019).</w:t>
      </w:r>
    </w:p>
    <w:p>
      <w:r>
        <w:pict>
          <v:rect style="width:0;height:1.5pt" o:hralign="center" o:hrstd="t" o:hr="t"/>
        </w:pict>
      </w:r>
    </w:p>
    <w:bookmarkEnd w:id="41"/>
    <w:bookmarkEnd w:id="42"/>
    <w:bookmarkStart w:id="43"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43"/>
    <w:bookmarkStart w:id="44"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 Phiên bản đầy đủ v1.2:</w:t>
      </w:r>
      <w:r>
        <w:t xml:space="preserve"> </w:t>
      </w:r>
      <w:r>
        <w:rPr>
          <w:rStyle w:val="VerbatimChar"/>
        </w:rPr>
        <w:t xml:space="preserve">thesis/09b_vn_term_glossary.md</w:t>
      </w:r>
      <w:r>
        <w:t xml:space="preserve">.)</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44"/>
    <w:bookmarkEnd w:id="4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2026-05-13T18:31:10Z</dcterms:created>
  <dcterms:modified xsi:type="dcterms:W3CDTF">2026-05-13T18:31:10Z</dcterms:modified>
</cp:coreProperties>
</file>

<file path=docProps/custom.xml><?xml version="1.0" encoding="utf-8"?>
<Properties xmlns="http://schemas.openxmlformats.org/officeDocument/2006/custom-properties" xmlns:vt="http://schemas.openxmlformats.org/officeDocument/2006/docPropsVTypes"/>
</file>