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ver-letter--journal-of-world-business"/>
    <w:p>
      <w:pPr>
        <w:pStyle w:val="Heading1"/>
      </w:pPr>
      <w:r>
        <w:t xml:space="preserve">Cover Letter — Journal of World Business</w:t>
      </w:r>
    </w:p>
    <w:p>
      <w:pPr>
        <w:pStyle w:val="FirstParagraph"/>
      </w:pPr>
      <w:r>
        <w:t xml:space="preserve">Dear Editors,</w:t>
      </w:r>
    </w:p>
    <w:p>
      <w:pPr>
        <w:pStyle w:val="BodyText"/>
      </w:pPr>
      <w:r>
        <w:t xml:space="preserve">We are pleased to submit our manuscript,</w:t>
      </w:r>
      <w:r>
        <w:t xml:space="preserve"> </w:t>
      </w:r>
      <w:r>
        <w:rPr>
          <w:bCs/>
          <w:b/>
        </w:rPr>
        <w:t xml:space="preserve">"Does Country Context Shape the Internationalization–Performance Link? A Three-Level Meta-Analytic Investigation of Digital Adoption, Institutional Regimes, and the Digital Paradox Lifecycle,"</w:t>
      </w:r>
      <w:r>
        <w:t xml:space="preserve"> </w:t>
      </w:r>
      <w:r>
        <w:t xml:space="preserve">for consideration as an Article in the</w:t>
      </w:r>
      <w:r>
        <w:t xml:space="preserve"> </w:t>
      </w:r>
      <w:r>
        <w:rPr>
          <w:iCs/>
          <w:i/>
        </w:rPr>
        <w:t xml:space="preserve">Journal of World Business</w:t>
      </w:r>
      <w:r>
        <w:t xml:space="preserve">.</w:t>
      </w:r>
    </w:p>
    <w:p>
      <w:pPr>
        <w:pStyle w:val="BodyText"/>
      </w:pPr>
      <w:r>
        <w:t xml:space="preserve">The internationalization–performance (I–P) relationship is foundational to international business, yet primary studies remain strikingly inconsistent. Our study synthesizes this evidence using a three-level random-effects meta-analysis of 288 effect sizes drawn from 238 studies, and then asks the question the</w:t>
      </w:r>
      <w:r>
        <w:t xml:space="preserve"> </w:t>
      </w:r>
      <w:r>
        <w:rPr>
          <w:iCs/>
          <w:i/>
        </w:rPr>
        <w:t xml:space="preserve">Journal of World Business</w:t>
      </w:r>
      <w:r>
        <w:t xml:space="preserve"> </w:t>
      </w:r>
      <w:r>
        <w:t xml:space="preserve">is uniquely positioned to value:</w:t>
      </w:r>
      <w:r>
        <w:t xml:space="preserve"> </w:t>
      </w:r>
      <w:r>
        <w:rPr>
          <w:bCs/>
          <w:b/>
        </w:rPr>
        <w:t xml:space="preserve">how does country context shape the I–P link?</w:t>
      </w:r>
      <w:r>
        <w:t xml:space="preserve"> </w:t>
      </w:r>
      <w:r>
        <w:t xml:space="preserve">We move beyond a pooled estimate to test theoretically grounded moderators — institutional context regimes, the level of firm digital adoption, and a novel</w:t>
      </w:r>
      <w:r>
        <w:t xml:space="preserve"> </w:t>
      </w:r>
      <w:r>
        <w:rPr>
          <w:bCs/>
          <w:b/>
        </w:rPr>
        <w:t xml:space="preserve">Digital Paradox Lifecycle</w:t>
      </w:r>
      <w:r>
        <w:t xml:space="preserve"> </w:t>
      </w:r>
      <w:r>
        <w:t xml:space="preserve">that explains why the marginal value of digital adoption shifts across institutional development phases.</w:t>
      </w:r>
    </w:p>
    <w:p>
      <w:pPr>
        <w:pStyle w:val="BodyText"/>
      </w:pPr>
      <w:r>
        <w:t xml:space="preserve">We believe the manuscript fits the journal's scope for three reasons:</w:t>
      </w:r>
    </w:p>
    <w:p>
      <w:pPr>
        <w:numPr>
          <w:ilvl w:val="0"/>
          <w:numId w:val="1001"/>
        </w:numPr>
        <w:pStyle w:val="Compact"/>
      </w:pPr>
      <w:r>
        <w:rPr>
          <w:bCs/>
          <w:b/>
        </w:rPr>
        <w:t xml:space="preserve">Context-sensitive IB theory.</w:t>
      </w:r>
      <w:r>
        <w:t xml:space="preserve"> </w:t>
      </w:r>
      <w:r>
        <w:t xml:space="preserve">Rather than treating heterogeneity as noise, we model it as substance, showing how institutional regimes condition the returns to internationalization.</w:t>
      </w:r>
    </w:p>
    <w:p>
      <w:pPr>
        <w:numPr>
          <w:ilvl w:val="0"/>
          <w:numId w:val="1001"/>
        </w:numPr>
        <w:pStyle w:val="Compact"/>
      </w:pPr>
      <w:r>
        <w:rPr>
          <w:bCs/>
          <w:b/>
        </w:rPr>
        <w:t xml:space="preserve">Methodological rigor.</w:t>
      </w:r>
      <w:r>
        <w:t xml:space="preserve"> </w:t>
      </w:r>
      <w:r>
        <w:t xml:space="preserve">The three-level structure correctly partitions within- and between-study variance; we report full heterogeneity diagnostics, publication-bias tests, and sensitivity analyses, with PRISMA documentation supplied as supplementary material.</w:t>
      </w:r>
    </w:p>
    <w:p>
      <w:pPr>
        <w:numPr>
          <w:ilvl w:val="0"/>
          <w:numId w:val="1001"/>
        </w:numPr>
        <w:pStyle w:val="Compact"/>
      </w:pPr>
      <w:r>
        <w:rPr>
          <w:bCs/>
          <w:b/>
        </w:rPr>
        <w:t xml:space="preserve">Cumulative contribution.</w:t>
      </w:r>
      <w:r>
        <w:t xml:space="preserve"> </w:t>
      </w:r>
      <w:r>
        <w:t xml:space="preserve">The synthesis reconciles the country-level findings reported in our broader research program and offers a forward research agenda on digital internationalization.</w:t>
      </w:r>
    </w:p>
    <w:p>
      <w:pPr>
        <w:pStyle w:val="FirstParagraph"/>
      </w:pPr>
      <w:r>
        <w:t xml:space="preserve">This manuscript is original, has not been published previously, and is not under consideration elsewhere. All authors have approved the submission and report no conflicts of interest. The appendices (PRISMA flow, coding protocol, and the MetaEssentials/</w:t>
      </w:r>
      <w:r>
        <w:rPr>
          <w:rStyle w:val="VerbatimChar"/>
        </w:rPr>
        <w:t xml:space="preserve">metafor</w:t>
      </w:r>
      <w:r>
        <w:t xml:space="preserve"> </w:t>
      </w:r>
      <w:r>
        <w:t xml:space="preserve">consistency check) are provided as online supplementary files to respect the main-text length.</w:t>
      </w:r>
    </w:p>
    <w:p>
      <w:pPr>
        <w:pStyle w:val="BodyText"/>
      </w:pPr>
      <w:r>
        <w:t xml:space="preserve">Thank you for considering our work. We look forward to your feedback.</w:t>
      </w:r>
    </w:p>
    <w:p>
      <w:pPr>
        <w:pStyle w:val="BodyText"/>
      </w:pPr>
      <w:r>
        <w:t xml:space="preserve">Sincerely,</w:t>
      </w:r>
      <w:r>
        <w:t xml:space="preserve"> </w:t>
      </w:r>
      <w:r>
        <w:t xml:space="preserve">Phan Anh Tú (corresponding author), on behalf of the authors</w:t>
      </w:r>
      <w:r>
        <w:t xml:space="preserve"> </w:t>
      </w:r>
      <w:r>
        <w:t xml:space="preserve">College of Economics, Can Tho University, Vietnam ·</w:t>
      </w:r>
      <w:r>
        <w:t xml:space="preserve"> </w:t>
      </w:r>
      <w:hyperlink r:id="rId20">
        <w:r>
          <w:rPr>
            <w:rStyle w:val="Hyperlink"/>
          </w:rPr>
          <w:t xml:space="preserve">patu@ctu.edu.vn</w:t>
        </w:r>
      </w:hyperlink>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2026-06-08T01:08:06Z</dcterms:created>
  <dcterms:modified xsi:type="dcterms:W3CDTF">2026-06-08T01:08:06Z</dcterms:modified>
</cp:coreProperties>
</file>

<file path=docProps/custom.xml><?xml version="1.0" encoding="utf-8"?>
<Properties xmlns="http://schemas.openxmlformats.org/officeDocument/2006/custom-properties" xmlns:vt="http://schemas.openxmlformats.org/officeDocument/2006/docPropsVTypes"/>
</file>