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1ec000fb4d959ea3eaa1ee73b64d0d26ed5cdac"/>
    <w:p>
      <w:pPr>
        <w:pStyle w:val="Heading1"/>
      </w:pPr>
      <w:r>
        <w:t xml:space="preserve">Mối quan hệ giữa cường độ xuất khẩu và hiệu quả hoạt động kinh doanh của doanh nghiệp tư nhân Trung Quốc: Góc nhìn ngưỡng — bền vững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 U-shape) giữa cường độ xuất khẩu và hiệu quả hoạt động kinh doanh của doanh nghiệp ở các doanh nghiệp tư nhân Trung Quốc có</w:t>
      </w:r>
      <w:r>
        <w:t xml:space="preserve"> </w:t>
      </w:r>
      <w:r>
        <w:rPr>
          <w:bCs/>
          <w:b/>
        </w:rPr>
        <w:t xml:space="preserve">bền vững về mặt cấu trúc hay chỉ đặc thù theo đợt khảo sát</w:t>
      </w:r>
      <w:r>
        <w:t xml:space="preserve">, đồng thời làm rõ vai trò của năng lực công nghệ (Technological Capability Index, TCI) và áp dụng công nghệ số (Digital Adoption Index, DAI) nền tảng trong việc hình thành mối quan hệ này.</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(World Bank Enterprise Survey, WBES) cho Trung Quốc (2012, N = 2.619; 2024, N = 1.940; gộp chung N = 4.559), nghiên cứu ước lượng các mô hình bậc hai có đầy đủ tương tác chéo đợt khảo sát và tương tác với năng lực. Dữ liệu ủng hộ</w:t>
      </w:r>
      <w:r>
        <w:t xml:space="preserve"> </w:t>
      </w:r>
      <w:r>
        <w:rPr>
          <w:bCs/>
          <w:b/>
        </w:rPr>
        <w:t xml:space="preserve">giả thuyết H2b (tính bền vững cấu trúc — structural durability)</w:t>
      </w:r>
      <w:r>
        <w:t xml:space="preserve"> </w:t>
      </w:r>
      <w:r>
        <w:t xml:space="preserve">so với</w:t>
      </w:r>
      <w:r>
        <w:t xml:space="preserve"> </w:t>
      </w:r>
      <w:r>
        <w:rPr>
          <w:bCs/>
          <w:b/>
        </w:rPr>
        <w:t xml:space="preserve">H2a (dịch chuyển môi trường — environmental shift)</w:t>
      </w:r>
      <w:r>
        <w:t xml:space="preserve">: các kiểm định z Paternoster (1998) chéo đợt khảo sát không bác bỏ tính bằng nhau của hệ số tuyến tính và hệ số bậc hai của cường độ xuất khẩu (FSTS z = +0,82, p = 0,412;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0,545), và kiểm định F liên hợp gộp chung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F(2, 3.558) = 2,24, p = 0,107.</w:t>
      </w:r>
    </w:p>
    <w:p>
      <w:pPr>
        <w:pStyle w:val="BodyText"/>
      </w:pPr>
      <w:r>
        <w:rPr>
          <w:bCs/>
          <w:b/>
        </w:rPr>
        <w:t xml:space="preserve">Kết quả nghiên cứu.</w:t>
      </w:r>
      <w:r>
        <w:t xml:space="preserve"> </w:t>
      </w:r>
      <w:r>
        <w:t xml:space="preserve">Các điểm ngoặt (turning point) ước lượng nằm trong một khoảng rất hẹp: 49,4 % tổng doanh thu năm 2012, 47,2 % năm 2024 và 48,8 % trong mẫu gộp, với các khoảng tin cậy 95 % theo phương pháp delta (delta method) chồng lấn nhau. Năng lực công nghệ có liên hệ thuận chiều mạnh mẽ với năng suất ở cả hai đợt khảo sát (β_z = +0,28 năm 2012 và +0,43 năm 2024; cả hai đều p &lt; 0,001), và một biến đại diện hiện diện số đơn mục (sở hữu website riêng) có liên hệ thuận chiều với năng suất năm 2024 và mẫu gộp (β_z = +0,07, p = 0,04 năm 2024; β_z = +0,06, p = 0,006 mẫu gộp). Tuy nhiên, không cấu trúc nào trong hai cấu trúc này điều tiết một cách bền vững độ cong của chữ U ngược: kiểm định F liên hợp trên các tương tác năng lực × độ cong (F = 3,26, p = 0,039) chỉ ở mức biên, các hệ số riêng lẻ không có ý nghĩa thống kê, và kiểm định điều tiết động ba chiều năng lực × đợt khảo sát × độ cong cho F = 0,27, p = 0,760.</w:t>
      </w:r>
    </w:p>
    <w:p>
      <w:pPr>
        <w:pStyle w:val="BodyText"/>
      </w:pPr>
      <w:r>
        <w:rPr>
          <w:bCs/>
          <w:b/>
        </w:rPr>
        <w:t xml:space="preserve">Tính mới / đóng góp.</w:t>
      </w:r>
      <w:r>
        <w:t xml:space="preserve"> </w:t>
      </w:r>
      <w:r>
        <w:rPr>
          <w:bCs/>
          <w:b/>
        </w:rPr>
        <w:t xml:space="preserve">Giả thuyết H2b (tính bền vững cấu trúc) được khẳng định so với H2a (dịch chuyển môi trường)</w:t>
      </w:r>
      <w:r>
        <w:t xml:space="preserve">: bất chấp sự thay đổi cấu trúc đáng kể tại Trung Quốc giữa năm 2012 và 2024, các kiểm định chéo đợt khảo sát ủng hộ luận điểm rằng đánh đổi quốc tế hoá–hiệu quả tại Trung Quốc là</w:t>
      </w:r>
      <w:r>
        <w:t xml:space="preserve"> </w:t>
      </w:r>
      <w:r>
        <w:rPr>
          <w:bCs/>
          <w:b/>
        </w:rPr>
        <w:t xml:space="preserve">bền vững về mặt cấu trúc hơn là đặc thù theo đợt khảo sát hay phụ thuộc vào năng lực</w:t>
      </w:r>
      <w:r>
        <w:t xml:space="preserve">. Đóng góp này tái định khung ngưỡng chữ U ngược từ một quy luật đặc thù của mẫu thành một đặc trưng cấu trúc bền vững của bối cảnh nghiên cứu; các kết quả null về điều tiết độ cong theo năng lực và các phân tích vốn lưu động không ổn định đều củng cố cách diễn giải này. Phát hiện này cũng mở rộng đường cong tham chiếu bậc ba đặc thù Trung Quốc của Author Citation (2026, JFAR) và tổng hợp đa quốc gia châu Á mới nổi của Author Citation (2026, VEFR) bằng cách bổ sung chiều ổn định theo thời gian.</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trên phạm vi nền kinh tế: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Mặc dù tài liệu thực nghiệm đáng kể, bao gồm một số phân tích tổng hợp (meta-analysis) trải dài nhiều thập kỷ và bối cảnh quốc gia, hiện ủng hộ một dạng phi tuyến hình chữ U ngược, trong đó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nhưng tính bền vững theo thời gian của nó trong một bối cảnh quốc gia đơn lẻ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Ba động cơ định hình nghiên cứu này. Thứ nhất,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Thứ hai,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Thứ ba,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Thứ nhất, nghiên cứu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Thứ hai, và là đóng góp trung tâm của bài, nghiên cứu cung cấp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Thứ ba, nghiên cứu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Thứ tư, nghiên cứu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của chúng tôi gợi ý rằng các bối cảnh thể chế đơn quốc gia có thể bảo toàn tính đều đặn về dạng hàm mà các mẫu đa quốc gia che lấp thông qua tính không đồng nhất gộp. Nghiên cứu cũng đề xuất một cách diễn giải bẫy vốn lưu động cho sự suy giảm sau ngưỡng (Manova, 2013) như một cơ sở lý thuyết nhưng chưa được nhận dạng trực tiếp trong dữ liệu của chúng tôi,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mô tả (sample_base, N = 4.559 được báo cáo trong Bảng 1 và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Chúng tôi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về mặt lý thuyết và quản trị. Về mặt lý thuyết, nó gợi ý rằng chữ U ngược được dựa trên các ràng buộc sâu ở cấp doanh nghiệp về mặt cấu trúc, năng lực phối hợp, khoảng đệm tài chính, chiều sâu tổ chức, thay vì các điều kiện thể chế hoặc cạnh tranh đặc thù theo thời gian có thể tan biến với thay đổi môi trường (Hennart, 2007; Buckley et al., 2007). Về mặt quản trị, các khoảng tin cậy rộng và chồng lấn trên các ước lượng điểm ngoặt lập luận chống lại việc xem bất kỳ con số nào như một mục tiêu cực kỳ chính xác; lượng có liên quan đến chính sách là một</w:t>
      </w:r>
      <w:r>
        <w:t xml:space="preserve"> </w:t>
      </w:r>
      <w:r>
        <w:rPr>
          <w:iCs/>
          <w:i/>
        </w:rPr>
        <w:t xml:space="preserve">phạm vi vận hành có giới hạn</w:t>
      </w:r>
      <w:r>
        <w:t xml:space="preserve"> </w:t>
      </w:r>
      <w:r>
        <w:t xml:space="preserve">(khoảng 30 % đến 60 % tổng doanh thu) trong đó năng suất dự đoán vẫn gần đỉnh của nó, và trong đó các doanh nghiệp có thể thực hiện sự thận trọng chiến lược mà không vượt qua đuôi xói mòn năng suất của đường cong.</w:t>
      </w:r>
    </w:p>
    <w:p>
      <w:pPr>
        <w:pStyle w:val="BodyText"/>
      </w:pPr>
      <w:r>
        <w:t xml:space="preserve">Các kết quả điều tiết phụ thuộc năng lực hội tụ về cùng kết luận về tính bền vững. Chúng tôi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Chúng tôi giữ cách diễn giải vốn lưu động như một giải thích có cơ sở lý thuyết thay vì như một kênh thực nghiệm được thiết lập trực tiếp, và chúng tôi xác định rõ ràng việc tích hợp dữ liệu vi mô tài chính phong phú hơn (chu kỳ chuyển đổi tiền mặt, số ngày khoản phải thu chưa thanh toán, định giá tài trợ thương mại) như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đã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rPr>
          <w:bCs/>
          <w:b/>
        </w:rPr>
        <w:t xml:space="preserve">Thứ hai</w:t>
      </w:r>
      <w:r>
        <w:t xml:space="preserve">, 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rPr>
          <w:bCs/>
          <w:b/>
        </w:rPr>
        <w:t xml:space="preserve">Thứ ba</w:t>
      </w:r>
      <w:r>
        <w:t xml:space="preserve">, 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rPr>
          <w:bCs/>
          <w:b/>
        </w:rPr>
        <w:t xml:space="preserve">Thứ tư và tổng quát hơn</w:t>
      </w:r>
      <w:r>
        <w:t xml:space="preserve">, bằng chứng ủng hộ một khung định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Thứ nhất, 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Thứ hai, các cải cách thị trường tín dụng SME nhắm vào các hạn mức vốn lưu động, bao thanh toán,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Thứ ba,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rPr>
          <w:bCs/>
          <w:b/>
        </w:rPr>
        <w:t xml:space="preserve">Thứ nhất</w:t>
      </w:r>
      <w:r>
        <w:t xml:space="preserve">, chúng tôi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rPr>
          <w:bCs/>
          <w:b/>
        </w:rPr>
        <w:t xml:space="preserve">Thứ hai</w:t>
      </w:r>
      <w:r>
        <w:t xml:space="preserve">, chúng tôi đóng góp vào</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rPr>
          <w:bCs/>
          <w:b/>
        </w:rPr>
        <w:t xml:space="preserve">Thứ ba</w:t>
      </w:r>
      <w:r>
        <w:t xml:space="preserve">, chúng tôi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rPr>
          <w:bCs/>
          <w:b/>
        </w:rPr>
        <w:t xml:space="preserve">Thứ tư</w:t>
      </w:r>
      <w:r>
        <w:t xml:space="preserve">,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w:t>
      </w:r>
      <w:r>
        <w:t xml:space="preserve"> </w:t>
      </w:r>
      <w:r>
        <w:rPr>
          <w:bCs/>
          <w:b/>
        </w:rPr>
        <w:t xml:space="preserve">Thứ nhất</w:t>
      </w:r>
      <w:r>
        <w:t xml:space="preserve">,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w:t>
      </w:r>
      <w:r>
        <w:t xml:space="preserve"> </w:t>
      </w:r>
      <w:r>
        <w:rPr>
          <w:bCs/>
          <w:b/>
        </w:rPr>
        <w:t xml:space="preserve">Thứ hai</w:t>
      </w:r>
      <w:r>
        <w:t xml:space="preserve">, tuyên bố tính bền vững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w:t>
      </w:r>
      <w:r>
        <w:t xml:space="preserve"> </w:t>
      </w:r>
      <w:r>
        <w:rPr>
          <w:bCs/>
          <w:b/>
        </w:rPr>
        <w:t xml:space="preserve">Thứ ba</w:t>
      </w:r>
      <w:r>
        <w:t xml:space="preserve">, phát hiện tính ổn định ngưỡng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w:t>
      </w:r>
      <w:r>
        <w:t xml:space="preserve"> </w:t>
      </w:r>
      <w:r>
        <w:rPr>
          <w:bCs/>
          <w:b/>
        </w:rPr>
        <w:t xml:space="preserve">Thứ tư</w:t>
      </w:r>
      <w:r>
        <w:t xml:space="preserve">,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cơ bản nhất</w:t>
      </w:r>
      <w:r>
        <w:t xml:space="preserve">,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rPr>
          <w:bCs/>
          <w:b/>
        </w:rPr>
        <w:t xml:space="preserve">Thứ hai</w:t>
      </w:r>
      <w:r>
        <w:t xml:space="preserve">, 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rPr>
          <w:bCs/>
          <w:b/>
        </w:rPr>
        <w:t xml:space="preserve">Thứ ba</w:t>
      </w:r>
      <w:r>
        <w:t xml:space="preserve">,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rPr>
          <w:bCs/>
          <w:b/>
        </w:rPr>
        <w:t xml:space="preserve">Thứ tư</w:t>
      </w:r>
      <w:r>
        <w:t xml:space="preserve">, khung mẫu WBES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rPr>
          <w:bCs/>
          <w:b/>
        </w:rPr>
        <w:t xml:space="preserve">Thứ năm</w:t>
      </w:r>
      <w:r>
        <w:t xml:space="preserve">, 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rPr>
          <w:bCs/>
          <w:b/>
        </w:rPr>
        <w:t xml:space="preserve">Thứ sáu</w:t>
      </w:r>
      <w:r>
        <w:t xml:space="preserve">,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2026-05-21T00:11:24Z</dcterms:created>
  <dcterms:modified xsi:type="dcterms:W3CDTF">2026-05-21T00:11:24Z</dcterms:modified>
</cp:coreProperties>
</file>

<file path=docProps/custom.xml><?xml version="1.0" encoding="utf-8"?>
<Properties xmlns="http://schemas.openxmlformats.org/officeDocument/2006/custom-properties" xmlns:vt="http://schemas.openxmlformats.org/officeDocument/2006/docPropsVTypes"/>
</file>