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được đề xuất như một điều kiện biên rõ ràng của mô hình chữ U ngược I-P: khi cả ba tiền đề cấu trúc (thị trường nội địa khả dụng, chi phí thương mại quản lý được, và thể chế hỗ trợ chức năng) đồng thời bị vi phạm, dạng hàm phi tuyến truyền thống chuyển sang quan hệ âm đơn điệu. FIP nối tiếp dòng nghiên cứu nền tảng về SIDS của Briguglio (1995) và mô hình MIRAB của Bertram (2006); đóng góp của luận án là cung cấp ước lượng định lượng đầu tiên (β = −0,404, p = ,032) trên dữ liệu WBES kết nối ba ràng buộc SIDS này với dấu của hệ số FSTS trong hồi quy I-P ở cấp doanh nghiệp.</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là chính thức kết nối ba ràng buộc cấu trúc của các quốc đảo nhỏ Thái Bình Dương (thị trường nội địa quá nhỏ, chi phí thương mại cực cao, hỗ trợ thể chế thiếu hụt) với dấu của hệ số FSTS trong hồi quy I-P ở cấp doanh nghiệp, đặt tên cho hiện tượng này là gánh nặng quốc tế hóa bắt buộc (forced internationalization penalty, FIP). Khái niệm không phải mới hoàn toàn: cấu trúc kinh tế ba ràng buộc của SIDS đã được phân tích trong các nghiên cứu nền tảng (Briguglio, 1995; mô hình MIRAB của Bertram, 2006). Đóng góp tăng thêm của luận án là (i) cung cấp ước lượng định lượng đầu tiên (β = −0,404, p = ,032) trên dữ liệu WBES về dấu âm trong hồi quy I-P, (ii) đặt FIP làm điều kiện biên rõ ràng cho mô hình chữ U ngược (quan hệ chuyển sang âm đơn điệu không có điểm uốn khi cả ba ràng buộc đồng thời bị vi phạm), và (iii) qua đó cho thấy chữ U ngược không phải quy luật phổ quát mà là quan hệ có điều kiện, mở hướng nghiên cứu về điều kiện biên của các lý thuyết quốc tế hóa.</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2026-06-01T08:35:45Z</dcterms:created>
  <dcterms:modified xsi:type="dcterms:W3CDTF">2026-06-01T08:35:45Z</dcterms:modified>
</cp:coreProperties>
</file>

<file path=docProps/custom.xml><?xml version="1.0" encoding="utf-8"?>
<Properties xmlns="http://schemas.openxmlformats.org/officeDocument/2006/custom-properties" xmlns:vt="http://schemas.openxmlformats.org/officeDocument/2006/docPropsVTypes"/>
</file>