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Bốn truyền thống này không vận hành song song mà hội tụ quanh một trục tổ chức duy nhất: chế độ thể chế ICRV hoạt động như một bộ lọc chi phí giao dịch (transaction cost filter) xác định một bản đồ địa hình xuất khẩu chiến lược (strategic export topography), trong đó RBV (TCI, DAI) là các tấm lá chắn cấp doanh nghiệp, Uppsala mô tả sự di chuyển dọc theo địa hình, còn Upper Echelons đi vào như biến kiểm soát nội sinh về chất lượng quản trị.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 (kiểm soát quản trị nội sinh) đưa đặc điểm nhà quản trị (kinh nghiệm, học vấn, giới tính) vào như nhóm biến kiểm soát quản trị nội sinh, không phải nhân tố điều tiết trọng tâm, nhằm khóa chặt thiên lệch nội sinh phát sinh từ năng lực và sự đa dạng giới của nhà quản trị và bảo vệ tính nhân quả thuần khiết của tương tác Thể chế × Công nghệ; H5 thể chế nội địa điều tiết theo gradient ICRV sáu nhóm; H6 tính không đồng nhất theo thời gian. Bốn nhân tố điều tiết trọng tâm của khung là TCI (H2), DAI (H3), chế độ thể chế ICRV (H5), và thời gian (H6).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phân tích quốc gia đồng hành trong chuỗi luận án, phân tích Việt Nam và Singapore, và phân tích Trung Quốc,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(Vietnam analysis IV: β = 0.018, p =.942), conditional or null for Advanced (H3b), and distinguishable from TCI; H4 (endogenous governance control) enters top manager characteristics (experience, education, and gender) as a set of endogenous governance control variables rather than focal moderators, locking down the endogeneity bias arising from managerial capability and gender diversity in order to protect the causal purity of the Institution × Technology interaction; H5 home-country institutions moderating along the ICRV six-regime gradient; H6 temporal heterogeneity. The four focal moderators of the framework are TCI (H2), DAI (H3), the ICRV institutional regime (H5), and time (H6).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country analyses within the dissertation series, the Vietnam analysis, the Singapore analysis, and the China analysis,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tài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Hàm ý quản trị: lộ trình chiến lược ba giai đoạn</w:t>
      </w:r>
      <w:r>
        <w:t xml:space="preserve"> </w:t>
      </w:r>
      <w:r>
        <w:t xml:space="preserve">2.4.3 Hạn chế nghiên cứu</w:t>
      </w:r>
      <w:r>
        <w:t xml:space="preserve"> </w:t>
      </w:r>
      <w:r>
        <w:t xml:space="preserve">2.4.4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phân tích quốc gia đồng hành</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1"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Trong hơn nửa thế kỷ qua, quốc tế hóa vẫn là một trong những chiến lược phát triển then chốt của doanh nghiệp, song bằng chứng về hiệu quả mà nó mang lại vẫn chưa thống nhất. Các nghiên cứu trong lĩnh vực kinh doanh quốc tế (international business, IB) đã ghi nhận năm dạng hàm mô tả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phân tán này không phải là mâu thuẫn cần loại bỏ, mà là biểu hiện của tính phụ thuộc bối cảnh: cùng một mức cường độ xuất khẩu có thể trở thành lợi thế hoặc gánh nặng, tùy theo (1) năng lực doanh nghiệp, (2) chất lượng thể chế quốc gia, và (3) giai đoạn phát triển số (Bausch &amp; Krist, 2007; Kirca et al., 2012; Marano et al., 2016; Wu, Wood &amp; Khan, 2022).</w:t>
      </w:r>
    </w:p>
    <w:p>
      <w:pPr>
        <w:pStyle w:val="BodyText"/>
      </w:pPr>
      <w:r>
        <w:t xml:space="preserve">Châu Á giai đoạn 2009-2025 cung cấp một phòng thí nghiệm tự nhiên hiếm có để kiểm định quan hệ I-P, bởi khu vực này dung chứa đồng thời ít nhất sáu chế độ thể chế khác biệt theo khung phân loại ICRV. Chính sự đồng tồn tại của các chế độ này, trong cùng một khoảng thời gian và trên cùng một nguồn dữ liệu chuẩn hóa, cho phép phân tách hiệu ứng thể chế khỏi hiệu ứng thời kỳ, điều mà các nghiên cứu đơn quốc gia không thể thực hiện. Sáu chế độ bao gồm: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Song song với sự đa dạng thể chế đó, châu Á đang trải qua một làn sóng chuyển đổi số chưa từng có tiền lệ trong giai đoạn 2018-2025. Sự bùng nổ của hạ tầng số và trí tuệ nhân tạo từ năm 2023 không chỉ là một biến ngoại sinh, mà đã tái định hình chính cơ chế qua đó năng lực số chi phối quan hệ giữa quốc tế hóa và hiệu quả doanh nghiệp (Banalieva &amp; Dhanaraj, 2019; Verhoef et al., 2021; Yang, Zhao &amp; Wei, 2025). Hệ quả là bất kỳ mô hình I-P nào cho châu Á đương đại cũng cần nội sinh hóa yếu tố số thay vì xem nó như một biến kiểm soát thuần túy.</w:t>
      </w:r>
    </w:p>
    <w:p>
      <w:pPr>
        <w:pStyle w:val="BodyText"/>
      </w:pPr>
      <w:r>
        <w:t xml:space="preserve">Tuy nhiên, khung lý thuyết hiện hành về quan hệ I-P vẫn còn phân tán. Các tổng quan quy mô lớn thường chỉ khai thác một hoặc hai khía cạnh và hiếm khi đề xuất một khung tích hợp đa tầng đủ sức giải thích trọn vẹn tính không đồng nhất quan sát được ở châu Á (Kirca et al., 2012; Marano et al., 2016). Khoảng trống này đặc biệt rõ ở chiều cạnh số: khung áp dụng số nền tảng (Foundational Digital Adoption Framework) mới chỉ được đề xuất gần đây (Verhoef et al., 2021) và chưa được tích hợp một cách hệ thống với bốn tầng lý thuyết kinh điển. Chính khoảng trống tích hợp lý thuyết và bằng chứng này định hình động lực của chuyên đề.</w:t>
      </w:r>
    </w:p>
    <w:p>
      <w:pPr>
        <w:pStyle w:val="BodyText"/>
      </w:pPr>
      <w:r>
        <w:t xml:space="preserve">Kết quả phân tích mô tả trong Chuyên đề Tiến sĩ số 1 đã phác họa một bức tranh thực trạng đa chiều trên 101.185 doanh nghiệp WBES thuộc 47 nền kinh tế, làm nổi bật ba pattern then chốt: (1) phân tán năng suất tăng đơn điệu theo chế độ thể chế từ Nhóm I đến Nhóm VI; (2) tính không đồng nhất nội bộ rõ rệt trong nhóm Advanced; và (3) pattern thích ứng đặc trưng của các quốc đảo nhỏ Thái Bình Dương. Quan trọng hơn, phân tích đó làm lộ diện CDCM (Mô hình Áp dụng số và Năng lực phụ thuộc bối cảnh): tác động của DAI lên hiệu quả không cố định mà phụ thuộc vào chế độ thể chế, giai đoạn quốc tế hóa, và mức độ bão hòa số của nền kinh tế. Ba pattern thực nghiệm này đặt ra một yêu cầu lý thuyết cụ thể, đó là cần một mô hình có khả năng giải thích vì sao cùng một mức quốc tế hóa lại cho hiệu quả khác nhau giữa các chế độ; Chuyên đề 2 tiếp nối trực tiếp mạch đó, xây dựng một mô hình vừa lý thuyết vừa thực nghiệm nhằm giải thích cơ chế đằng sau các pattern này.</w:t>
      </w:r>
    </w:p>
    <w:p>
      <w:pPr>
        <w:pStyle w:val="BodyText"/>
      </w:pPr>
      <w:r>
        <w:t xml:space="preserve">Khung đề xuất không dừng lại ở lý thuyết: bốn phân tích quốc gia đồng hành trong chuỗi luận án đã cung cấp bằng chứng quốc gia cụ thể để kiểm định khả năng giải thích của nó. Phân tích Trung Quốc SMEs (Đỗ &amp; Phan, 2026, JFAR đã công bố) trên 2.700 doanh nghiệp SMEs Trung Quốc tìm thấy dạng bậc ba (cubic nonlinearity / S-curve ba giai đoạn), cung cấp tiền thân thực nghiệm cho H1 và cơ sở để so sánh với phân tích Trung Quốc hai sóng. Phân tích Việt Nam trên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Phân tích Singapore trên 623 doanh nghiệp WBES 2023 cho thấy điểm uốn hàm ý ở FSTS khoảng 82% và DAI hoạt động như năng lực phụ thuộc bối cảnh với hệ số DAI×</w:t>
      </w:r>
      <m:oMath>
        <m:sSup>
          <m:e>
            <m:r>
              <m:rPr>
                <m:nor/>
                <m:sty m:val="p"/>
              </m:rPr>
              <m:t>FSTS</m:t>
            </m:r>
          </m:e>
          <m:sup>
            <m:r>
              <m:t>2</m:t>
            </m:r>
          </m:sup>
        </m:sSup>
      </m:oMath>
      <w:r>
        <w:t xml:space="preserve"> </w:t>
      </w:r>
      <w:r>
        <w:t xml:space="preserve">= +3,119 (p = 0,005). Phân tích Trung Quốc trên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các phân tích quốc gia của luận án (Việt Nam, Singapore, Trung Quốc).</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các nghiên cứu IB cho khu vực 47 nền kinh tế bao gồm cả quốc đảo nhỏ Thái Bình Dương. CDCM làm sắc nét sự phân biệt giữa TCI như nguồn lực nâng mặt bằng và DAI như năng lực phụ thuộc bối cảnh.</w:t>
      </w:r>
    </w:p>
    <w:p>
      <w:pPr>
        <w:pStyle w:val="BodyText"/>
      </w:pPr>
      <w:r>
        <w:t xml:space="preserve">Về mô hình, tám mô hình M0-M7 với điều tiết ba chiều (M7) là chuỗi mô hình đầu tiên trong các nghiên cứu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các phân tích quốc gia của luận án (Việt Nam, Singapore, Trung Quốc)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738edd18734ed39dd3ad1441b2baf3f5818c8a1"/>
    <w:p>
      <w:pPr>
        <w:pStyle w:val="Heading4"/>
      </w:pPr>
      <w:r>
        <w:t xml:space="preserve">2.3.1 Tổng quan tài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Các nghiên cứu IB không hội tụ về một dạng hàm duy nhất cho quan hệ I-P mà ghi nhận ít nhất năm dạng riêng biệt. Chính sự tồn tại song song của năm dạng này, chứ không phải bản thân từng dạng, mới là dữ kiện cần được giải thích: chúng phản ánh việc hiệu ứng quốc tế hóa thay đổi theo bối cảnh năng lực, thể chế, và giai đoạn số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w:t>
      </w:r>
      <w:r>
        <w:t xml:space="preserve"> </w:t>
      </w:r>
      <m:oMath>
        <m:sSub>
          <m:e>
            <m:r>
              <m:t>β</m:t>
            </m:r>
          </m:e>
          <m:sub>
            <m:r>
              <m:t>1</m:t>
            </m:r>
          </m:sub>
        </m:sSub>
      </m:oMath>
      <w:r>
        <w:t xml:space="preserve">(FSTS) &gt; 0,</w:t>
      </w:r>
      <w:r>
        <w:t xml:space="preserve"> </w:t>
      </w:r>
      <m:oMath>
        <m:sSub>
          <m:e>
            <m:r>
              <m:t>β</m:t>
            </m:r>
          </m:e>
          <m:sub>
            <m:r>
              <m:t>2</m:t>
            </m:r>
          </m:sub>
        </m:sSub>
      </m:oMath>
      <w:r>
        <w:t xml:space="preserve">(</w:t>
      </w:r>
      <m:oMath>
        <m:sSup>
          <m:e>
            <m:r>
              <m:rPr>
                <m:nor/>
                <m:sty m:val="p"/>
              </m:rPr>
              <m:t>FSTS</m:t>
            </m:r>
          </m:e>
          <m:sup>
            <m:r>
              <m:t>2</m:t>
            </m:r>
          </m:sup>
        </m:sSup>
      </m:oMath>
      <w:r>
        <w:t xml:space="preserve">) &lt; 0,</w:t>
      </w:r>
      <w:r>
        <w:t xml:space="preserve"> </w:t>
      </w:r>
      <m:oMath>
        <m:sSub>
          <m:e>
            <m:r>
              <m:t>β</m:t>
            </m:r>
          </m:e>
          <m:sub>
            <m:r>
              <m:t>3</m:t>
            </m:r>
          </m:sub>
        </m:sSub>
      </m:oMath>
      <w:r>
        <w:t xml:space="preserve">(</w:t>
      </w:r>
      <m:oMath>
        <m:sSup>
          <m:e>
            <m:r>
              <m:rPr>
                <m:nor/>
                <m:sty m:val="p"/>
              </m:rPr>
              <m:t>FSTS</m:t>
            </m:r>
          </m:e>
          <m:sup>
            <m:r>
              <m:t>3</m:t>
            </m:r>
          </m:sup>
        </m:sSup>
      </m:oMath>
      <w:r>
        <w:t xml:space="preserve">)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 là hàm lợi ích và C(, ) là hàm chi phí. Sự khác biệt giữa các dạng hàm nằm ở hình dạng của B(, ) và C(, )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quy mô lớn trải dài giai đoạn 1980-2024 hội tụ về một kết luận chung, hiệu ứng I-P dương nhưng nhỏ và dị biệt cao, song mỗi tổng quan đều để lại đúng những khoảng trống mà chuyên đề này nhắm tới.</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bối cảnh thể chế quốc gia xuất xứ điều tiết đáng kể mối quan hệ I-P, củng cố cơ sở cho H5 (điều tiết theo chế độ thể chế ICRV), trong nghiên cứu này được vận hành hóa như sự thay đổi</w:t>
      </w:r>
      <w:r>
        <w:t xml:space="preserve"> </w:t>
      </w:r>
      <w:r>
        <w:rPr>
          <w:iCs/>
          <w:i/>
        </w:rPr>
        <w:t xml:space="preserve">độ cong (concavity)</w:t>
      </w:r>
      <w:r>
        <w:t xml:space="preserve"> </w:t>
      </w:r>
      <w:r>
        <w:t xml:space="preserve">của đường cong theo chất lượng thể chế, chứ không phải sự dịch chuyển đơn điệu của điểm uốn.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Partial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Partial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w:t>
            </w:r>
            <w:r>
              <w:t xml:space="preserve">$15%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 JFAR)</w:t>
            </w:r>
          </w:p>
        </w:tc>
        <w:tc>
          <w:tcPr/>
          <w:p>
            <w:pPr>
              <w:pStyle w:val="Compact"/>
              <w:jc w:val="left"/>
            </w:pPr>
            <w:r>
              <w:t xml:space="preserve">Có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Kiểm soát (H4: kiểm soát quản trị nội sinh)</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 đến VI)</w:t>
            </w:r>
          </w:p>
        </w:tc>
        <w:tc>
          <w:tcPr/>
          <w:p>
            <w:pPr>
              <w:pStyle w:val="Compact"/>
              <w:jc w:val="left"/>
            </w:pPr>
            <w:r>
              <w:rPr>
                <w:bCs/>
                <w:b/>
              </w:rPr>
              <w:t xml:space="preserve">Có (Nhóm VI FIP)</w:t>
            </w:r>
          </w:p>
        </w:tc>
      </w:tr>
    </w:tbl>
    <w:p>
      <w:pPr>
        <w:pStyle w:val="BodyText"/>
      </w:pPr>
      <w:r>
        <w:rPr>
          <w:iCs/>
          <w:i/>
        </w:rPr>
        <w:t xml:space="preserve">Ghi chú: Có = kiểm định chính thức hoặc đóng góp lý thuyết rõ ràng; Partial = đề cập nhưng không phải trọng tâm; Không = không bao gồm; - = không áp dụng. FIP = Forced Internationalization Penalty. TCI và DAI được phân tách theo tiêu chí CDCM; nghiên cứu SMEs Trung Quốc của Đỗ &amp; Phan (2026, JFAR) không kiểm định CDCM (pre-framework) nhưng cung cấp bằng chứng phi tuyến cubic tiền thân.</w:t>
      </w:r>
    </w:p>
    <w:bookmarkEnd w:id="35"/>
    <w:bookmarkStart w:id="36" w:name="X87876e758b6f1bc3610c3cd7a165503b53f90f4"/>
    <w:p>
      <w:pPr>
        <w:pStyle w:val="Heading5"/>
      </w:pPr>
      <w:r>
        <w:t xml:space="preserve">Bằng chứng châu Á từ ba phân tích quốc gia đồng hành</w:t>
      </w:r>
    </w:p>
    <w:p>
      <w:pPr>
        <w:pStyle w:val="FirstParagraph"/>
      </w:pPr>
      <w:r>
        <w:t xml:space="preserve">Phân tích Việt Nam của luận án: trên 2.958 doanh nghiệp WBES ba sóng (2009, 2015, 2023), kết quả xác nhận chữ U ngược trong cả ba sóng với kiểm định Lind-Mehlum p &lt; 0,001 (tổng hợp). Điểm uốn: 46,2% (2009), 39,3% (2015), 41,6% (2023), 39,7% (tổng hợp). Phân tích này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của phân tích Việt Nam: phân tích Việt Nam của luận án sử dụng chuỗi M0-M8 riêng, trong đó M8 là mô hình đầy đủ: lnLP_it = α +</w:t>
      </w:r>
      <w:r>
        <w:rPr>
          <w:iCs/>
          <w:i/>
        </w:rPr>
        <w:t xml:space="preserve"> </w:t>
      </w:r>
      <m:oMath>
        <m:sSub>
          <m:e>
            <m:r>
              <m:t>β</m:t>
            </m:r>
          </m:e>
          <m:sub>
            <m:r>
              <m:t>1</m:t>
            </m:r>
          </m:sub>
        </m:sSub>
      </m:oMath>
      <w:r>
        <w:rPr>
          <w:iCs/>
          <w:i/>
        </w:rPr>
        <w:t xml:space="preserve"> </w:t>
      </w:r>
      <w:r>
        <w:rPr>
          <w:iCs/>
          <w:i/>
        </w:rPr>
        <w:t xml:space="preserve">FSTS_c +</w:t>
      </w:r>
      <w:r>
        <w:rPr>
          <w:iCs/>
          <w:i/>
        </w:rPr>
        <w:t xml:space="preserve"> </w:t>
      </w:r>
      <m:oMath>
        <m:sSub>
          <m:e>
            <m:r>
              <m:t>β</m:t>
            </m:r>
          </m:e>
          <m:sub>
            <m:r>
              <m:t>2</m:t>
            </m:r>
          </m:sub>
        </m:sSub>
      </m:oMath>
      <w:r>
        <w:rPr>
          <w:iCs/>
          <w:i/>
        </w:rPr>
        <w:t xml:space="preserve"> </w:t>
      </w:r>
      <m:oMath>
        <m:sSubSup>
          <m:e>
            <m:r>
              <m:rPr>
                <m:nor/>
                <m:sty m:val="p"/>
              </m:rPr>
              <m:t>FSTS</m:t>
            </m:r>
          </m:e>
          <m:sub>
            <m:r>
              <m:t>c</m:t>
            </m:r>
          </m:sub>
          <m:sup>
            <m:r>
              <m:t>2</m:t>
            </m:r>
          </m:sup>
        </m:sSubSup>
      </m:oMath>
      <w:r>
        <w:rPr>
          <w:iCs/>
          <w:i/>
        </w:rPr>
        <w:t xml:space="preserve"> </w:t>
      </w:r>
      <w:r>
        <w:rPr>
          <w:iCs/>
          <w:i/>
        </w:rPr>
        <w:t xml:space="preserve">+</w:t>
      </w:r>
      <w:r>
        <w:rPr>
          <w:iCs/>
          <w:i/>
        </w:rPr>
        <w:t xml:space="preserve"> </w:t>
      </w:r>
      <m:oMath>
        <m:sSub>
          <m:e>
            <m:r>
              <m:t>β</m:t>
            </m:r>
          </m:e>
          <m:sub>
            <m:r>
              <m:t>3</m:t>
            </m:r>
          </m:sub>
        </m:sSub>
      </m:oMath>
      <w:r>
        <w:rPr>
          <w:iCs/>
          <w:i/>
        </w:rPr>
        <w:t xml:space="preserve"> </w:t>
      </w:r>
      <w:r>
        <w:rPr>
          <w:iCs/>
          <w:i/>
        </w:rPr>
        <w:t xml:space="preserve">TCI_z +</w:t>
      </w:r>
      <w:r>
        <w:rPr>
          <w:iCs/>
          <w:i/>
        </w:rPr>
        <w:t xml:space="preserve"> </w:t>
      </w:r>
      <m:oMath>
        <m:sSub>
          <m:e>
            <m:r>
              <m:t>β</m:t>
            </m:r>
          </m:e>
          <m:sub>
            <m:r>
              <m:t>4</m:t>
            </m:r>
          </m:sub>
        </m:sSub>
      </m:oMath>
      <w:r>
        <w:rPr>
          <w:iCs/>
          <w:i/>
        </w:rPr>
        <w:t xml:space="preserve"> </w:t>
      </w:r>
      <w:r>
        <w:rPr>
          <w:iCs/>
          <w:i/>
        </w:rPr>
        <w:t xml:space="preserve">DAI_z +</w:t>
      </w:r>
      <w:r>
        <w:rPr>
          <w:iCs/>
          <w:i/>
        </w:rPr>
        <w:t xml:space="preserve"> </w:t>
      </w:r>
      <m:oMath>
        <m:sSub>
          <m:e>
            <m:r>
              <m:t>β</m:t>
            </m:r>
          </m:e>
          <m:sub>
            <m:r>
              <m:t>5</m:t>
            </m:r>
          </m:sub>
        </m:sSub>
      </m:oMath>
      <w:r>
        <w:rPr>
          <w:iCs/>
          <w:i/>
        </w:rPr>
        <w:t xml:space="preserve">(FSTS_c × DAI_z) +</w:t>
      </w:r>
      <w:r>
        <w:rPr>
          <w:iCs/>
          <w:i/>
        </w:rPr>
        <w:t xml:space="preserve"> </w:t>
      </w:r>
      <m:oMath>
        <m:sSub>
          <m:e>
            <m:r>
              <m:t>β</m:t>
            </m:r>
          </m:e>
          <m:sub>
            <m:r>
              <m:t>6</m:t>
            </m:r>
          </m:sub>
        </m:sSub>
      </m:oMath>
      <w:r>
        <w:rPr>
          <w:iCs/>
          <w:i/>
        </w:rPr>
        <w:t xml:space="preserve">(</w:t>
      </w:r>
      <m:oMath>
        <m:sSubSup>
          <m:e>
            <m:r>
              <m:rPr>
                <m:nor/>
                <m:sty m:val="p"/>
              </m:rPr>
              <m:t>FSTS</m:t>
            </m:r>
          </m:e>
          <m:sub>
            <m:r>
              <m:t>c</m:t>
            </m:r>
          </m:sub>
          <m:sup>
            <m:r>
              <m:t>2</m:t>
            </m:r>
          </m:sup>
        </m:sSubSup>
      </m:oMath>
      <w:r>
        <w:rPr>
          <w:iCs/>
          <w:i/>
        </w:rPr>
        <w:t xml:space="preserve"> </w:t>
      </w:r>
      <w:r>
        <w:rPr>
          <w:iCs/>
          <w:i/>
        </w:rPr>
        <w:t xml:space="preserve">× DAI_z) + γ, X + δ_s + [λ_t] + ε_it. Đặc tả đầy đủ M0-M8 và bảng định nghĩa biến của phân tích Việt Nam được trình bày trong luận án (Mục 4.5.1). Chuỗi M0-M7 trong Chuyên đề 2 là các mô hình cấp độ pool 47 quốc gia, khác với đặc tả cấp độ quốc gia của phân tích Việt Nam.</w:t>
      </w:r>
    </w:p>
    <w:p>
      <w:pPr>
        <w:pStyle w:val="BodyText"/>
      </w:pPr>
      <w:r>
        <w:t xml:space="preserve">Phân tích Singapore của luận án: trên 623 doanh nghiệp WBES 2023, trong nền kinh tế số bão hòa, đường cong I-P chủ yếu dương, điểm uốn hàm ý ở FSTS khoảng 82% (vùng thưa dữ liệu; kiểm định Lind-Mehlum p = 0,303). DAI×</w:t>
      </w:r>
      <m:oMath>
        <m:sSup>
          <m:e>
            <m:r>
              <m:rPr>
                <m:nor/>
                <m:sty m:val="p"/>
              </m:rPr>
              <m:t>FSTS</m:t>
            </m:r>
          </m:e>
          <m:sup>
            <m:r>
              <m:t>2</m:t>
            </m:r>
          </m:sup>
        </m:sSup>
      </m:oMath>
      <w:r>
        <w:t xml:space="preserve"> </w:t>
      </w:r>
      <w:r>
        <w:t xml:space="preserve">= +3,119 (p = 0,005), DAI là năng lực phụ thuộc bối cảnh, chỉ phát huy ở FSTS cao nơi nhu cầu điều phối xuyên biên giới dày đặc. TCI dương trực tiếp (β = 0,153).</w:t>
      </w:r>
    </w:p>
    <w:p>
      <w:pPr>
        <w:pStyle w:val="BodyText"/>
      </w:pPr>
      <w:r>
        <w:t xml:space="preserve">Phân tích Trung Quốc của luận án: trên 4.559 doanh nghiệp WBES hai sóng (2012, 2024), kết quả cho thấy chữ U ngược bền vững cấu trúc, điểm uốn 49,4% (2012), 47,2% (2024), kiểm định Paternoster cho hệ số</w:t>
      </w:r>
      <w:r>
        <w:t xml:space="preserve"> </w:t>
      </w:r>
      <m:oMath>
        <m:sSup>
          <m:e>
            <m:r>
              <m:rPr>
                <m:nor/>
                <m:sty m:val="p"/>
              </m:rPr>
              <m:t>FSTS</m:t>
            </m:r>
          </m:e>
          <m:sup>
            <m:r>
              <m:t>2</m:t>
            </m:r>
          </m:sup>
        </m:sSup>
      </m:oMath>
      <w:r>
        <w:t xml:space="preserve"> </w:t>
      </w:r>
      <w:r>
        <w:t xml:space="preserve">không có sự khác biệt đáng kể (p = 0,545). TCI tăng cường theo thời gian (+0,260 lên +0,426, Paternoster p = 0,011).</w:t>
      </w:r>
    </w:p>
    <w:p>
      <w:pPr>
        <w:pStyle w:val="BodyText"/>
      </w:pPr>
      <w:r>
        <w:t xml:space="preserve">Bảng 2.3. So sánh bằng chứng bốn phân tích quốc gia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SMEs Trung Quốc (Nhóm III)</w:t>
            </w:r>
          </w:p>
        </w:tc>
        <w:tc>
          <w:tcPr/>
          <w:p>
            <w:pPr>
              <w:pStyle w:val="Compact"/>
              <w:jc w:val="left"/>
            </w:pPr>
            <w:r>
              <w:t xml:space="preserve">Việt Nam (Nhóm IV)</w:t>
            </w:r>
          </w:p>
        </w:tc>
        <w:tc>
          <w:tcPr/>
          <w:p>
            <w:pPr>
              <w:pStyle w:val="Compact"/>
              <w:jc w:val="left"/>
            </w:pPr>
            <w:r>
              <w:t xml:space="preserve">Singapore (Nhóm I)</w:t>
            </w:r>
          </w:p>
        </w:tc>
        <w:tc>
          <w:tcPr/>
          <w:p>
            <w:pPr>
              <w:pStyle w:val="Compact"/>
              <w:jc w:val="left"/>
            </w:pPr>
            <w:r>
              <w:t xml:space="preserve">Trung Quốc (Nhóm III)</w:t>
            </w:r>
          </w:p>
        </w:tc>
      </w:tr>
      <w:tr>
        <w:tc>
          <w:tcPr/>
          <w:p>
            <w:pPr>
              <w:pStyle w:val="Compact"/>
              <w:jc w:val="left"/>
            </w:pPr>
            <w:r>
              <w:t xml:space="preserve">Nguồn</w:t>
            </w:r>
          </w:p>
        </w:tc>
        <w:tc>
          <w:tcPr/>
          <w:p>
            <w:pPr>
              <w:pStyle w:val="Compact"/>
              <w:jc w:val="left"/>
            </w:pPr>
            <w:r>
              <w:t xml:space="preserve">Đỗ &amp; Phan (JFAR, đã công bố 2026)</w:t>
            </w:r>
          </w:p>
        </w:tc>
        <w:tc>
          <w:tcPr/>
          <w:p>
            <w:pPr>
              <w:pStyle w:val="Compact"/>
              <w:jc w:val="left"/>
            </w:pPr>
            <w:r>
              <w:t xml:space="preserve">Phân tích Việt Nam của luận án</w:t>
            </w:r>
          </w:p>
        </w:tc>
        <w:tc>
          <w:tcPr/>
          <w:p>
            <w:pPr>
              <w:pStyle w:val="Compact"/>
              <w:jc w:val="left"/>
            </w:pPr>
            <w:r>
              <w:t xml:space="preserve">Phân tích Singapore của luận án</w:t>
            </w:r>
          </w:p>
        </w:tc>
        <w:tc>
          <w:tcPr/>
          <w:p>
            <w:pPr>
              <w:pStyle w:val="Compact"/>
              <w:jc w:val="left"/>
            </w:pPr>
            <w:r>
              <w:t xml:space="preserve">Phân tích Trung Quốc của luận án</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~82%</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~82%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nghiên cứu SMEs Trung Quốc của Đỗ &amp; Phan (2026, JFAR) là công trình tiền thân đã công bố, tìm thấy bậc ba (cubic nonlinearity) trong mẫu SMEs Trung Quốc, bằng chứng quan trọng cho dạng S-curve trong H1. Nghiên cứu này không kiểm định CDCM, được đưa vào đây để làm rõ sự tiến hóa phương pháp từ mẫu SMEs Trung Quốc sang phân tích Trung Quốc hai sóng của luận án.</w:t>
      </w:r>
    </w:p>
    <w:p>
      <w:pPr>
        <w:pStyle w:val="BodyText"/>
      </w:pPr>
      <w:r>
        <w:t xml:space="preserve">Bốn phân tích cùng xác nhận ba dự đoán cốt lõi của CDCM: TCI là nhân quả và bền vững qua ba nền kinh tế khác nhau; DAI là phụ thuộc ngữ cảnh, không đồng nhất; chữ U ngược (hoặc S-curve cubic trong nghiên cứu SMEs Trung Quốc đã công bố)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từ phân tích Việt Nam của luận án (điểm uốn 39-46%) và phân tích Trung Quốc của luận án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từ phân tích Việt Nam của luận án (TCI trực tiếp β = 0,179, nhân quả từ IV) và phân tích Trung Quốc của luận án (TCI tăng cường +0,260 lên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cơ sở lý thuyết cho khối kiểm soát quản trị nội sinh H4 (kinh nghiệm, học vấn, giới tính nhà quản trị). Để bảo vệ tính nhân quả thuần khiết của tương tác Thể chế × Công nghệ vốn là thông điệp vĩ mô của khung, nghiên cứu khóa chặt các thiên lệch nội sinh phát sinh từ năng lực và sự đa dạng giới của nhà quản trị: kinh nghiệm, học vấn và giới tính nhà quản trị được đưa vào như biến kiểm soát quản trị nội sinh, không phải nhân tố điều tiết trọng tâm. Các đặc điểm này tác động qua hai kênh, chất lượng quyết định (tránh quốc tế hóa sớm) và năng lực điều phối (quản lý phức tạp đa thị trường); việc kiểm soát chúng, thay vì đặt chúng làm trục điều tiết, tránh thiên lệch biến bị bỏ sót (omitted-variable bias) và ngăn hiện tượng</w:t>
      </w:r>
      <w:r>
        <w:t xml:space="preserve"> </w:t>
      </w:r>
      <w:r>
        <w:t xml:space="preserve">“</w:t>
      </w:r>
      <w:r>
        <w:t xml:space="preserve">Kitchen Sink Modeling</w:t>
      </w:r>
      <w:r>
        <w:t xml:space="preserve">”</w:t>
      </w:r>
      <w:r>
        <w:t xml:space="preserve"> </w:t>
      </w:r>
      <w:r>
        <w:t xml:space="preserve">làm loãng thông điệp vĩ mô Institution × Technology. Đặc điểm nhà quản trị vẫn được ước lượng trong các mô hình thực nghiệm, song với tư cách biến kiểm soát. Lý do giữ Upper Echelons như một trụ lý thuyết, thay vì loại bỏ hoàn toàn, là kép: (i) nó cung cấp nền tảng lý thuyết biện minh cho việc đưa khối biến kiểm soát quản trị vào mô hình, bởi nếu thiếu thì việc kiểm soát kinh nghiệm, học vấn và giới tính nhà quản trị sẽ không có cơ sở lý thuyết rõ ràng; (ii) các dự đoán cấp doanh nghiệp của nó vẫn được kiểm định và cho một phát hiện thứ cấp có giá trị xã hội, là phần bù năng suất của nhà quản trị nữ (khoảng 20%, β = +0,185, p &lt; 0,001 ở phân tích đa quốc gia). Như vậy, Upper Echelons không phải là</w:t>
      </w:r>
      <w:r>
        <w:t xml:space="preserve"> </w:t>
      </w:r>
      <w:r>
        <w:t xml:space="preserve">“</w:t>
      </w:r>
      <w:r>
        <w:t xml:space="preserve">trang trí lý thuyết</w:t>
      </w:r>
      <w:r>
        <w:t xml:space="preserve">”</w:t>
      </w:r>
      <w:r>
        <w:t xml:space="preserve"> </w:t>
      </w:r>
      <w:r>
        <w:t xml:space="preserve">mà là một trụ được kiểm định, với hiệu ứng cấp độ (level effect) được xác nhận và vai trò điều tiết hình dạng đường cong bị bác bỏ.</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phân tích Singapore của luận án). Ở Nhóm IV, DAI dương nhưng phụ thuộc giai đoạn và chịu thiên lệch chọn lựa (phân tích Việt Nam của luận án).</w:t>
      </w:r>
    </w:p>
    <w:p>
      <w:pPr>
        <w:pStyle w:val="BodyText"/>
      </w:pPr>
      <w:r>
        <w:t xml:space="preserve">Chiều thứ hai là mức độ quốc tế hóa (FSTS): DAI là năng lực phụ thuộc bối cảnh, hiệu quả hơn ở FSTS cao nơi nhu cầu điều phối xuyên biên giới dày đặc (phân tích Singapore của luận án: DAI×</w:t>
      </w:r>
      <m:oMath>
        <m:sSup>
          <m:e>
            <m:r>
              <m:rPr>
                <m:nor/>
                <m:sty m:val="p"/>
              </m:rPr>
              <m:t>FSTS</m:t>
            </m:r>
          </m:e>
          <m:sup>
            <m:r>
              <m:t>2</m:t>
            </m:r>
          </m:sup>
        </m:sSup>
      </m:oMath>
      <w:r>
        <w:t xml:space="preserve"> </w:t>
      </w:r>
      <w:r>
        <w:t xml:space="preserve">=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từ các phân tích quốc gia của luận án</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Việt Nam: TP 39-46%; Trung Quốc: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Việt Nam: β = 0,179 nhân quả (IV); Trung Quốc: +0,260 lên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Singapore: DAI×</w:t>
            </w:r>
            <m:oMath>
              <m:sSup>
                <m:e>
                  <m:r>
                    <m:rPr>
                      <m:nor/>
                      <m:sty m:val="p"/>
                    </m:rPr>
                    <m:t>FSTS</m:t>
                  </m:r>
                </m:e>
                <m:sup>
                  <m:r>
                    <m:t>2</m:t>
                  </m:r>
                </m:sup>
              </m:sSup>
            </m:oMath>
            <w:r>
              <w:t xml:space="preserve"> </w:t>
            </w:r>
            <w:r>
              <w:t xml:space="preserve">= +3,119 (Nhóm I); Việt Nam: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 (kiểm soát quản trị nội sinh, không phải điều tiết trọng tâm)</w:t>
            </w:r>
          </w:p>
        </w:tc>
        <w:tc>
          <w:tcPr/>
          <w:p>
            <w:pPr>
              <w:pStyle w:val="Compact"/>
              <w:jc w:val="left"/>
            </w:pPr>
            <w:r>
              <w:t xml:space="preserve">(đưa vào như kiểm soát nội sinh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Việt Nam: Paternoster p &lt; 0,001; Trung Quốc: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năng lực phụ thuộc bối cảnh theo CDCM; phản ánh đặc điểm nhà quản trị (Upper Echelons/Hambrick &amp; Mason, 1984);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w:t>
      </w:r>
      <w:r>
        <w:t xml:space="preserve"> </w:t>
      </w:r>
      <m:oMath>
        <m:sSup>
          <m:e>
            <m:r>
              <m:rPr>
                <m:nor/>
                <m:sty m:val="p"/>
              </m:rPr>
              <m:t>FSTS</m:t>
            </m:r>
          </m:e>
          <m:sup>
            <m:r>
              <m:t>2</m:t>
            </m:r>
          </m:sup>
        </m:sSup>
      </m:oMath>
      <w:r>
        <w:t xml:space="preserve">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 trọng tâm</w:t>
      </w:r>
      <w:r>
        <w:t xml:space="preserve"> </w:t>
      </w:r>
      <w:r>
        <w:t xml:space="preserve">cấp doanh nghiệp (TCI, DAI) và cấp quốc gia (ICRV regime, thời gian), và</w:t>
      </w:r>
      <w:r>
        <w:t xml:space="preserve"> </w:t>
      </w:r>
      <w:r>
        <w:rPr>
          <w:bCs/>
          <w:b/>
        </w:rPr>
        <w:t xml:space="preserve">biến kiểm soát</w:t>
      </w:r>
      <w:r>
        <w:t xml:space="preserve"> </w:t>
      </w:r>
      <w:r>
        <w:t xml:space="preserve">gồm khối kiểm soát quản trị nội sinh (kinh nghiệm, học vấn, giới tính nhà quản trị, H4) cùng các kiểm soát chuẩn (quy mô, tuổi, sở hữu nước ngoài, sector FE, country FE, year FE). Đặc điểm nhà quản trị được đưa vào như biến kiểm soát quản trị nội sinh chứ không phải nhân tố điều tiết trọng tâm; lựa chọn này nhằm khóa chặt thiên lệch nội sinh phát sinh từ năng lực và sự đa dạng giới của nhà quản trị, bảo vệ tính nhân quả thuần khiết của tương tác Thể chế × Công nghệ vốn là thông điệp vĩ mô của khung.</w:t>
      </w:r>
    </w:p>
    <w:bookmarkStart w:id="48" w:name="X554d9a38aa5071c54dd41cf832555f814bf88a4"/>
    <w:p>
      <w:pPr>
        <w:pStyle w:val="Heading5"/>
      </w:pPr>
      <w:r>
        <w:t xml:space="preserve">Hình 2.1,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w:t>
      </w:r>
      <w:r>
        <w:t xml:space="preserve"> </w:t>
      </w:r>
      <m:oMath>
        <m:sSup>
          <m:e>
            <m:r>
              <m:rPr>
                <m:nor/>
                <m:sty m:val="p"/>
              </m:rPr>
              <m:t>FSTS</m:t>
            </m:r>
          </m:e>
          <m:sup>
            <m:r>
              <m:t>2</m:t>
            </m:r>
          </m:sup>
        </m:sSup>
      </m:oMath>
      <w:r>
        <w:t xml:space="preserve">_c,</w:t>
      </w:r>
      <w:r>
        <w:t xml:space="preserve"> </w:t>
      </w:r>
      <m:oMath>
        <m:sSup>
          <m:e>
            <m:r>
              <m:rPr>
                <m:nor/>
                <m:sty m:val="p"/>
              </m:rPr>
              <m:t>FSTS</m:t>
            </m:r>
          </m:e>
          <m:sup>
            <m:r>
              <m:t>3</m:t>
            </m:r>
          </m:sup>
        </m:sSup>
      </m:oMath>
      <w:r>
        <w:t xml:space="preserve">_c) ở cực trái. Sơ đồ phân biệt rõ hai loại nhân tố. Bốn nhân tố điều tiết trọng tâm (focal moderators) nằm trong tầng điều tiết được giả thuyết hóa, phân theo hai cấp: cấp doanh nghiệp (TCI, H2, và DAI, H3) và cấp quốc gia (ICRV regime, H5, và giai đoạn thời gian, H6). Đặc điểm nhà quản trị (kinh nghiệm, học vấn, giới tính, H4) KHÔNG nằm trong tầng điều tiết trọng tâm mà được trình bày cùng nhóm biến kiểm soát quản trị nội sinh, nhằm khóa chặt thiên lệch nội sinh từ năng lực và sự đa dạng giới của nhà quản trị và bảo vệ tính nhân quả thuần khiết của tương tác Thể chế × Công nghệ. Các biến kiểm soát khác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(TCI điều tiết trọng tâm); Foundational Digital Adoption Framework (CDCM) biện minh cho H3 (DAI điều tiết trọng tâm); Institutional Theory biện minh cho H5 (điều tiết trọng tâm); Upper Echelons cung cấp cơ sở cho khối kiểm soát quản trị nội sinh H4. Bằng chứng neo đậu từ phân tích Việt Nam và Singapore và phân tích Trung Quốc của luận án xác nhận tính khả nghiệm trước khi áp dụng cho toàn pool 101.185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w:t>
      </w:r>
      <m:oMath>
        <m:sSup>
          <m:e>
            <m:r>
              <m:rPr>
                <m:nor/>
                <m:sty m:val="p"/>
              </m:rPr>
              <m:t>FSTS</m:t>
            </m:r>
          </m:e>
          <m:sup>
            <m:r>
              <m:t>2</m:t>
            </m:r>
          </m:sup>
        </m:sSup>
      </m:oMath>
      <w:r>
        <w:t xml:space="preserve">×DAI = +3,119; phân tích Singapore của luận án). Nhóm IV (Việt Nam, Lower_mid_transition, bão hòa số thấp; Nhóm IV trong cả hệ phân loại 5 nhóm của phân tích tổng hợp lẫn hệ 6 nhóm của CĐ2): DAI Tier-1 là ràng buộc đo lường; tác động dương theo OLS nhưng biến mất sau hiệu chỉnh nội sinh biến công cụ (β = 0,018, p = 0,942; phân tích Việt Nam của luận án). Nhóm III (Trung Quốc, Upper-Middle/Emerging transition, bão hòa số trung bình): DAI Tier-1 phổ biến &gt;60%, mất khả năng phân biệt, giữ như biến kiểm soát không phải biến điều tiết (phân tích Trung Quốc của luận án).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oMath>
            <w:r>
              <w:t xml:space="preserve"> </w:t>
            </w:r>
            <w:r>
              <w:t xml:space="preserve">&gt; 0</w:t>
            </w:r>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m:oMath>
              <m:sSub>
                <m:e>
                  <m:r>
                    <m:t>β</m:t>
                  </m:r>
                </m:e>
                <m:sub>
                  <m:r>
                    <m:t>2</m:t>
                  </m:r>
                </m:sub>
              </m:sSub>
            </m:oMath>
            <w:r>
              <w:t xml:space="preserve"> </w:t>
            </w:r>
            <w:r>
              <w:t xml:space="preserve">&lt; 0</w:t>
            </w:r>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m:oMath>
              <m:sSub>
                <m:e>
                  <m:r>
                    <m:t>β</m:t>
                  </m:r>
                </m:e>
                <m:sub>
                  <m:r>
                    <m:t>3</m:t>
                  </m:r>
                </m:sub>
              </m:sSub>
            </m:oMath>
            <w:r>
              <w:t xml:space="preserve"> </w:t>
            </w:r>
            <w:r>
              <w:t xml:space="preserve">&gt;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w:t>
            </w:r>
            <w:r>
              <w:t xml:space="preserve">$3/4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oMath>
            <w:r>
              <w:t xml:space="preserve">×DAI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δ_exp &gt; 0</w:t>
            </w:r>
          </w:p>
        </w:tc>
        <w:tc>
          <w:tcPr/>
          <w:p>
            <w:pPr>
              <w:pStyle w:val="Compact"/>
              <w:jc w:val="left"/>
            </w:pPr>
            <w:r>
              <w:t xml:space="preserve">H4a (kiểm soát quản trị nội sinh)</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δ_educ &gt; 0</w:t>
            </w:r>
          </w:p>
        </w:tc>
        <w:tc>
          <w:tcPr/>
          <w:p>
            <w:pPr>
              <w:pStyle w:val="Compact"/>
              <w:jc w:val="left"/>
            </w:pPr>
            <w:r>
              <w:t xml:space="preserve">H4b (kiểm soát quản trị nội sinh)</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two-sided</w:t>
            </w:r>
          </w:p>
        </w:tc>
        <w:tc>
          <w:tcPr/>
          <w:p>
            <w:pPr>
              <w:pStyle w:val="Compact"/>
              <w:jc w:val="left"/>
            </w:pPr>
            <w:r>
              <w:t xml:space="preserve">H4c (kiểm soát đa dạng giới)</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đến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w:t>
      </w:r>
      <w:r>
        <w:t xml:space="preserve">$3/4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w:t>
      </w:r>
      <w:r>
        <w:t xml:space="preserve"> </w:t>
      </w:r>
      <m:oMath>
        <m:sSup>
          <m:e>
            <m:r>
              <m:rPr>
                <m:nor/>
                <m:sty m:val="p"/>
              </m:rPr>
              <m:t>FSTS</m:t>
            </m:r>
          </m:e>
          <m:sup>
            <m:r>
              <m:t>2</m:t>
            </m:r>
          </m:sup>
        </m:sSup>
      </m:oMath>
      <w:r>
        <w:t xml:space="preserve"> </w:t>
      </w:r>
      <w:r>
        <w:t xml:space="preserve">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các nghiên cứu, với neo đậu trong ba phân tích quốc gia đồng hành (Việt Nam, Singapore, Trung Quốc) của luận án. Bốn nguyên tắc phát triển giả thuyết: cụ thể hóa dự đoán dấu; neo đậu thực nghiệm từ ít nhất một bằng chứng từ các phân tích quốc gia của luận án hoặc tổng quan định lượng; phân biệt giả thuyết xác nhận và khám phá; liên kết với CDCM.</w:t>
      </w:r>
    </w:p>
    <w:p>
      <w:pPr>
        <w:pStyle w:val="BodyText"/>
      </w:pPr>
      <w:r>
        <w:t xml:space="preserve">H1-H3 và H5 là các giả thuyết điều tiết trọng tâm có tính xác nhận (dấu rõ, $</w:t>
      </w:r>
      <w:r>
        <w:t xml:space="preserve">$2 bằng chứng neo đậu từ phân tích Việt Nam, Singapore và Trung Quốc); H6 là hỗn hợp xác nhận/khám phá (hướng rõ nhưng magnitude khám phá). Bốn nhân tố điều tiết trọng tâm của khung là TCI (H2), DAI (H3), chế độ thể chế ICRV (H5), và thời gian (H6). Khác với chúng, H4 (kiểm soát quản trị nội sinh) không còn là giả thuyết điều tiết trọng tâm: đặc điểm nhà quản trị (kinh nghiệm b5, học vấn b7a, giới tính b7) được đưa vào như nhóm biến kiểm soát quản trị nội sinh nhằm khóa chặt thiên lệch nội sinh phát sinh từ năng lực và sự đa dạng giới của nhà quản trị, qua đó bảo vệ tính nhân quả thuần khiết của tương tác Thể chế × Công nghệ. H4 vẫn giữ ký hiệu H4a-H4c để tương thích với các bản thảo đồng hành (phân tích Việt Nam, Singapore và Trung Quốc), song được diễn giải như tập kiểm soát chứ không phải trục điều tiết.</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Điều mà chế độ thể chế chi phối một cách có hệ thống là</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và phẳng dần về gần tuyến tính ở chế độ tiên tiến (Nhóm I). Điểm uốn theo nhóm là không đồng nhất (khoảng 16–50% FSTS, cụm quanh ~40%) và không dịch chuyển đơn điệu; ở cấp đơn quốc gia, các neo đậu quan sát được gồm Nhóm III (47-49%) và Nhóm IV (39-46%), còn Nhóm VI có pattern gánh nặng bắt buộc, không có chữ U ngược điển hình. Lưu ý: phân tích Singapore (TP ~82%) là ngoại lệ đơn quốc gia với LM p = 0,303 (không có ý nghĩa), không đại diện cho mẫu Nhóm I trong phân tích đa quốc gia.</w:t>
      </w:r>
    </w:p>
    <w:p>
      <w:pPr>
        <w:pStyle w:val="BodyText"/>
      </w:pPr>
      <w:r>
        <w:t xml:space="preserve">Bằng chứng neo đậu: phân tích Việt Nam (Nhóm IV): Lind-Mehlum p &lt; 0,001 (tổng hợp), điểm uốn 39-46%. phân tích Trung Quốc (Nhóm III): Lind-Mehlum xác nhận hai sóng, điểm uốn 47-49%. phân tích Singapore (Nhóm I): Lind-Mehlum p = 0,303, chủ yếu dương, điểm uốn ~82% (gần trần).</w:t>
      </w:r>
    </w:p>
    <w:p>
      <w:pPr>
        <w:pStyle w:val="BodyText"/>
      </w:pPr>
      <w:r>
        <w:t xml:space="preserve">H1: Quan hệ giữa cường độ quốc tế hóa (FSTS) và hiệu quả doanh nghiệp (ln LP) có dạng phi tuyến, với</w:t>
      </w:r>
      <w:r>
        <w:t xml:space="preserve"> </w:t>
      </w:r>
      <m:oMath>
        <m:sSub>
          <m:e>
            <m:r>
              <m:t>β</m:t>
            </m:r>
          </m:e>
          <m:sub>
            <m:r>
              <m:t>1</m:t>
            </m:r>
          </m:sub>
        </m:sSub>
      </m:oMath>
      <w:r>
        <w:t xml:space="preserve">(FSTS) &gt; 0 và</w:t>
      </w:r>
      <w:r>
        <w:t xml:space="preserve"> </w:t>
      </w:r>
      <m:oMath>
        <m:sSub>
          <m:e>
            <m:r>
              <m:t>β</m:t>
            </m:r>
          </m:e>
          <m:sub>
            <m:r>
              <m:t>2</m:t>
            </m:r>
          </m:sub>
        </m:sSub>
      </m:oMath>
      <w:r>
        <w:t xml:space="preserve">(</w:t>
      </w:r>
      <m:oMath>
        <m:sSup>
          <m:e>
            <m:r>
              <m:rPr>
                <m:nor/>
                <m:sty m:val="p"/>
              </m:rPr>
              <m:t>FSTS</m:t>
            </m:r>
          </m:e>
          <m:sup>
            <m:r>
              <m:t>2</m:t>
            </m:r>
          </m:sup>
        </m:sSup>
      </m:oMath>
      <w:r>
        <w:t xml:space="preserve">) &lt; 0, phản ánh chữ U ngược ở phần lớn các chế độ ICRV.</w:t>
      </w:r>
      <w:r>
        <w:t xml:space="preserve"> </w:t>
      </w:r>
      <w:r>
        <w:rPr>
          <w:bCs/>
          <w:b/>
        </w:rPr>
        <w:t xml:space="preserve">Độ cong (concavity / biên độ)</w:t>
      </w:r>
      <w:r>
        <w:t xml:space="preserve"> </w:t>
      </w:r>
      <w:r>
        <w:t xml:space="preserve">sâu dần theo gradient ICRV khi chất lượng thể chế suy giảm: gần tuyến tính ở Nhóm I và cong sâu hơn ở các nhóm thể chế yếu, với Nhóm VI có pattern gánh nặng bắt buộc (không có điểm uốn). Điểm uốn theo nhóm là không đồng nhất (cụm quanh ~40%) và không dịch chuyển đơn điệu; thể chế càng yếu, hình phạt sau đỉnh cho quốc tế hóa quá mức càng gay gắt.</w:t>
      </w:r>
    </w:p>
    <w:p>
      <w:pPr>
        <w:pStyle w:val="BodyText"/>
      </w:pPr>
      <w:r>
        <w:t xml:space="preserve">H1a (</w:t>
      </w:r>
      <w:r>
        <w:t xml:space="preserve">“</w:t>
      </w:r>
      <w:r>
        <w:t xml:space="preserve">Vách gia nhập</w:t>
      </w:r>
      <w:r>
        <w:t xml:space="preserve">”</w:t>
      </w:r>
      <w:r>
        <w:t xml:space="preserve">, biên tham gia): Bước chuyển rời rạc từ không xuất khẩu (FSTS = 0) sang có xuất khẩu (FSTS &gt; 0) tạo ra một bậc nhảy năng suất lao động dương và đáng kể, đây mới là động lực chính của hiệu ứng I-P. Cơ chế là sự hấp thụ chi phí cố định (fixed-cost absorption): doanh nghiệp vượt được ngưỡng đầu tư ban đầu để tham gia thị trường xuất khẩu (tuân thủ tiêu chuẩn, kênh phân phối, năng lực ngoại thương) sẽ phân bổ chi phí cố định đó lên một nền doanh thu rộng hơn và tự chọn lọc về nhóm doanh nghiệp năng suất cao hơn theo logic Melitz (2003). Phần lớn lợi ích I-P do đó được hiện thực hóa ngay tại biên tham gia, chứ không phải dọc theo biên cường độ.</w:t>
      </w:r>
    </w:p>
    <w:p>
      <w:pPr>
        <w:pStyle w:val="BodyText"/>
      </w:pPr>
      <w:r>
        <w:t xml:space="preserve">H1b (biên cường độ, gần phẳng/gần tuyến tính): Trong mẫu chỉ gồm doanh nghiệp đã xuất khẩu, quỹ đạo I-P gần như phẳng; thành phần bậc hai mất ý nghĩa thống kê. Bằng chứng neo đậu trực tiếp là kết quả within-exporter của phân tích Việt Nam, nơi số hạng</w:t>
      </w:r>
      <w:r>
        <w:t xml:space="preserve"> </w:t>
      </w:r>
      <m:oMath>
        <m:sSup>
          <m:e>
            <m:r>
              <m:rPr>
                <m:nor/>
                <m:sty m:val="p"/>
              </m:rPr>
              <m:t>FSTS</m:t>
            </m:r>
          </m:e>
          <m:sup>
            <m:r>
              <m:t>2</m:t>
            </m:r>
          </m:sup>
        </m:sSup>
      </m:oMath>
      <w:r>
        <w:t xml:space="preserve"> </w:t>
      </w:r>
      <w:r>
        <w:t xml:space="preserve">trong mẫu con doanh nghiệp xuất khẩu cho p = 0,660 (không có ý nghĩa), cho thấy độ cong chữ U ngược quan sát ở mẫu đầy đủ chủ yếu được dẫn dắt bởi vách gia nhập H1a chứ không phải bởi sự suy giảm hiệu suất ở cường độ cao trong nội bộ nhóm xuất khẩu. Hệ quả: sau khi đã gia nhập, việc tăng tỉ lệ xuất khẩu tiếp theo chỉ tạo thêm năng suất khi được hậu thuẫn bởi năng lực công nghệ lõi (TCI) hoặc, trong những chế độ phù hợp, bởi năng lực số (DAI); bản thân cường độ xuất khẩu không tự sinh lợi.</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phân tích Việt Nam: β(TCI) = 0,179 (p &lt; 0,001) bền vững 3 sóng; biến công cụ cho β(TCI) = 1,639 (p &lt; 0,001, F bậc một = 22,1), TCI là nhân quả. phân tích Trung Quốc: β_z(TCI) tăng từ +0,260 (2012) lên +0,426 (2024), Paternoster z = −2,55 (p = 0,011), TCI nâng mặt bằng tăng cường theo thời gian. phân tích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f726aff41a886fb83bbce40f5451eaeea259ac9"/>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Sự phân biệt cơ chế giữa TCI và DAI là trục lý thuyết cốt lõi của khung và cần được phát biểu sắc nét. TCI là nguồn lực</w:t>
      </w:r>
      <w:r>
        <w:t xml:space="preserve"> </w:t>
      </w:r>
      <w:r>
        <w:t xml:space="preserve">“</w:t>
      </w:r>
      <w:r>
        <w:t xml:space="preserve">nâng mặt bằng</w:t>
      </w:r>
      <w:r>
        <w:t xml:space="preserve">”</w:t>
      </w:r>
      <w:r>
        <w:t xml:space="preserve"> </w:t>
      </w:r>
      <w:r>
        <w:t xml:space="preserve">(level-shifter) mang tính nhân quả: nội tại, tích lũy theo thời gian, khó bắt chước (VRIN), nó nâng toàn bộ đường cong năng suất một cách đồng nhất qua mọi mức FSTS và mọi chế độ thể chế, đúng như bằng chứng nhân quả từ biến công cụ ở phân tích Việt Nam (β_IV = 1,639) và xu hướng tăng cường theo thời gian ở phân tích Trung Quốc. Ngược lại, DAI là năng lực phụ thuộc bối cảnh (curve-reshaper / situational), mang tính ngoại tại và phụ thuộc hệ sinh thái số: tác động của nó không cố định mà bật/tắt theo bối cảnh, chỉ phát huy khi nhu cầu điều phối xuyên biên giới đủ dày (FSTS cao, phân tích Singapore) hoặc khi nó bù đắp khoảng trống thể chế (chế độ yếu, Lá chắn số). Một cách ngắn gọn: TCI dịch chuyển mặt bằng lợi nhuận, còn DAI mở rộng vùng điều kiện mà ở đó quốc tế hóa vẫn sinh lợi. Coltman và cộng sự (2008) xác nhận hai cấu trúc thỏa mãn tiêu chí tổng hợp formative riêng biệt, củng cố rằng đây là hai nguồn lực phân biệt chứ không phải hai thước đo của cùng một năng lực.</w:t>
      </w:r>
    </w:p>
    <w:p>
      <w:pPr>
        <w:pStyle w:val="BodyText"/>
      </w:pPr>
      <w:r>
        <w:t xml:space="preserve">Bằng chứng neo đậu: phân tích Singapore:</w:t>
      </w:r>
      <w:r>
        <w:t xml:space="preserve"> </w:t>
      </w:r>
      <m:oMath>
        <m:sSup>
          <m:e>
            <m:r>
              <m:rPr>
                <m:nor/>
                <m:sty m:val="p"/>
              </m:rPr>
              <m:t>FSTS</m:t>
            </m:r>
          </m:e>
          <m:sup>
            <m:r>
              <m:t>2</m:t>
            </m:r>
          </m:sup>
        </m:sSup>
      </m:oMath>
      <w:r>
        <w:t xml:space="preserve">×DAI = +3,119 (p = 0,005), DAI điều tiết theo bối cảnh có điều kiện. phân tích Việt Nam: biến công cụ null β = 0,018 (p = 0,942), OLS dương = phụ thuộc chọn lựa, không nhân quả. phân tích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oMath>
            <w:r>
              <w:t xml:space="preserve">×DAI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năng lực phụ thuộc bối cảnh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FSTS-ln(LP): β(FSTS×DAI) &gt; 0 và/hoặc β(</w:t>
      </w:r>
      <m:oMath>
        <m:sSup>
          <m:e>
            <m:r>
              <m:rPr>
                <m:nor/>
                <m:sty m:val="p"/>
              </m:rPr>
              <m:t>FSTS</m:t>
            </m:r>
          </m:e>
          <m:sup>
            <m:r>
              <m:t>2</m:t>
            </m:r>
          </m:sup>
        </m:sSup>
      </m:oMath>
      <w:r>
        <w:t xml:space="preserve">×DAI)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w:t>
      </w:r>
      <m:oMath>
        <m:sSup>
          <m:e>
            <m:r>
              <m:rPr>
                <m:nor/>
                <m:sty m:val="p"/>
              </m:rPr>
              <m:t>FSTS</m:t>
            </m:r>
          </m:e>
          <m:sup>
            <m:r>
              <m:t>2</m:t>
            </m:r>
          </m:sup>
        </m:sSup>
      </m:oMath>
      <w:r>
        <w:t xml:space="preserve">×DAI) vẫn dương ở mức FSTS cao nơi nhu cầu điều phối xuyên biên giới cao (bằng chứng neo đậu: phân tích Singapore β(</w:t>
      </w:r>
      <m:oMath>
        <m:sSup>
          <m:e>
            <m:r>
              <m:rPr>
                <m:nor/>
                <m:sty m:val="p"/>
              </m:rPr>
              <m:t>FSTS</m:t>
            </m:r>
          </m:e>
          <m:sup>
            <m:r>
              <m:t>2</m:t>
            </m:r>
          </m:sup>
        </m:sSup>
      </m:oMath>
      <w:r>
        <w:t xml:space="preserve">×DAI) = +3,119, p = 0,005).</w:t>
      </w:r>
    </w:p>
    <w:p>
      <w:pPr>
        <w:pStyle w:val="BodyText"/>
      </w:pPr>
      <w:r>
        <w:t xml:space="preserve">TCI và DAI là hai cấu trúc phân biệt và không thể thay thế nhau trong cả hai sub-hypothesis (CDCM distinctiveness hypothesis, H3c: β(TCI)</w:t>
      </w:r>
      <w:r>
        <w:t xml:space="preserve"> </w:t>
      </w:r>
      <m:oMath>
        <m:r>
          <m:rPr>
            <m:sty m:val="p"/>
          </m:rPr>
          <m:t>≠</m:t>
        </m:r>
      </m:oMath>
      <w:r>
        <w:t xml:space="preserve"> </w:t>
      </w:r>
      <w:r>
        <w:t xml:space="preserve">β(DAI) và hai cấu trúc thỏa mãn tiêu chí discriminant validity).</w:t>
      </w:r>
    </w:p>
    <w:p>
      <w:pPr>
        <w:pStyle w:val="BodyText"/>
      </w:pPr>
      <w:r>
        <w:rPr>
          <w:bCs/>
          <w:b/>
        </w:rPr>
        <w:t xml:space="preserve">H3d (Lá chắn số / Digital Shield, hiệu ứng hai chiều DAI×ICRV):</w:t>
      </w:r>
      <w:r>
        <w:t xml:space="preserve"> </w:t>
      </w:r>
      <w:r>
        <w:t xml:space="preserve">Trên toàn pool, DAI không định hình lại độ cong của đường cong I-P (tương tác ba chiều FSTS×DAI×ICRV β</w:t>
      </w:r>
      <w:r>
        <w:t xml:space="preserve"> </w:t>
      </w:r>
      <m:oMath>
        <m:r>
          <m:rPr>
            <m:sty m:val="p"/>
          </m:rPr>
          <m:t>≈</m:t>
        </m:r>
      </m:oMath>
      <w:r>
        <w:t xml:space="preserve"> </w:t>
      </w:r>
      <w:r>
        <w:t xml:space="preserve">−0,001, không có ý nghĩa, một ranh giới cấu trúc), nhưng vẫn phát huy vai trò bảo vệ năng suất qua tương tác hai chiều với chế độ thể chế: β(DAI×ICRV) có ý nghĩa (p = 0,049, phân tích đa quốc gia), với hiệu ứng mạnh nhất ở các chế độ thể chế yếu. Cơ chế: trong môi trường khoảng trống thể chế, năng lực số nền tảng hạ chi phí giao dịch và mở rộng tiếp cận thị trường ảo, do đó hoạt động như một tấm lá chắn giữ mặt bằng năng suất; trong khi đó, ở các chế độ thể chế mạnh nơi Tier-1 đã bão hòa, lợi thế biên của DAI co lại. Sự đối lập giữa null ba chiều và hiệu ứng hai chiều có ý nghĩa là bằng chứng then chốt cho CDCM: DAI là nguồn lực phụ thuộc bối cảnh, vận hành theo cơ chế bù đắp thể chế chứ không phải đòn bẩy định hình lại đường cong.</w:t>
      </w:r>
    </w:p>
    <w:bookmarkEnd w:id="58"/>
    <w:bookmarkStart w:id="59" w:name="Xee6d8de7996976d1b9ddab7bc4a3affe052579c"/>
    <w:p>
      <w:pPr>
        <w:pStyle w:val="Heading5"/>
      </w:pPr>
      <w:r>
        <w:t xml:space="preserve">H4 (kiểm soát quản trị nội sinh), Đặc điểm nhà quản trị</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Tuy vậy, trong khung CĐ2 các đặc điểm này không được nâng thành trục điều tiết trọng tâm. Để bảo vệ tính nhân quả thuần khiết của tương tác Thể chế × Công nghệ, nghiên cứu khóa chặt các thiên lệch nội sinh phát sinh từ năng lực và sự đa dạng giới của nhà quản trị: kinh nghiệm, học vấn và giới tính nhà quản trị được đưa vào như biến kiểm soát quản trị nội sinh, không phải nhân tố điều tiết trọng tâm. Lựa chọn này có chủ đích về mặt phương pháp. Một mặt, nó tránh</w:t>
      </w:r>
      <w:r>
        <w:t xml:space="preserve"> </w:t>
      </w:r>
      <w:r>
        <w:t xml:space="preserve">“</w:t>
      </w:r>
      <w:r>
        <w:t xml:space="preserve">Kitchen Sink Modeling</w:t>
      </w:r>
      <w:r>
        <w:t xml:space="preserve">”</w:t>
      </w:r>
      <w:r>
        <w:t xml:space="preserve">, tức nhồi thêm một tầng điều tiết cấp vi mô làm loãng thông điệp vĩ mô Institution × Technology. Mặt khác, vì năng lực và sự đa dạng giới của nhà quản trị có thể đồng thời tác động đến quyết định xuất khẩu (FSTS), đến năng lực công nghệ (TCI), và đến năng suất, việc đưa chúng vào tập kiểm soát giúp hấp thụ thiên lệch biến bị bỏ sót và cô lập hiệu ứng nhân quả của tương tác trọng tâm. Trong bối cảnh WBES, ba biến đại diện có sẵn: số năm kinh nghiệm quản lý (b5), trình độ học vấn (b7a), và giới tính nhà quản trị cấp cao (b7).</w:t>
      </w:r>
    </w:p>
    <w:p>
      <w:pPr>
        <w:pStyle w:val="BodyText"/>
      </w:pPr>
      <w:r>
        <w:t xml:space="preserve">Ba thành phần của khối kiểm soát quản trị nội sinh, giữ ký hiệu H4a-H4c để tương thích với các bản thảo đồng hành (phân tích Việt Nam, Singapore và Trung Quốc):</w:t>
      </w:r>
    </w:p>
    <w:p>
      <w:pPr>
        <w:pStyle w:val="BodyText"/>
      </w:pPr>
      <w:r>
        <w:rPr>
          <w:bCs/>
          <w:b/>
        </w:rPr>
        <w:t xml:space="preserve">H4a (kiểm soát)</w:t>
      </w:r>
      <w:r>
        <w:t xml:space="preserve">: Kinh nghiệm quản lý (exp_manager, b5) được kiểm soát với kỳ vọng δ_exp &gt; 0. Nhà quản trị nhiều kinh nghiệm có khả năng nhận diện cơ hội thị trường và tránh bẫy tăng trưởng quá mức; khi không kiểm soát, kinh nghiệm có thể tạo tương quan giả giữa FSTS và năng suất.</w:t>
      </w:r>
    </w:p>
    <w:p>
      <w:pPr>
        <w:pStyle w:val="BodyText"/>
      </w:pPr>
      <w:r>
        <w:rPr>
          <w:bCs/>
          <w:b/>
        </w:rPr>
        <w:t xml:space="preserve">H4b (kiểm soát)</w:t>
      </w:r>
      <w:r>
        <w:t xml:space="preserve">: Học vấn nhà quản trị (educ_manager, b7a), đại diện cho năng lực nhận thức và khả năng tiếp thu kinh nghiệm quốc tế, được kiểm soát với kỳ vọng δ_educ &gt; 0. Nhà quản trị học vấn cao có khung nhận thức rộng hơn để xử lý sự phức tạp thông tin trong quản lý đa thị trường.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 (kiểm soát)</w:t>
      </w:r>
      <w:r>
        <w:t xml:space="preserve">: Giới tính nữ của nhà quản trị cấp cao (gender_manager = 1) được đưa vào như kiểm soát đa dạng giới, không đặt dấu kỳ vọng tiên nghiệm; báo cáo two-sided. Bằng chứng trong các nghiên cứu Upper Echelons không đồng nhất về chiều hướng cho châu Á (Hambrick, 2007).</w:t>
      </w:r>
    </w:p>
    <w:p>
      <w:pPr>
        <w:pStyle w:val="BodyText"/>
      </w:pPr>
      <w:r>
        <w:t xml:space="preserve">Phạm vi: H4a-H4c là biến đại diện (proxy) cho cơ chế Upper Echelons và được vận hành như tập kiểm soát quản trị nội sinh, không phải kiểm định trực tiếp cấu trúc lý thuyết gốc. Các hệ số liên quan được báo cáo nhưng không phải đối tượng diễn giải trọng tâm; hạn chế này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độ cong và điểm uốn theo nhóm ICRV (điểm uốn theo nhóm không đồng nhất, cụm quanh ~40% và không dịch chuyển đơn điệu; điều dịch chuyển có hệ thống là độ cong / biên độ):</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Độ cong dự kiến / neo đậu điểm uốn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Độ cong nông nhất, đường cong phẳng/gần tuyến tính (toàn mẫu đa quốc gia)</w:t>
            </w:r>
          </w:p>
        </w:tc>
        <w:tc>
          <w:tcPr/>
          <w:p>
            <w:pPr>
              <w:pStyle w:val="Compact"/>
              <w:jc w:val="left"/>
            </w:pPr>
            <w:r>
              <w:t xml:space="preserve">phân tích đa quốc gia pooled (N=82.302): độ cong nông nhất, gần tuyến tính ở nhóm tiên tiến (điểm uốn cụm quanh ~40%); phân tích Singapore TP ~82%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Độ cong trung bình; neo đơn quốc gia ~45-55% FSTS</w:t>
            </w:r>
          </w:p>
        </w:tc>
        <w:tc>
          <w:tcPr/>
          <w:p>
            <w:pPr>
              <w:pStyle w:val="Compact"/>
              <w:jc w:val="left"/>
            </w:pPr>
            <w:r>
              <w:t xml:space="preserve">phân tích Trung Quốc TP 47-49%</w:t>
            </w:r>
          </w:p>
        </w:tc>
      </w:tr>
      <w:tr>
        <w:tc>
          <w:tcPr/>
          <w:p>
            <w:pPr>
              <w:pStyle w:val="Compact"/>
              <w:jc w:val="left"/>
            </w:pPr>
            <w:r>
              <w:t xml:space="preserve">Nhóm IV (đang nổi)</w:t>
            </w:r>
          </w:p>
        </w:tc>
        <w:tc>
          <w:tcPr/>
          <w:p>
            <w:pPr>
              <w:pStyle w:val="Compact"/>
              <w:jc w:val="left"/>
            </w:pPr>
            <w:r>
              <w:t xml:space="preserve">Độ cong trung bình-mạnh; neo đơn quốc gia ~35-46% FSTS</w:t>
            </w:r>
          </w:p>
        </w:tc>
        <w:tc>
          <w:tcPr/>
          <w:p>
            <w:pPr>
              <w:pStyle w:val="Compact"/>
              <w:jc w:val="left"/>
            </w:pPr>
            <w:r>
              <w:t xml:space="preserve">phân tích Việt Nam TP 39-46%</w:t>
            </w:r>
          </w:p>
        </w:tc>
      </w:tr>
      <w:tr>
        <w:tc>
          <w:tcPr/>
          <w:p>
            <w:pPr>
              <w:pStyle w:val="Compact"/>
              <w:jc w:val="left"/>
            </w:pPr>
            <w:r>
              <w:t xml:space="preserve">Nhóm V (cận biên)</w:t>
            </w:r>
          </w:p>
        </w:tc>
        <w:tc>
          <w:tcPr/>
          <w:p>
            <w:pPr>
              <w:pStyle w:val="Compact"/>
              <w:jc w:val="left"/>
            </w:pPr>
            <w:r>
              <w:t xml:space="preserve">Độ cong sâu nhất, hình phạt sau đỉnh gay gắt</w:t>
            </w:r>
          </w:p>
        </w:tc>
        <w:tc>
          <w:tcPr/>
          <w:p>
            <w:pPr>
              <w:pStyle w:val="Compact"/>
              <w:jc w:val="left"/>
            </w:pPr>
            <w:r>
              <w:t xml:space="preserve">Khoảng trống thể chế làm khuếch đại chi phí giao dịch sau đỉnh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đến V; Nhóm VI có pattern gánh nặng bắt buộc.</w:t>
      </w:r>
      <w:r>
        <w:t xml:space="preserve"> </w:t>
      </w:r>
      <w:r>
        <w:rPr>
          <w:bCs/>
          <w:b/>
        </w:rPr>
        <w:t xml:space="preserve">Độ cong (concavity / biên độ)</w:t>
      </w:r>
      <w:r>
        <w:t xml:space="preserve"> </w:t>
      </w:r>
      <w:r>
        <w:t xml:space="preserve">của hình chữ U ngược sâu dần theo gradient khi chất lượng thể chế suy giảm, từ gần tuyến tính ở Nhóm I đến cong sâu ở Nhóm V; điểm uốn theo nhóm không đồng nhất (cụm quanh ~40%) và không dịch chuyển đơn điệu. Thể chế càng yếu, hình phạt sau đỉnh cho quốc tế hóa quá mức càng gay gắt, phản ánh chi phí giao dịch cao và năng lực điều phối hạn chế trong bối cảnh thể chế yếu.</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phân tích Việt Nam: Paternoster z = 3,353 giữa 2009 và 2015 (p &lt; 0,001), quan hệ I-P dịch chuyển đáng kể. phân tích Trung Quốc: TCI Paternoster p = 0,011, hiệu ứng TCI tăng cường 2012 đến 2024. phân tích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w:t>
      </w:r>
      <m:oMath>
        <m:sSup>
          <m:e>
            <m:r>
              <m:rPr>
                <m:nor/>
                <m:sty m:val="p"/>
              </m:rPr>
              <m:t>FSTS</m:t>
            </m:r>
          </m:e>
          <m:sup>
            <m:r>
              <m:t>2</m:t>
            </m:r>
          </m:sup>
        </m:sSup>
      </m:oMath>
      <w:r>
        <w:t xml:space="preserve">×Year_bucket)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phân tích Việt Nam, Singapore và Trung Quốc</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p>
        </w:tc>
        <w:tc>
          <w:tcPr/>
          <w:p>
            <w:pPr>
              <w:pStyle w:val="Compact"/>
              <w:jc w:val="left"/>
            </w:pPr>
            <w:r>
              <w:t xml:space="preserve">phân tích Việt Nam TP 39-46%; phân tích Trung Quốc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phân tích Việt Nam IV nhân quả; phân tích Trung Quốc +0,260 lên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phân tích Việt Nam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oMath>
            <w:r>
              <w:t xml:space="preserve">×DAI</w:t>
            </w:r>
          </w:p>
        </w:tc>
        <w:tc>
          <w:tcPr/>
          <w:p>
            <w:pPr>
              <w:pStyle w:val="Compact"/>
              <w:jc w:val="left"/>
            </w:pPr>
            <w:r>
              <w:t xml:space="preserve">Direct: null/-; cond: β(</w:t>
            </w:r>
            <m:oMath>
              <m:sSup>
                <m:e>
                  <m:r>
                    <m:rPr>
                      <m:nor/>
                      <m:sty m:val="p"/>
                    </m:rPr>
                    <m:t>FSTS</m:t>
                  </m:r>
                </m:e>
                <m:sup>
                  <m:r>
                    <m:t>2</m:t>
                  </m:r>
                </m:sup>
              </m:sSup>
            </m:oMath>
            <w:r>
              <w:t xml:space="preserve">×DAI) &gt; 0 ở FSTS cao</w:t>
            </w:r>
          </w:p>
        </w:tc>
        <w:tc>
          <w:tcPr/>
          <w:p>
            <w:pPr>
              <w:pStyle w:val="Compact"/>
              <w:jc w:val="left"/>
            </w:pPr>
            <w:r>
              <w:t xml:space="preserve">phân tích Singapore +3,119; bão hòa số</w:t>
            </w:r>
          </w:p>
        </w:tc>
      </w:tr>
      <w:tr>
        <w:tc>
          <w:tcPr/>
          <w:p>
            <w:pPr>
              <w:pStyle w:val="Compact"/>
              <w:jc w:val="left"/>
            </w:pPr>
            <w:r>
              <w:t xml:space="preserve">H4a (kiểm soát)</w:t>
            </w:r>
          </w:p>
        </w:tc>
        <w:tc>
          <w:tcPr/>
          <w:p>
            <w:pPr>
              <w:pStyle w:val="Compact"/>
              <w:jc w:val="left"/>
            </w:pPr>
            <w:r>
              <w:t xml:space="preserve">Kinh nghiệm QL (kiểm soát nội sinh)</w:t>
            </w:r>
          </w:p>
        </w:tc>
        <w:tc>
          <w:tcPr/>
          <w:p>
            <w:pPr>
              <w:pStyle w:val="Compact"/>
              <w:jc w:val="left"/>
            </w:pPr>
            <w:r>
              <w:t xml:space="preserve">Upper Echelons</w:t>
            </w:r>
          </w:p>
        </w:tc>
        <w:tc>
          <w:tcPr/>
          <w:p>
            <w:pPr>
              <w:pStyle w:val="Compact"/>
              <w:jc w:val="left"/>
            </w:pPr>
            <w:r>
              <w:t xml:space="preserve">exp_manager (kiểm soát)</w:t>
            </w:r>
          </w:p>
        </w:tc>
        <w:tc>
          <w:tcPr/>
          <w:p>
            <w:pPr>
              <w:pStyle w:val="Compact"/>
              <w:jc w:val="left"/>
            </w:pPr>
            <w:r>
              <w:t xml:space="preserve">δ_exp &gt; 0; không phải trục điều tiết</w:t>
            </w:r>
          </w:p>
        </w:tc>
        <w:tc>
          <w:tcPr/>
          <w:p>
            <w:pPr>
              <w:pStyle w:val="Compact"/>
              <w:jc w:val="left"/>
            </w:pPr>
            <w:r>
              <w:t xml:space="preserve">(WBES b5)</w:t>
            </w:r>
          </w:p>
        </w:tc>
      </w:tr>
      <w:tr>
        <w:tc>
          <w:tcPr/>
          <w:p>
            <w:pPr>
              <w:pStyle w:val="Compact"/>
              <w:jc w:val="left"/>
            </w:pPr>
            <w:r>
              <w:t xml:space="preserve">H4b (kiểm soát)</w:t>
            </w:r>
          </w:p>
        </w:tc>
        <w:tc>
          <w:tcPr/>
          <w:p>
            <w:pPr>
              <w:pStyle w:val="Compact"/>
              <w:jc w:val="left"/>
            </w:pPr>
            <w:r>
              <w:t xml:space="preserve">Học vấn QL (kiểm soát nội sinh)</w:t>
            </w:r>
          </w:p>
        </w:tc>
        <w:tc>
          <w:tcPr/>
          <w:p>
            <w:pPr>
              <w:pStyle w:val="Compact"/>
              <w:jc w:val="left"/>
            </w:pPr>
            <w:r>
              <w:t xml:space="preserve">Upper Echelons</w:t>
            </w:r>
          </w:p>
        </w:tc>
        <w:tc>
          <w:tcPr/>
          <w:p>
            <w:pPr>
              <w:pStyle w:val="Compact"/>
              <w:jc w:val="left"/>
            </w:pPr>
            <w:r>
              <w:t xml:space="preserve">educ_manager (kiểm soát)</w:t>
            </w:r>
          </w:p>
        </w:tc>
        <w:tc>
          <w:tcPr/>
          <w:p>
            <w:pPr>
              <w:pStyle w:val="Compact"/>
              <w:jc w:val="left"/>
            </w:pPr>
            <w:r>
              <w:t xml:space="preserve">δ_educ &gt; 0; không phải trục điều tiết</w:t>
            </w:r>
          </w:p>
        </w:tc>
        <w:tc>
          <w:tcPr/>
          <w:p>
            <w:pPr>
              <w:pStyle w:val="Compact"/>
              <w:jc w:val="left"/>
            </w:pPr>
            <w:r>
              <w:t xml:space="preserve">(WBES b7a)</w:t>
            </w:r>
          </w:p>
        </w:tc>
      </w:tr>
      <w:tr>
        <w:tc>
          <w:tcPr/>
          <w:p>
            <w:pPr>
              <w:pStyle w:val="Compact"/>
              <w:jc w:val="left"/>
            </w:pPr>
            <w:r>
              <w:t xml:space="preserve">H4c (kiểm soát)</w:t>
            </w:r>
          </w:p>
        </w:tc>
        <w:tc>
          <w:tcPr/>
          <w:p>
            <w:pPr>
              <w:pStyle w:val="Compact"/>
              <w:jc w:val="left"/>
            </w:pPr>
            <w:r>
              <w:t xml:space="preserve">Giới tính QL (kiểm soát đa dạng giới)</w:t>
            </w:r>
          </w:p>
        </w:tc>
        <w:tc>
          <w:tcPr/>
          <w:p>
            <w:pPr>
              <w:pStyle w:val="Compact"/>
              <w:jc w:val="left"/>
            </w:pPr>
            <w:r>
              <w:t xml:space="preserve">Upper Echelons</w:t>
            </w:r>
          </w:p>
        </w:tc>
        <w:tc>
          <w:tcPr/>
          <w:p>
            <w:pPr>
              <w:pStyle w:val="Compact"/>
              <w:jc w:val="left"/>
            </w:pPr>
            <w:r>
              <w:t xml:space="preserve">gender_manager (kiểm soát)</w:t>
            </w:r>
          </w:p>
        </w:tc>
        <w:tc>
          <w:tcPr/>
          <w:p>
            <w:pPr>
              <w:pStyle w:val="Compact"/>
              <w:jc w:val="left"/>
            </w:pPr>
            <w:r>
              <w:t xml:space="preserve">two-sided; không phải trục điều tiết</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 (độ cong)</w:t>
            </w:r>
          </w:p>
        </w:tc>
        <w:tc>
          <w:tcPr/>
          <w:p>
            <w:pPr>
              <w:pStyle w:val="Compact"/>
              <w:jc w:val="left"/>
            </w:pPr>
            <w:r>
              <w:t xml:space="preserve">Institutional Theory</w:t>
            </w:r>
          </w:p>
        </w:tc>
        <w:tc>
          <w:tcPr/>
          <w:p>
            <w:pPr>
              <w:pStyle w:val="Compact"/>
              <w:jc w:val="left"/>
            </w:pPr>
            <w:r>
              <w:t xml:space="preserve">ICRV_j × FSTS, ICRV_j ×</w:t>
            </w:r>
            <w:r>
              <w:t xml:space="preserve"> </w:t>
            </w:r>
            <m:oMath>
              <m:sSup>
                <m:e>
                  <m:r>
                    <m:rPr>
                      <m:nor/>
                      <m:sty m:val="p"/>
                    </m:rPr>
                    <m:t>FSTS</m:t>
                  </m:r>
                </m:e>
                <m:sup>
                  <m:r>
                    <m:t>2</m:t>
                  </m:r>
                </m:sup>
              </m:sSup>
            </m:oMath>
          </w:p>
        </w:tc>
        <w:tc>
          <w:tcPr/>
          <w:p>
            <w:pPr>
              <w:pStyle w:val="Compact"/>
              <w:jc w:val="left"/>
            </w:pPr>
            <w:r>
              <w:t xml:space="preserve">Độ cong sâu dần theo gradient thể chế; điểm uốn không đồng nhất, không dịch chuyển đơn điệu; Nhóm VI gánh nặng bắt buộc</w:t>
            </w:r>
          </w:p>
        </w:tc>
        <w:tc>
          <w:tcPr/>
          <w:p>
            <w:pPr>
              <w:pStyle w:val="Compact"/>
              <w:jc w:val="left"/>
            </w:pPr>
            <w:r>
              <w:t xml:space="preserve">Phân tán LP tăng theo chế độ (CĐ1); phân tích đa quốc gia M10</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w:t>
            </w:r>
            <w:r>
              <w:t xml:space="preserve"> </w:t>
            </w:r>
            <m:oMath>
              <m:r>
                <m:rPr>
                  <m:sty m:val="p"/>
                </m:rPr>
                <m:t>≠</m:t>
              </m:r>
            </m:oMath>
            <w:r>
              <w:t xml:space="preserve"> </w:t>
            </w:r>
            <w:r>
              <w:t xml:space="preserve">0</w:t>
            </w:r>
          </w:p>
        </w:tc>
        <w:tc>
          <w:tcPr/>
          <w:p>
            <w:pPr>
              <w:pStyle w:val="Compact"/>
              <w:jc w:val="left"/>
            </w:pPr>
            <w:r>
              <w:t xml:space="preserve">phân tích Việt Nam Paternoster p &lt; 0,001; phân tích Trung Quốc TCI p = 0,011</w:t>
            </w:r>
          </w:p>
        </w:tc>
      </w:tr>
    </w:tbl>
    <w:p>
      <w:pPr>
        <w:pStyle w:val="BodyText"/>
      </w:pPr>
      <w:r>
        <w:t xml:space="preserve">Hệ giả thuyết tạo thành cấu trúc logic nhất quán với bốn trục điều tiết trọng tâm và một khối kiểm soát: H1a/H1b (phi tuyến, biên tham gia vs biên cường độ) là quan hệ trọng tâm; H2 (TCI nâng mặt bằng) và H3a/H3b (DAI phụ thuộc regime, với H3c distinctiveness) phân rã cơ chế năng lực doanh nghiệp với dấu kỳ vọng khác nhau theo ngữ cảnh; H5 (ICRV độ cong) là tầng thể chế bao trùm; H6 (Thời gian) là tầng động. Khác với bốn trục điều tiết trọng tâm (TCI, DAI, ICRV, thời gian), H4a-H4c (đặc điểm nhà quản trị) được đưa vào như khối kiểm soát quản trị nội sinh nhằm khóa chặt thiên lệch nội sinh và bảo vệ tính nhân quả thuần khiết của tương tác Thể chế × Công nghệ.</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w:t>
      </w:r>
      <w:r>
        <w:t xml:space="preserve"> </w:t>
      </w:r>
      <m:oMath>
        <m:sSup>
          <m:e>
            <m:r>
              <m:t>R</m:t>
            </m:r>
          </m:e>
          <m:sup>
            <m:r>
              <m:t>2</m:t>
            </m:r>
          </m:sup>
        </m:sSup>
      </m:oMath>
      <w:r>
        <w:t xml:space="preserve"> </w:t>
      </w:r>
      <w:r>
        <w:t xml:space="preserve">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w:t>
      </w:r>
      <w:r>
        <w:t xml:space="preserve"> </w:t>
      </w:r>
      <m:oMath>
        <m:sSup>
          <m:e>
            <m:r>
              <m:rPr>
                <m:nor/>
                <m:sty m:val="p"/>
              </m:rPr>
              <m:t>FSTS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oMath>
      <w:r>
        <w:t xml:space="preserve"> </w:t>
      </w:r>
      <w:r>
        <w:t xml:space="preserve">&gt;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w:t>
      </w:r>
      <w:r>
        <w:t xml:space="preserve"> </w:t>
      </w:r>
      <m:oMath>
        <m:sSub>
          <m:e>
            <m:r>
              <m:t>β</m:t>
            </m:r>
          </m:e>
          <m:sub>
            <m:r>
              <m:t>1</m:t>
            </m:r>
          </m:sub>
        </m:sSub>
      </m:oMath>
      <w:r>
        <w:t xml:space="preserve"> </w:t>
      </w:r>
      <w:r>
        <w:t xml:space="preserve">&gt;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các nghiên cứu.</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w:r>
        <w:t xml:space="preserve">Điểm uốn: TP₁ = −</w:t>
      </w:r>
      <m:oMath>
        <m:sSub>
          <m:e>
            <m:r>
              <m:t>β</m:t>
            </m:r>
          </m:e>
          <m:sub>
            <m:r>
              <m:t>1</m:t>
            </m:r>
          </m:sub>
        </m:sSub>
      </m:oMath>
      <w:r>
        <w:t xml:space="preserve">/(2</w:t>
      </w:r>
      <m:oMath>
        <m:sSub>
          <m:e>
            <m:r>
              <m:t>β</m:t>
            </m:r>
          </m:e>
          <m:sub>
            <m:r>
              <m:t>2</m:t>
            </m:r>
          </m:sub>
        </m:sSub>
      </m:oMath>
      <w:r>
        <w:t xml:space="preserve">),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m:oMath>
        <m:sSub>
          <m:e>
            <m:r>
              <m:t>β</m:t>
            </m:r>
          </m:e>
          <m:sub>
            <m:r>
              <m:t>3</m:t>
            </m:r>
          </m:sub>
        </m:sSub>
      </m:oMath>
      <w:r>
        <w:t xml:space="preserve"> </w:t>
      </w:r>
      <w:r>
        <w:t xml:space="preserve">&gt; 0.</w:t>
      </w:r>
      <w:r>
        <w:t xml:space="preserve"> </w:t>
      </w:r>
      <w:r>
        <w:t xml:space="preserve">Lựa chọn mô hình: so sánh M1 và M2 bằng AIC, BIC, và F-test</w:t>
      </w:r>
      <w:r>
        <w:t xml:space="preserve"> </w:t>
      </w:r>
      <m:oMath>
        <m:sSub>
          <m:e>
            <m:r>
              <m:t>β</m:t>
            </m:r>
          </m:e>
          <m:sub>
            <m:r>
              <m:t>3</m:t>
            </m:r>
          </m:sub>
        </m:sSub>
      </m:oMath>
      <w:r>
        <w:t xml:space="preserve"> </w:t>
      </w:r>
      <w:r>
        <w:t xml:space="preserve">=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oMath>
      <w:r>
        <w:t xml:space="preserve"> </w:t>
      </w:r>
      <w:r>
        <w:t xml:space="preserve">&gt; 0)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oMath>
      <w:r>
        <w:t xml:space="preserve"> </w:t>
      </w:r>
      <w:r>
        <w:t xml:space="preserve">&gt; 0 (hiệu ứng TCI trực tiếp).</w:t>
      </w:r>
      <w:r>
        <w:t xml:space="preserve"> </w:t>
      </w:r>
      <w:r>
        <w:t xml:space="preserve">Kiểm định: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 = kiểm định joint moderation; nếu p &gt; 0,10 thì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năng lực phụ thuộc bối cảnh.</w:t>
      </w:r>
      <w:r>
        <w:t xml:space="preserve"> </w:t>
      </w:r>
      <w:r>
        <w:t xml:space="preserve">Kỳ vọng:</w:t>
      </w:r>
      <w:r>
        <w:t xml:space="preserve"> </w:t>
      </w:r>
      <m:oMath>
        <m:sSub>
          <m:e>
            <m:r>
              <m:t>β</m:t>
            </m:r>
          </m:e>
          <m:sub>
            <m:r>
              <m:t>5</m:t>
            </m:r>
          </m:sub>
        </m:sSub>
      </m:oMath>
      <w:r>
        <w:t xml:space="preserve">(</w:t>
      </w:r>
      <m:oMath>
        <m:sSup>
          <m:e>
            <m:r>
              <m:rPr>
                <m:nor/>
                <m:sty m:val="p"/>
              </m:rPr>
              <m:t>FSTS</m:t>
            </m:r>
          </m:e>
          <m:sup>
            <m:r>
              <m:t>2</m:t>
            </m:r>
          </m:sup>
        </m:sSup>
      </m:oMath>
      <w:r>
        <w:t xml:space="preserve">×DAI) &gt; 0 trong Nhóm I (nhất quán phân tích Singapore +3,119);</w:t>
      </w:r>
      <w:r>
        <w:t xml:space="preserve"> </w:t>
      </w:r>
      <m:oMath>
        <m:sSub>
          <m:e>
            <m:r>
              <m:t>β</m:t>
            </m:r>
          </m:e>
          <m:sub>
            <m:r>
              <m:t>3</m:t>
            </m:r>
          </m:sub>
        </m:sSub>
      </m:oMath>
      <w:r>
        <w:t xml:space="preserve">(DAI trực tiếp) tiến tới 0 khi kiểm soát chọn lựa (nhất quán phân tích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44a152ad15e7ef43c8f072ef92ee6e82a8e3ee1"/>
    <w:p>
      <w:pPr>
        <w:pStyle w:val="Heading5"/>
      </w:pPr>
      <w:r>
        <w:t xml:space="preserve">M5, + Khối kiểm soát quản trị nội sinh (ước lượng H4a/H4b/H4c như kiểm soát)</w:t>
      </w:r>
    </w:p>
    <w:p>
      <w:pPr>
        <w:pStyle w:val="FirstParagraph"/>
      </w:pPr>
    </w:p>
    <w:p>
      <w:pPr>
        <w:pStyle w:val="BodyText"/>
      </w:pPr>
      <w:r>
        <w:t xml:space="preserve">Mục đích: ước lượng khối kiểm soát quản trị nội sinh để kiểm tra rằng tương tác Thể chế × Công nghệ trọng tâm (M3, M4, M6, M7) vững trước khi và sau khi đưa đặc điểm nhà quản trị vào. Biến Manager gồm: exp_manager (b5, H4a), educ_manager (b7a, H4b), gender_manager (b7, H4c). Trong đặc tả trọng tâm, các biến này được đưa vào ở dạng số hạng chính (kiểm soát mức); số hạng tương tác FSTS×Manager chỉ được báo cáo như chẩn đoán phụ trợ, không phải bằng chứng điều tiết trọng tâm.</w:t>
      </w:r>
      <w:r>
        <w:t xml:space="preserve"> </w:t>
      </w:r>
      <w:r>
        <w:t xml:space="preserve">Kỳ vọng (mức kiểm soát): δ_exp &gt; 0 [H4a]; δ_educ &gt; 0 [H4b]; gender_manager báo cáo two-sided, không có kỳ vọng tiên nghiệm [H4c]. Việc đặc điểm nhà quản trị vào tập kiểm soát chứ không phải trục điều tiết giúp cô lập hiệu ứng nhân quả của tương tác Thể chế × Công nghệ và tránh</w:t>
      </w:r>
      <w:r>
        <w:t xml:space="preserve"> </w:t>
      </w:r>
      <w:r>
        <w:t xml:space="preserve">“</w:t>
      </w:r>
      <w:r>
        <w:t xml:space="preserve">Kitchen Sink Modeling</w:t>
      </w:r>
      <w:r>
        <w:t xml:space="preserve">”</w:t>
      </w:r>
      <w:r>
        <w:t xml:space="preserve">.</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độ cong (concavity / biên độ) sâu dần theo j khi chất lượng thể chế suy giảm, tức</w:t>
      </w:r>
      <w:r>
        <w:t xml:space="preserve"> </w:t>
      </w:r>
      <m:oMath>
        <m:d>
          <m:dPr>
            <m:begChr m:val="|"/>
            <m:endChr m:val="|"/>
            <m:sepChr m:val=""/>
            <m:grow/>
          </m:dPr>
          <m:e>
            <m:sSub>
              <m:e>
                <m:r>
                  <m:t>β</m:t>
                </m:r>
              </m:e>
              <m:sub>
                <m:r>
                  <m:t>2</m:t>
                </m:r>
              </m:sub>
            </m:sSub>
          </m:e>
        </m:d>
      </m:oMath>
      <w:r>
        <w:t xml:space="preserve"> </w:t>
      </w:r>
      <w:r>
        <w:t xml:space="preserve">tăng dần (Nhóm II đến VI), trong khi điểm uốn theo nhóm không dịch chuyển đơn điệu; Nhóm VI có β(FSTS×ICRV_VI)</w:t>
      </w:r>
      <w:r>
        <w:t xml:space="preserve"> </w:t>
      </w:r>
      <m:oMath>
        <m:r>
          <m:rPr>
            <m:sty m:val="p"/>
          </m:rPr>
          <m:t>≤</m:t>
        </m:r>
      </m:oMath>
      <w:r>
        <w:t xml:space="preserve"> </w:t>
      </w:r>
      <w:r>
        <w:t xml:space="preserve">0.</w:t>
      </w:r>
      <w:r>
        <w:t xml:space="preserve"> </w:t>
      </w:r>
      <w:r>
        <w:t xml:space="preserve">Lưu ý: Country FE bị omit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w:t>
      </w:r>
      <w:r>
        <w:t xml:space="preserve">$10%),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oMath>
      <w:r>
        <w:t xml:space="preserve">(</w:t>
      </w:r>
      <m:oMath>
        <m:sSup>
          <m:e>
            <m:r>
              <m:rPr>
                <m:nor/>
                <m:sty m:val="p"/>
              </m:rPr>
              <m:t>FSTS</m:t>
            </m:r>
          </m:e>
          <m:sup>
            <m:r>
              <m:t>2</m:t>
            </m:r>
          </m:sup>
        </m:sSup>
      </m:oMath>
      <w:r>
        <w:t xml:space="preserve">×DAI) &gt; 0 trong Nhóm I;</w:t>
      </w:r>
      <w:r>
        <w:t xml:space="preserve"> </w:t>
      </w:r>
      <m:oMath>
        <m:sSub>
          <m:e>
            <m:r>
              <m:t>β</m:t>
            </m:r>
          </m:e>
          <m:sub>
            <m:r>
              <m:t>3</m:t>
            </m:r>
          </m:sub>
        </m:sSub>
      </m:oMath>
      <w:r>
        <w:t xml:space="preserve">(TCI) &gt; 0;</w:t>
      </w:r>
      <w:r>
        <w:t xml:space="preserve"> </w:t>
      </w:r>
      <m:oMath>
        <m:sSub>
          <m:e>
            <m:r>
              <m:t>β</m:t>
            </m:r>
          </m:e>
          <m:sub>
            <m:r>
              <m:t>1</m:t>
            </m:r>
          </m:sub>
        </m:sSub>
      </m:oMath>
      <w:r>
        <w:t xml:space="preserve">₂/</w:t>
      </w:r>
      <m:oMath>
        <m:sSub>
          <m:e>
            <m:r>
              <m:t>β</m:t>
            </m:r>
          </m:e>
          <m:sub>
            <m:r>
              <m:t>1</m:t>
            </m:r>
          </m:sub>
        </m:sSub>
      </m:oMath>
      <w:r>
        <w:t xml:space="preserve">₃</w:t>
      </w:r>
      <w:r>
        <w:t xml:space="preserve"> </w:t>
      </w:r>
      <m:oMath>
        <m:r>
          <m:rPr>
            <m:sty m:val="p"/>
          </m:rPr>
          <m:t>≠</m:t>
        </m:r>
      </m:oMath>
      <w:r>
        <w:t xml:space="preserve"> </w:t>
      </w:r>
      <m:oMath>
        <m:sSub>
          <m:e>
            <m:r>
              <m:t>β</m:t>
            </m:r>
          </m:e>
          <m:sub>
            <m:r>
              <m:t>1</m:t>
            </m:r>
          </m:sub>
        </m:sSub>
      </m:oMath>
      <w:r>
        <w:t xml:space="preserve">₀/</w:t>
      </w:r>
      <m:oMath>
        <m:sSub>
          <m:e>
            <m:r>
              <m:t>β</m:t>
            </m:r>
          </m:e>
          <m:sub>
            <m:r>
              <m:t>1</m:t>
            </m:r>
          </m:sub>
        </m:sSub>
      </m:oMath>
      <w:r>
        <w:t xml:space="preserve">₁ (dịch chuyển thời gian).</w:t>
      </w:r>
      <w:r>
        <w:t xml:space="preserve"> </w:t>
      </w:r>
      <w:r>
        <w:t xml:space="preserve">Yêu cầu mẫu: với k = 13 tham số trọng tâm + controls, n</w:t>
      </w:r>
      <w:r>
        <w:t xml:space="preserve"> </w:t>
      </w:r>
      <m:oMath>
        <m:r>
          <m:rPr>
            <m:sty m:val="p"/>
          </m:rPr>
          <m:t>≥</m:t>
        </m:r>
      </m:oMath>
      <w:r>
        <w:t xml:space="preserve"> </w:t>
      </w:r>
      <w:r>
        <w:t xml:space="preserve">5.000 cần thiết cho power &gt; 0,80 tại</w:t>
      </w:r>
      <w:r>
        <w:t xml:space="preserve"> </w:t>
      </w:r>
      <m:oMath>
        <m:sSup>
          <m:e>
            <m:r>
              <m:t>f</m:t>
            </m:r>
          </m:e>
          <m:sup>
            <m:r>
              <m:t>2</m:t>
            </m:r>
          </m:sup>
        </m:sSup>
      </m:oMath>
      <w:r>
        <w:t xml:space="preserve"> </w:t>
      </w:r>
      <w:r>
        <w:t xml:space="preserve">= 0,02, dễ dàng đáp ứng với pool 101.185.</w:t>
      </w:r>
    </w:p>
    <w:p>
      <w:pPr>
        <w:pStyle w:val="BodyText"/>
      </w:pPr>
      <w:r>
        <w:t xml:space="preserve">Ranh giới cấu trúc của tương tác ba chiều và Lá chắn số hai chiều. Bằng chứng pooled từ phân tích đa quốc gia (N = 82.302 ở M2 đến 98.658 ở pool, 45 nền kinh tế) cho thấy hai kết quả cần được diễn giải tách bạch, và đây là một trong những thông điệp sắc nét nhất của khung. Thứ nhất, tương tác ba chiều FSTS×DAI×ICRV cho hệ số gần như bằng không và không có ý nghĩa thống kê (β</w:t>
      </w:r>
      <w:r>
        <w:t xml:space="preserve"> </w:t>
      </w:r>
      <m:oMath>
        <m:r>
          <m:rPr>
            <m:sty m:val="p"/>
          </m:rPr>
          <m:t>≈</m:t>
        </m:r>
      </m:oMath>
      <w:r>
        <w:t xml:space="preserve"> </w:t>
      </w:r>
      <w:r>
        <w:t xml:space="preserve">−0,001). Kết quả này không phải lỗi dữ liệu hay điều cần biện hộ, mà là một ranh giới cấu trúc (structural boundary): một website tĩnh ở Tier-1 không đủ sức tái định hình hình dạng của đường cong I-P trong những thị trường có ma sát thể chế cao. Nói cách khác, đây là bằng chứng về sự lỗi thời của công nghệ số bề mặt, công nghệ Tier-1 đã trở thành tiện ích phổ cập (commodity) và mất khả năng làm đòn bẩy chiến lược cho cấu trúc lợi nhuận theo cường độ xuất khẩu. Thứ hai, và quan trọng hơn về mặt lý thuyết, tương tác hai chiều DAI×ICRV,</w:t>
      </w:r>
      <w:r>
        <w:t xml:space="preserve"> </w:t>
      </w:r>
      <w:r>
        <w:t xml:space="preserve">“</w:t>
      </w:r>
      <w:r>
        <w:t xml:space="preserve">Lá chắn số</w:t>
      </w:r>
      <w:r>
        <w:t xml:space="preserve">”</w:t>
      </w:r>
      <w:r>
        <w:t xml:space="preserve"> </w:t>
      </w:r>
      <w:r>
        <w:t xml:space="preserve">(Digital Shield), lại có ý nghĩa (p = 0,049): năng lực số nền tảng phát huy vai trò bảo vệ năng suất mạnh nhất chính ở những chế độ thể chế yếu, nơi nó bù đắp một phần khoảng trống thể chế (institutional voids) bằng cách hạ chi phí giao dịch và mở rộng tiếp cận thị trường ảo. Như vậy, DAI không định hình lại độ cong của đường cong (vai trò ba chiều null) nhưng vẫn nâng và giữ mặt bằng năng suất trong môi trường thể chế bất lợi (vai trò hai chiều có ý nghĩa). Sự đối lập giữa một null ba chiều mang tính ranh giới và một hiệu ứng hai chiều có ý nghĩa là bằng chứng trực tiếp cho luận điểm CDCM rằng DAI là nguồn lực phụ thuộc bối cảnh, không phải đòn bẩy đồng nhất. Giá trị thực nghiệm cốt lõi của khung CDCM do đó nằm ở tương tác hai chiều DAI×ICRV (cơ chế thay thế số cho thể chế), chứ không ở tương tác ba chiều; đây là sự dịch chuyển trọng tâm bằng chứng từ một kỳ vọng tham vọng ban đầu sang một phát hiện chặt chẽ, khả thi và có ý nghĩa lý thuyết hơn cho Lý thuyết thể chế.</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oMath>
            <w:r>
              <w:t xml:space="preserve"> </w:t>
            </w:r>
            <w:r>
              <w:t xml:space="preserve">&gt; 0</w:t>
            </w:r>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oMath>
            <w:r>
              <w:t xml:space="preserve"> </w:t>
            </w:r>
            <w:r>
              <w:t xml:space="preserve">&lt; 0;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(S-curve)</w:t>
            </w:r>
          </w:p>
        </w:tc>
        <w:tc>
          <w:tcPr/>
          <w:p>
            <w:pPr>
              <w:pStyle w:val="Compact"/>
              <w:jc w:val="left"/>
            </w:pPr>
            <m:oMath>
              <m:sSub>
                <m:e>
                  <m:r>
                    <m:t>β</m:t>
                  </m:r>
                </m:e>
                <m:sub>
                  <m:r>
                    <m:t>3</m:t>
                  </m:r>
                </m:sub>
              </m:sSub>
            </m:oMath>
            <w:r>
              <w:t xml:space="preserve"> </w:t>
            </w:r>
            <w:r>
              <w:t xml:space="preserve">&gt; 0; F-test</w:t>
            </w:r>
            <w:r>
              <w:t xml:space="preserve"> </w:t>
            </w:r>
            <m:oMath>
              <m:sSub>
                <m:e>
                  <m:r>
                    <m:t>β</m:t>
                  </m:r>
                </m:e>
                <m:sub>
                  <m:r>
                    <m:t>3</m:t>
                  </m:r>
                </m:sub>
              </m:sSub>
            </m:oMath>
            <w:r>
              <w:t xml:space="preserve"> </w:t>
            </w:r>
            <w:r>
              <w:t xml:space="preserve">= 0</w:t>
            </w:r>
          </w:p>
        </w:tc>
      </w:tr>
      <w:tr>
        <w:tc>
          <w:tcPr/>
          <w:p>
            <w:pPr>
              <w:pStyle w:val="Compact"/>
              <w:jc w:val="left"/>
            </w:pPr>
            <w:r>
              <w:t xml:space="preserve">M3</w:t>
            </w:r>
          </w:p>
        </w:tc>
        <w:tc>
          <w:tcPr/>
          <w:p>
            <w:pPr>
              <w:pStyle w:val="Compact"/>
              <w:jc w:val="left"/>
            </w:pPr>
            <w:r>
              <w:t xml:space="preserve">+ TCI, FSTS×TCI,</w:t>
            </w:r>
            <w:r>
              <w:t xml:space="preserve"> </w:t>
            </w:r>
            <m:oMath>
              <m:sSup>
                <m:e>
                  <m:r>
                    <m:rPr>
                      <m:nor/>
                      <m:sty m:val="p"/>
                    </m:rPr>
                    <m:t>FSTS</m:t>
                  </m:r>
                </m:e>
                <m:sup>
                  <m:r>
                    <m:t>2</m:t>
                  </m:r>
                </m:sup>
              </m:sSup>
            </m:oMath>
            <w:r>
              <w:t xml:space="preserve">×TCI</w:t>
            </w:r>
          </w:p>
        </w:tc>
        <w:tc>
          <w:tcPr/>
          <w:p>
            <w:pPr>
              <w:pStyle w:val="Compact"/>
              <w:jc w:val="left"/>
            </w:pPr>
            <w:r>
              <w:t xml:space="preserve">H2</w:t>
            </w:r>
          </w:p>
        </w:tc>
        <w:tc>
          <w:tcPr/>
          <w:p>
            <w:pPr>
              <w:pStyle w:val="Compact"/>
              <w:jc w:val="left"/>
            </w:pPr>
            <m:oMath>
              <m:sSub>
                <m:e>
                  <m:r>
                    <m:t>β</m:t>
                  </m:r>
                </m:e>
                <m:sub>
                  <m:r>
                    <m:t>3</m:t>
                  </m:r>
                </m:sub>
              </m:sSub>
            </m:oMath>
            <w:r>
              <w:t xml:space="preserve"> </w:t>
            </w:r>
            <w:r>
              <w:t xml:space="preserve">&gt; 0;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w:t>
            </w:r>
          </w:p>
        </w:tc>
      </w:tr>
      <w:tr>
        <w:tc>
          <w:tcPr/>
          <w:p>
            <w:pPr>
              <w:pStyle w:val="Compact"/>
              <w:jc w:val="left"/>
            </w:pPr>
            <w:r>
              <w:t xml:space="preserve">M4</w:t>
            </w:r>
          </w:p>
        </w:tc>
        <w:tc>
          <w:tcPr/>
          <w:p>
            <w:pPr>
              <w:pStyle w:val="Compact"/>
              <w:jc w:val="left"/>
            </w:pPr>
            <w:r>
              <w:t xml:space="preserve">+ DAI, FSTS×DAI,</w:t>
            </w:r>
            <w:r>
              <w:t xml:space="preserve"> </w:t>
            </w:r>
            <m:oMath>
              <m:sSup>
                <m:e>
                  <m:r>
                    <m:rPr>
                      <m:nor/>
                      <m:sty m:val="p"/>
                    </m:rPr>
                    <m:t>FSTS</m:t>
                  </m:r>
                </m:e>
                <m:sup>
                  <m:r>
                    <m:t>2</m:t>
                  </m:r>
                </m:sup>
              </m:sSup>
            </m:oMath>
            <w:r>
              <w:t xml:space="preserve">×DAI</w:t>
            </w:r>
          </w:p>
        </w:tc>
        <w:tc>
          <w:tcPr/>
          <w:p>
            <w:pPr>
              <w:pStyle w:val="Compact"/>
              <w:jc w:val="left"/>
            </w:pPr>
            <w:r>
              <w:t xml:space="preserve">H3a/H3b</w:t>
            </w:r>
          </w:p>
        </w:tc>
        <w:tc>
          <w:tcPr/>
          <w:p>
            <w:pPr>
              <w:pStyle w:val="Compact"/>
              <w:jc w:val="left"/>
            </w:pPr>
            <w:r>
              <w:t xml:space="preserve">H3a: β(FSTS×DAI) &gt; 0 Nhóm III-V; H3b: β(</w:t>
            </w:r>
            <m:oMath>
              <m:sSup>
                <m:e>
                  <m:r>
                    <m:rPr>
                      <m:nor/>
                      <m:sty m:val="p"/>
                    </m:rPr>
                    <m:t>FSTS</m:t>
                  </m:r>
                </m:e>
                <m:sup>
                  <m:r>
                    <m:t>2</m:t>
                  </m:r>
                </m:sup>
              </m:sSup>
            </m:oMath>
            <w:r>
              <w:t xml:space="preserve">×DAI) &gt; 0 ở FSTS cao Nhóm I</w:t>
            </w:r>
          </w:p>
        </w:tc>
      </w:tr>
      <w:tr>
        <w:tc>
          <w:tcPr/>
          <w:p>
            <w:pPr>
              <w:pStyle w:val="Compact"/>
              <w:jc w:val="left"/>
            </w:pPr>
            <w:r>
              <w:t xml:space="preserve">M5</w:t>
            </w:r>
          </w:p>
        </w:tc>
        <w:tc>
          <w:tcPr/>
          <w:p>
            <w:pPr>
              <w:pStyle w:val="Compact"/>
              <w:jc w:val="left"/>
            </w:pPr>
            <w:r>
              <w:t xml:space="preserve">+ Manager (kiểm soát quản trị nội sinh)</w:t>
            </w:r>
          </w:p>
        </w:tc>
        <w:tc>
          <w:tcPr/>
          <w:p>
            <w:pPr>
              <w:pStyle w:val="Compact"/>
              <w:jc w:val="left"/>
            </w:pPr>
            <w:r>
              <w:t xml:space="preserve">H4 (kiểm soát)</w:t>
            </w:r>
          </w:p>
        </w:tc>
        <w:tc>
          <w:tcPr/>
          <w:p>
            <w:pPr>
              <w:pStyle w:val="Compact"/>
              <w:jc w:val="left"/>
            </w:pPr>
            <w:r>
              <w:t xml:space="preserve">δ_exp &gt; 0; δ_educ &gt; 0; gender two-sided; kiểm tra độ vững tương tác trọng tâm, không phải điều tiết trọng tâm</w:t>
            </w:r>
          </w:p>
        </w:tc>
      </w:tr>
      <w:tr>
        <w:tc>
          <w:tcPr/>
          <w:p>
            <w:pPr>
              <w:pStyle w:val="Compact"/>
              <w:jc w:val="left"/>
            </w:pPr>
            <w:r>
              <w:t xml:space="preserve">M6</w:t>
            </w:r>
          </w:p>
        </w:tc>
        <w:tc>
          <w:tcPr/>
          <w:p>
            <w:pPr>
              <w:pStyle w:val="Compact"/>
              <w:jc w:val="left"/>
            </w:pPr>
            <w:r>
              <w:t xml:space="preserve">+ ICRV_j × FSTS, ICRV_j ×</w:t>
            </w:r>
            <w:r>
              <w:t xml:space="preserve"> </w:t>
            </w:r>
            <m:oMath>
              <m:sSup>
                <m:e>
                  <m:r>
                    <m:rPr>
                      <m:nor/>
                      <m:sty m:val="p"/>
                    </m:rPr>
                    <m:t>FSTS</m:t>
                  </m:r>
                </m:e>
                <m:sup>
                  <m:r>
                    <m:t>2</m:t>
                  </m:r>
                </m:sup>
              </m:sSup>
            </m:oMath>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Mục 2.4.3)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w:t>
      </w:r>
      <w:r>
        <w:t xml:space="preserve"> </w:t>
      </w:r>
      <m:oMath>
        <m:sSup>
          <m:e>
            <m:r>
              <m:rPr>
                <m:nor/>
                <m:sty m:val="p"/>
              </m:rPr>
              <m:t>FSTS</m:t>
            </m:r>
          </m:e>
          <m:sup>
            <m:r>
              <m:t>2</m:t>
            </m:r>
          </m:sup>
        </m:sSup>
      </m:oMath>
      <w:r>
        <w:t xml:space="preserve">.</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w:t>
      </w:r>
      <w:r>
        <w:t xml:space="preserve">$3/4 items không thiếu (Cronbach α ước tính 0,55-0,65,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bắt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SIDS Thái Bình Dương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w:t>
      </w:r>
      <w:r>
        <w:t xml:space="preserve">$15% trong $</w:t>
      </w:r>
      <w:r>
        <w:t xml:space="preserve">$3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w:t>
      </w:r>
      <w:r>
        <w:t xml:space="preserve"> </w:t>
      </w:r>
      <m:oMath>
        <m:r>
          <m:rPr>
            <m:sty m:val="p"/>
          </m:rPr>
          <m:t>≥</m:t>
        </m:r>
      </m:oMath>
      <w:r>
        <w:t xml:space="preserve"> </w:t>
      </w:r>
      <w:r>
        <w:t xml:space="preserve">16 (ngưỡng Stock &amp; Yogo cho biến công cụ yếu).</w:t>
      </w:r>
      <w:r>
        <w:t xml:space="preserve"> </w:t>
      </w:r>
      <w:r>
        <w:t xml:space="preserve">Tham chiếu: phân tích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w:t>
      </w:r>
      <w:r>
        <w:t xml:space="preserve"> </w:t>
      </w:r>
      <m:oMath>
        <m:sSub>
          <m:e>
            <m:r>
              <m:t>β</m:t>
            </m:r>
          </m:e>
          <m:sub>
            <m:r>
              <m:t>1</m:t>
            </m:r>
          </m:sub>
        </m:sSub>
      </m:oMath>
      <w:r>
        <w:t xml:space="preserve"> </w:t>
      </w:r>
      <w:r>
        <w:t xml:space="preserve">&gt; 0 và</w:t>
      </w:r>
      <w:r>
        <w:t xml:space="preserve"> </w:t>
      </w:r>
      <m:oMath>
        <m:sSub>
          <m:e>
            <m:r>
              <m:t>β</m:t>
            </m:r>
          </m:e>
          <m:sub>
            <m:r>
              <m:t>2</m:t>
            </m:r>
          </m:sub>
        </m:sSub>
      </m:oMath>
      <w:r>
        <w:t xml:space="preserve"> </w:t>
      </w:r>
      <w:r>
        <w:t xml:space="preserve">&lt; 0; tính TP = −</w:t>
      </w:r>
      <m:oMath>
        <m:sSub>
          <m:e>
            <m:r>
              <m:t>β</m:t>
            </m:r>
          </m:e>
          <m:sub>
            <m:r>
              <m:t>1</m:t>
            </m:r>
          </m:sub>
        </m:sSub>
      </m:oMath>
      <w:r>
        <w:t xml:space="preserve">/(2</w:t>
      </w:r>
      <m:oMath>
        <m:sSub>
          <m:e>
            <m:r>
              <m:t>β</m:t>
            </m:r>
          </m:e>
          <m:sub>
            <m:r>
              <m:t>2</m:t>
            </m:r>
          </m:sub>
        </m:sSub>
      </m:oMath>
      <w:r>
        <w:t xml:space="preserve">) và 95% CI bằng delta method; kiểm định H₀: độ dốc tại min(FSTS)</w:t>
      </w:r>
      <w:r>
        <w:t xml:space="preserve"> </w:t>
      </w:r>
      <m:oMath>
        <m:r>
          <m:rPr>
            <m:sty m:val="p"/>
          </m:rPr>
          <m:t>≤</m:t>
        </m:r>
      </m:oMath>
      <w:r>
        <w:t xml:space="preserve"> </w:t>
      </w:r>
      <w:r>
        <w:t xml:space="preserve">0 HOẶC độ dốc tại max(FSTS)</w:t>
      </w:r>
      <w:r>
        <w:t xml:space="preserve"> </w:t>
      </w:r>
      <m:oMath>
        <m:r>
          <m:rPr>
            <m:sty m:val="p"/>
          </m:rPr>
          <m:t>≥</m:t>
        </m:r>
      </m:oMath>
      <w:r>
        <w:t xml:space="preserve"> </w:t>
      </w:r>
      <w:r>
        <w:t xml:space="preserve">0, bác bỏ H₀, kết luận có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w:t>
      </w:r>
      <w:r>
        <w:t xml:space="preserve"> </w:t>
      </w:r>
      <m:oMath>
        <m:sSup>
          <m:e>
            <m:r>
              <m:rPr>
                <m:nor/>
                <m:sty m:val="p"/>
              </m:rPr>
              <m:t>FSTS</m:t>
            </m:r>
          </m:e>
          <m:sup>
            <m:r>
              <m:t>2</m:t>
            </m:r>
          </m:sup>
        </m:sSup>
      </m:oMath>
      <w:r>
        <w:t xml:space="preserve"> </w:t>
      </w:r>
      <w:r>
        <w:t xml:space="preserve">giữa Year_bucket cho H6.</w:t>
      </w:r>
    </w:p>
    <w:p>
      <w:pPr>
        <w:pStyle w:val="BodyText"/>
      </w:pPr>
      <w:r>
        <w:t xml:space="preserve">LOWESS phi tham số: smoother cục bộ (bandwidth = 0,4) vẽ ln(LP) ~ FSTS, nếu hình dạng visual nhất quán với chữ U ngược, đây là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thành ROS; (b) Biến độc lập thành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không tìm thấy phi tuyến; (b) Thay TCI bằng nhiễu,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w:t>
      </w:r>
      <w:r>
        <w:t xml:space="preserve"> </w:t>
      </w:r>
      <m:oMath>
        <m:sSub>
          <m:e>
            <m:r>
              <m:t>β</m:t>
            </m:r>
          </m:e>
          <m:sub>
            <m:r>
              <m:t>1</m:t>
            </m:r>
          </m:sub>
        </m:sSub>
      </m:oMath>
      <w:r>
        <w:t xml:space="preserve">(FSTS) trong khoảng [0,1; 3,0];</w:t>
      </w:r>
      <w:r>
        <w:t xml:space="preserve"> </w:t>
      </w:r>
      <m:oMath>
        <m:sSub>
          <m:e>
            <m:r>
              <m:t>β</m:t>
            </m:r>
          </m:e>
          <m:sub>
            <m:r>
              <m:t>2</m:t>
            </m:r>
          </m:sub>
        </m:sSub>
      </m:oMath>
      <w:r>
        <w:t xml:space="preserve">(</w:t>
      </w:r>
      <m:oMath>
        <m:sSup>
          <m:e>
            <m:r>
              <m:rPr>
                <m:nor/>
                <m:sty m:val="p"/>
              </m:rPr>
              <m:t>FSTS</m:t>
            </m:r>
          </m:e>
          <m:sup>
            <m:r>
              <m:t>2</m:t>
            </m:r>
          </m:sup>
        </m:sSup>
      </m:oMath>
      <w:r>
        <w:t xml:space="preserve">) trong khoảng [−2,5; −0,1]; điểm uốn trong khoảng [20%; 90%]; β(TCI) trong khoảng [0,05; 0,5]; β(</w:t>
      </w:r>
      <m:oMath>
        <m:sSup>
          <m:e>
            <m:r>
              <m:rPr>
                <m:nor/>
                <m:sty m:val="p"/>
              </m:rPr>
              <m:t>FSTS</m:t>
            </m:r>
          </m:e>
          <m:sup>
            <m:r>
              <m:t>2</m:t>
            </m:r>
          </m:sup>
        </m:sSup>
      </m:oMath>
      <w:r>
        <w:t xml:space="preserve">×DAI) Nhóm I trong khoảng [0,5; 6,0].</w:t>
      </w:r>
    </w:p>
    <w:p>
      <w:pPr>
        <w:pStyle w:val="BodyText"/>
      </w:pPr>
      <w:r>
        <w:t xml:space="preserve">Quy trình báo cáo: nếu $</w:t>
      </w:r>
      <w:r>
        <w:t xml:space="preserve">$4/6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các nghiên cứu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năng lực phụ thuộc bối cảnh (không phải phần thưởng đồng nhất), với tác động phụ thuộc ba chiều ngữ cảnh (chế độ × mức FSTS × bão hòa số). CDCM lấp đầy khoảng trống tại giao điểm của lý thuyết IB số và lý thuyết thể chế, chưa có trong các nghiên cứu.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bắt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dòng nghiên cứu về quan hệ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và một ranh giới cấu trúc có giá trị lý thuyết. Chuỗi mô hình lồng nhau cho phép kiểm định từng cơ chế riêng biệt trước khi tích hợp. M7 là mô hình đầu tiên trong các nghiên cứu châu Á kiểm định đồng thời I×TCI×DAI điều tiết ba chiều kết hợp với tính không đồng nhất thời gian. Đáng chú ý, kết quả pooled (phân tích đa quốc gia 45 nền kinh tế) cho thấy tương tác ba chiều FSTS×DAI×ICRV là null (β</w:t>
      </w:r>
      <w:r>
        <w:t xml:space="preserve"> </w:t>
      </w:r>
      <m:oMath>
        <m:r>
          <m:rPr>
            <m:sty m:val="p"/>
          </m:rPr>
          <m:t>≈</m:t>
        </m:r>
      </m:oMath>
      <w:r>
        <w:t xml:space="preserve"> </w:t>
      </w:r>
      <w:r>
        <w:t xml:space="preserve">−0,001), trong khi tương tác hai chiều DAI×ICRV (Lá chắn số) lại có ý nghĩa (p = 0,049). Đây không phải khiếm khuyết của thiết kế mà là một đóng góp định vị ranh giới: số hóa bề mặt Tier-1 không định hình lại độ cong đường cong I-P (bằng chứng về sự lỗi thời của công nghệ số bề mặt), nhưng năng lực số vẫn bảo vệ mặt bằng năng suất ở chế độ thể chế yếu. Khung do đó làm rõ ranh giới hiệu lực của DAI thay vì khuếch đại quá mức vai trò của nó.</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phân tích Việt Nam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các nghiên cứu về quan hệ I-P cho châu Á. Bằng chứng từ phân tích Việt Nam và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(phân tích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w:t>
      </w:r>
      <m:oMath>
        <m:sSup>
          <m:e>
            <m:r>
              <m:rPr>
                <m:nor/>
                <m:sty m:val="p"/>
              </m:rPr>
              <m:t>FSTS</m:t>
            </m:r>
          </m:e>
          <m:sup>
            <m:r>
              <m:t>2</m:t>
            </m:r>
          </m:sup>
        </m:sSup>
      </m:oMath>
      <w:r>
        <w:t xml:space="preserve"> </w:t>
      </w:r>
      <w:r>
        <w:t xml:space="preserve">=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90"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(phân tích Việt Nam, Singapore và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độ cong (concavity / biên độ) sâu dần khi chất lượng thể chế suy giảm, điểm uốn theo nhóm không đồng nhất (cụm quanh ~40%) và không dịch chuyển đơn điệu; H2 (TCI nâng mặt bằng) TCI dương bền vững và nhân quả; H3a (DAI Emerging/Frontier) khám phá; H3b (DAI Advanced) β(</w:t>
      </w:r>
      <m:oMath>
        <m:sSup>
          <m:e>
            <m:r>
              <m:rPr>
                <m:nor/>
                <m:sty m:val="p"/>
              </m:rPr>
              <m:t>FSTS</m:t>
            </m:r>
          </m:e>
          <m:sup>
            <m:r>
              <m:t>2</m:t>
            </m:r>
          </m:sup>
        </m:sSup>
      </m:oMath>
      <w:r>
        <w:t xml:space="preserve">×DAI) dương trong Nhóm I (phân tích Singapore xác nhận), null/phụ thuộc chọn lựa trong Nhóm IV (phân tích Việt Nam IV null); H4 (kiểm soát quản trị nội sinh) đặc điểm nhà quản trị được ước lượng như nhóm biến kiểm soát quản trị nội sinh, không phải nhân tố điều tiết trọng tâm; H5 (ICRV) độ cong sâu dần theo gradient thể chế từ Nhóm I đến Nhóm V, Nhóm VI gánh nặng bắt buộc, củng cố bởi Lá chắn số DAI×ICRV (p = 0,049); H6 (Thời gian) DAI dịch chuyển 2009 đến 2023, TCI tăng cường theo thời gian.</w:t>
      </w:r>
    </w:p>
    <w:p>
      <w:pPr>
        <w:pStyle w:val="BodyText"/>
      </w:pPr>
      <w:r>
        <w:t xml:space="preserve">Đóng góp trung tâm, CDCM, giải thích tại sao DAI hoạt động như năng lực phụ thuộc bối cảnh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Xfec09e3154c2a245e7c18bb44949217926836d0"/>
    <w:p>
      <w:pPr>
        <w:pStyle w:val="Heading4"/>
      </w:pPr>
      <w:r>
        <w:t xml:space="preserve">2.4.2 Hàm ý quản trị: lộ trình chiến lược ba giai đoạn</w:t>
      </w:r>
    </w:p>
    <w:p>
      <w:pPr>
        <w:pStyle w:val="FirstParagraph"/>
      </w:pPr>
      <w:r>
        <w:t xml:space="preserve">Trước khi diễn giải thành lộ trình hành động, cần đặt ngay một rủi ro vĩ mô lên đầu bàn nghị sự. Điểm uốn toàn mẫu châu Á</w:t>
      </w:r>
      <w:r>
        <w:t xml:space="preserve"> </w:t>
      </w:r>
      <m:oMath>
        <m:r>
          <m:rPr>
            <m:sty m:val="p"/>
          </m:rPr>
          <m:t>≈</m:t>
        </m:r>
      </m:oMath>
      <w:r>
        <w:t xml:space="preserve"> </w:t>
      </w:r>
      <w:r>
        <w:t xml:space="preserve">37% không phải một cột mốc trung lập mà là một cái bẫy tiềm tàng: dưới các cú sốc thể chế hoặc đứt gãy chuỗi cung ứng (chiến tranh thương mại, đại dịch, tái cấu hình nguồn cung), vùng quanh ngưỡng ~37% là nơi hình phạt sau đỉnh trở nên gay gắt nhất ở các chế độ thể chế yếu, và là nơi doanh nghiệp dễ mắc kẹt nhất khi đã đổ vốn theo cường độ nhưng chưa kịp xây năng lực lõi. Phản bác lại hoài nghi rằng ngưỡng này quá cứng nhắc: Trung Quốc duy trì một ngưỡng bền bỉ ~48% doanh thu xuất khẩu xuyên suốt cả chiến tranh thương mại lẫn đại dịch (điểm uốn 49,4% năm 2012 và 47,2% năm 2024, Paternoster p = 0,545), cho thấy ngưỡng không phải con số ngẫu nhiên mà là một thuộc tính cấu trúc bền vững của chế độ thể chế, có thể cao và ổn định khi năng lực thể chế và năng lực doanh nghiệp đủ mạnh. Điều này biến điểm uốn thành công cụ hoạch định thực sự, không phải hiện vật thống kê.</w:t>
      </w:r>
    </w:p>
    <w:p>
      <w:pPr>
        <w:pStyle w:val="BodyText"/>
      </w:pPr>
      <w:r>
        <w:t xml:space="preserve">Từ bằng chứng neo đậu, các hệ số được chuyển dịch thành một lộ trình chiến lược ba giai đoạn trên trục doanh thu xuất khẩu, áp dụng trực tiếp cho doanh nghiệp Việt Nam và emerging Asia:</w:t>
      </w:r>
    </w:p>
    <w:p>
      <w:pPr>
        <w:pStyle w:val="BodyText"/>
      </w:pPr>
      <w:r>
        <w:rPr>
          <w:bCs/>
          <w:b/>
        </w:rPr>
        <w:t xml:space="preserve">Giai đoạn 1, Vượt rào cản gia nhập (từ 0 đến FSTS dương, hấp thụ chi phí cố định).</w:t>
      </w:r>
      <w:r>
        <w:t xml:space="preserve"> </w:t>
      </w:r>
      <w:r>
        <w:t xml:space="preserve">Hành động chiến lược trọng tâm là vượt qua</w:t>
      </w:r>
      <w:r>
        <w:t xml:space="preserve"> </w:t>
      </w:r>
      <w:r>
        <w:t xml:space="preserve">“</w:t>
      </w:r>
      <w:r>
        <w:t xml:space="preserve">Vách gia nhập</w:t>
      </w:r>
      <w:r>
        <w:t xml:space="preserve">”</w:t>
      </w:r>
      <w:r>
        <w:t xml:space="preserve"> </w:t>
      </w:r>
      <w:r>
        <w:t xml:space="preserve">(H1a): chuyển từ không xuất khẩu sang có xuất khẩu mới là bậc nhảy năng suất lớn nhất, không phải việc tăng dần tỉ lệ. Doanh nghiệp nên dồn nguồn lực để hấp thụ trọn gói chi phí cố định một lần (đạt chứng nhận tiêu chuẩn quốc tế, thiết lập kênh phân phối, năng lực ngoại thương cơ bản) thay vì rải vốn theo cường độ. Tại giai đoạn này, một website Tier-1 và hạ tầng số cơ bản là điều kiện cần để hiện diện, nhưng không phải đòn bẩy lợi nhuận.</w:t>
      </w:r>
    </w:p>
    <w:p>
      <w:pPr>
        <w:pStyle w:val="BodyText"/>
      </w:pPr>
      <w:r>
        <w:rPr>
          <w:bCs/>
          <w:b/>
        </w:rPr>
        <w:t xml:space="preserve">Giai đoạn 2, Tích lũy năng lực công nghệ lõi (vùng ~30-46% doanh thu xuất khẩu).</w:t>
      </w:r>
      <w:r>
        <w:t xml:space="preserve"> </w:t>
      </w:r>
      <w:r>
        <w:t xml:space="preserve">Đây là vùng nguy hiểm bao quanh điểm uốn ~37% (và ~39-46% với Việt Nam). Khi doanh nghiệp đạt khoảng 40% doanh thu xuất khẩu, độ phức tạp vận hành đa thị trường dựng lên một bức tường vô hình: đổ thêm vốn vào website hoặc cường độ xuất khẩu thuần túy lúc này cho biên lợi nhuận âm. Chỉ năng lực công nghệ lõi thực chất (R&amp;D, ISO, công nghệ nước ngoài có bản quyền, chính là TCI nhân quả với β_IV = 1,639 ở phân tích Việt Nam) hoặc sự bảo chứng quốc tế mới phá được bức tường đó và nâng mặt bằng năng suất một cách bền vững. Thông điệp ưu tiên rõ ràng: đầu tư TCI trước, DAI sau, vì chỉ TCI là nhân quả còn DAI dương trong OLS phản ánh phụ thuộc chọn lựa (phân tích Việt Nam IV null, β = 0,018).</w:t>
      </w:r>
    </w:p>
    <w:p>
      <w:pPr>
        <w:pStyle w:val="BodyText"/>
      </w:pPr>
      <w:r>
        <w:rPr>
          <w:bCs/>
          <w:b/>
        </w:rPr>
        <w:t xml:space="preserve">Giai đoạn 3, Tích hợp số hóa chiều sâu (sau khi đã có năng lực lõi và cường độ cao).</w:t>
      </w:r>
      <w:r>
        <w:t xml:space="preserve"> </w:t>
      </w:r>
      <w:r>
        <w:t xml:space="preserve">Số hóa chỉ trở thành đòn bẩy mở rộng khi doanh nghiệp đã ở mức FSTS cao và hoạt động trong môi trường thể chế phù hợp, đúng như Singapore với DAI×</w:t>
      </w:r>
      <m:oMath>
        <m:sSup>
          <m:e>
            <m:r>
              <m:rPr>
                <m:nor/>
                <m:sty m:val="p"/>
              </m:rPr>
              <m:t>FSTS</m:t>
            </m:r>
          </m:e>
          <m:sup>
            <m:r>
              <m:t>2</m:t>
            </m:r>
          </m:sup>
        </m:sSup>
      </m:oMath>
      <w:r>
        <w:t xml:space="preserve"> </w:t>
      </w:r>
      <w:r>
        <w:t xml:space="preserve">= +3,119 ở vùng FSTS cao tiệm cận ~82%. Lưu ý chiến lược quan trọng từ ranh giới cấu trúc: số hóa bề mặt Tier-1 (website tĩnh) đã lỗi thời như đòn bẩy chiến lược (tương tác ba chiều FSTS×DAI×ICRV β</w:t>
      </w:r>
      <w:r>
        <w:t xml:space="preserve"> </w:t>
      </w:r>
      <m:oMath>
        <m:r>
          <m:rPr>
            <m:sty m:val="p"/>
          </m:rPr>
          <m:t>≈</m:t>
        </m:r>
      </m:oMath>
      <w:r>
        <w:t xml:space="preserve"> </w:t>
      </w:r>
      <w:r>
        <w:t xml:space="preserve">−0,001, không có ý nghĩa); giá trị nằm ở tích hợp số chiều sâu, không phải ở sự hiện diện số tối thiểu. Ở những chế độ thể chế yếu, vai trò hữu ích nhất của năng lực số là</w:t>
      </w:r>
      <w:r>
        <w:t xml:space="preserve"> </w:t>
      </w:r>
      <w:r>
        <w:t xml:space="preserve">“</w:t>
      </w:r>
      <w:r>
        <w:t xml:space="preserve">Lá chắn số</w:t>
      </w:r>
      <w:r>
        <w:t xml:space="preserve">”</w:t>
      </w:r>
      <w:r>
        <w:t xml:space="preserve"> </w:t>
      </w:r>
      <w:r>
        <w:t xml:space="preserve">(Digital Shield, DAI×ICRV p = 0,049): bù đắp khoảng trống thể chế để giữ mặt bằng năng suất, chứ không phải để tái định hình đường cong lợi nhuận.</w:t>
      </w:r>
    </w:p>
    <w:bookmarkEnd w:id="87"/>
    <w:bookmarkStart w:id="88" w:name="hạn-chế-nghiên-cứu"/>
    <w:p>
      <w:pPr>
        <w:pStyle w:val="Heading4"/>
      </w:pPr>
      <w:r>
        <w:t xml:space="preserve">2.4.3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phân tích Việt Nam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8"/>
    <w:bookmarkStart w:id="89" w:name="hướng-nghiên-cứu-tiếp-theo"/>
    <w:p>
      <w:pPr>
        <w:pStyle w:val="Heading4"/>
      </w:pPr>
      <w:r>
        <w:t xml:space="preserve">2.4.4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phân tích tổng hợp: Tổng quan định lượng ba tầng:</w:t>
      </w:r>
      <w:r>
        <w:t xml:space="preserve"> </w:t>
      </w:r>
      <w:r>
        <w:t xml:space="preserve">Bản thảo phân tích tổng hợp đã hoàn thành, mở rộng ICBEF 2025 baseline (Đỗ &amp; Phan, 2024, k=113) lên</w:t>
      </w:r>
      <w:r>
        <w:t xml:space="preserve"> </w:t>
      </w:r>
      <w:r>
        <w:rPr>
          <w:bCs/>
          <w:b/>
        </w:rPr>
        <w:t xml:space="preserve">k=238</w:t>
      </w:r>
      <w:r>
        <w:t xml:space="preserve"> </w:t>
      </w:r>
      <w:r>
        <w:t xml:space="preserve">(K=288 effect sizes, 45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w:t>
      </w:r>
      <w:r>
        <w:t xml:space="preserve"> </w:t>
      </w:r>
      <m:oMath>
        <m:sSup>
          <m:e>
            <m:r>
              <m:t>I</m:t>
            </m:r>
          </m:e>
          <m:sup>
            <m:r>
              <m:t>2</m:t>
            </m:r>
          </m:sup>
        </m:sSup>
      </m:oMath>
      <w:r>
        <w:t xml:space="preserve">=62,4%; ICRV Q_M=17,35 (p = 0,002), H1 điều tiết thể chế được hỗ trợ; cDAI và DPL không có ý nghĩa (H2, H3 không được hỗ trợ). Phát hiện chính: publication bias xác nhận qua Begg-Mazumdar τ=−0,134 (p &lt; 0,001), trim-and-fill k=58 imputed,</w:t>
      </w:r>
      <w:r>
        <w:t xml:space="preserve"> </w:t>
      </w:r>
      <w:r>
        <w:rPr>
          <w:iCs/>
          <w:i/>
        </w:rPr>
        <w:t xml:space="preserve">r</w:t>
      </w:r>
      <w:r>
        <w:t xml:space="preserve">_adj=0,035, pooled effect thực tế thấp hơn khoảng 50% so với ước lượng thô. Đóng góp của phân tích tổng hợp trong khuôn khổ CD2: xác nhận gradient ICRV tổng thể (Q_M có ý nghĩa) nhưng không đủ k ở mỗi nhóm để xác nhận đường gradient đơn điệu E1a/E1b.</w:t>
      </w:r>
    </w:p>
    <w:p>
      <w:pPr>
        <w:pStyle w:val="BodyText"/>
      </w:pPr>
      <w:r>
        <w:rPr>
          <w:bCs/>
          <w:b/>
        </w:rPr>
        <w:t xml:space="preserve">Hướng 2, phân tích đa quốc gia: Kiểm định H1-H6 toàn pool 45 nền kinh tế:</w:t>
      </w:r>
      <w:r>
        <w:t xml:space="preserve"> </w:t>
      </w:r>
      <w:r>
        <w:t xml:space="preserve">phân tích đa quốc gia đã hoàn thành, N = 82.302 (M2) đến 98.658 (pool) doanh nghiệp, 45 nền kinh tế châu Á và Thái Bình Dương, 98 country-year waves, 6 nhóm ICRV. Kết quả xác nhận: H1 (phi tuyến) điểm uốn toàn mẫu</w:t>
      </w:r>
      <w:r>
        <w:t xml:space="preserve"> </w:t>
      </w:r>
      <m:oMath>
        <m:r>
          <m:rPr>
            <m:sty m:val="p"/>
          </m:rPr>
          <m:t>≈</m:t>
        </m:r>
      </m:oMath>
      <w:r>
        <w:t xml:space="preserve"> </w:t>
      </w:r>
      <w:r>
        <w:t xml:space="preserve">37%; H2 TCI level effect β</w:t>
      </w:r>
      <w:r>
        <w:t xml:space="preserve"> </w:t>
      </w:r>
      <m:oMath>
        <m:r>
          <m:rPr>
            <m:sty m:val="p"/>
          </m:rPr>
          <m:t>≈</m:t>
        </m:r>
      </m:oMath>
      <w:r>
        <w:t xml:space="preserve"> </w:t>
      </w:r>
      <w:r>
        <w:t xml:space="preserve">+0,344 (p &lt; 0,05); H3 DAI universal level effect β = +0,155 (p &lt; 0,001) cùng cả hai số hạng tương tác độ cong; H5 ICRV điều tiết theo dạng độ cong (concavity / biên độ): hình chữ U ngược cong sâu hơn ở SIDS/Frontier và phẳng dần về gần tuyến tính ở Advanced Innovation, điểm uốn theo nhóm không đồng nhất và không dịch chuyển đơn điệu (tương tác M10 có ý nghĩa: FSTS×ICRV β = +1,85,</w:t>
      </w:r>
      <w:r>
        <w:t xml:space="preserve"> </w:t>
      </w:r>
      <m:oMath>
        <m:sSup>
          <m:e>
            <m:r>
              <m:rPr>
                <m:nor/>
                <m:sty m:val="p"/>
              </m:rPr>
              <m:t>FSTS</m:t>
            </m:r>
          </m:e>
          <m:sup>
            <m:r>
              <m:t>2</m:t>
            </m:r>
          </m:sup>
        </m:sSup>
      </m:oMath>
      <w:r>
        <w:t xml:space="preserve">×ICRV β = −2,93). Lá chắn số (Digital Shield) hai chiều DAI×ICRV có ý nghĩa (p = 0,049), mạnh nhất khi thể chế yếu; tương tác ba chiều FSTS×DAI×ICRV (β</w:t>
      </w:r>
      <w:r>
        <w:t xml:space="preserve"> </w:t>
      </w:r>
      <m:oMath>
        <m:r>
          <m:rPr>
            <m:sty m:val="p"/>
          </m:rPr>
          <m:t>≈</m:t>
        </m:r>
      </m:oMath>
      <w:r>
        <w:t xml:space="preserve"> </w:t>
      </w:r>
      <w:r>
        <w:t xml:space="preserve">−0,001, không có ý nghĩa) cho thấy một ranh giới cấu trúc: số hóa bề mặt Tier-1 không định hình lại được hình dạng đường cong I-P. phân tích Việt Nam (Nhóm IV), phân tích Singapore (Nhóm I), phân tích Trung Quốc (Nhóm III) cung cấp neo đậu cross-context đã được xác nhận bởi kết quả pooled 45 nền kinh tế.</w:t>
      </w:r>
    </w:p>
    <w:p>
      <w:pPr>
        <w:pStyle w:val="BodyText"/>
      </w:pPr>
      <w:r>
        <w:rPr>
          <w:bCs/>
          <w:b/>
        </w:rPr>
        <w:t xml:space="preserve">Hướng 3, phân tích SIDS Thái Bình Dương: SIDS Thái Bình Dương, gánh nặng bắt buộc:</w:t>
      </w:r>
      <w:r>
        <w:t xml:space="preserve"> </w:t>
      </w:r>
      <w:r>
        <w:t xml:space="preserve">phân tích SIDS Thái Bình Dương đã hoàn thành,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bắt buộc (Briguglio, 1995; Bertram, 2006). Khoảng trống H1b trong CD2 đã được lấp đầy bởi phân tích SIDS Thái Bình Dương. Quan trọng hơn, kết quả này không nên đọc như một trường hợp biên thứ yếu: đặt cạnh cực Advanced Innovation (Singapore, điểm uốn rất muộn khoảng 82%, xuất khẩu để tối ưu hóa biên lợi nhuận), SIDS Nhóm VI là cực đối lập, quốc tế hóa để sinh tồn, nơi đường cong chữ U ngược sụp đổ hoàn toàn thành quan hệ âm đơn điệu. Hai cực này xác lập một trục lý thuyết, từ quốc tế hóa để mở rộng quy mô đến quốc tế hóa để sinh tồn, mà toàn bộ dải ICRV nằm trên đó; FIP do đó là điều kiện biên xác định ranh giới nơi điều tiết về mức độ (degree) nhường chỗ cho đảo dấu về bản chất (sign), và là một đóng góp lý thuyết trung tâm chứ không phải một phụ lục cuối luận án.</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từ TCI đến năng suất và từ DAI đến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9"/>
    <w:bookmarkEnd w:id="90"/>
    <w:bookmarkEnd w:id="91"/>
    <w:bookmarkStart w:id="92"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2"/>
    <w:bookmarkStart w:id="97" w:name="phụ-lục"/>
    <w:p>
      <w:pPr>
        <w:pStyle w:val="Heading2"/>
      </w:pPr>
      <w:r>
        <w:t xml:space="preserve">PHỤ LỤC</w:t>
      </w:r>
    </w:p>
    <w:bookmarkStart w:id="93" w:name="X4f7d30b1bba41a8911338bb6cb3079208caeb7a"/>
    <w:p>
      <w:pPr>
        <w:pStyle w:val="Heading3"/>
      </w:pPr>
      <w:r>
        <w:t xml:space="preserve">Phụ lục A, Danh sách 47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SIDS Thái Bình Dương dùng bộ lọc WBES SIDS_small gồm 9 nước, bổ sung thêm Comoros và Timor-Leste.)</w:t>
      </w:r>
    </w:p>
    <w:p>
      <w:pPr>
        <w:pStyle w:val="BodyText"/>
      </w:pPr>
      <w:r>
        <w:t xml:space="preserve">Tổng: 5 + 5 + 6 + 7 + 17 + 7 = 47 nền kinh tế.</w:t>
      </w:r>
    </w:p>
    <w:bookmarkEnd w:id="93"/>
    <w:bookmarkStart w:id="94" w:name="Xbad1bc84f3d3d9be9a613f7519fe2cb13fab848"/>
    <w:p>
      <w:pPr>
        <w:pStyle w:val="Heading3"/>
      </w:pPr>
      <w:r>
        <w:t xml:space="preserve">Phụ lục B, Tóm tắt ba phân tích quốc gia thành phần</w:t>
      </w:r>
    </w:p>
    <w:p>
      <w:pPr>
        <w:pStyle w:val="FirstParagraph"/>
      </w:pPr>
      <w:r>
        <w:t xml:space="preserve">Phân tích Việt Nam: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Phân tích Singapore: 623 doanh nghiệp WBES 2023. Kết quả chính: đường cong I-P chủ yếu dương; điểm uốn hàm ý ~82% (vùng thưa dữ liệu; Lind-Mehlum p = 0,303); DAI×</w:t>
      </w:r>
      <m:oMath>
        <m:sSup>
          <m:e>
            <m:r>
              <m:rPr>
                <m:nor/>
                <m:sty m:val="p"/>
              </m:rPr>
              <m:t>FSTS</m:t>
            </m:r>
          </m:e>
          <m:sup>
            <m:r>
              <m:t>2</m:t>
            </m:r>
          </m:sup>
        </m:sSup>
      </m:oMath>
      <w:r>
        <w:t xml:space="preserve"> </w:t>
      </w:r>
      <w:r>
        <w:t xml:space="preserve">= +3,119 (p = 0,005), DAI là năng lực phụ thuộc bối cảnh; TCI β = 0,153.</w:t>
      </w:r>
    </w:p>
    <w:p>
      <w:pPr>
        <w:pStyle w:val="BodyText"/>
      </w:pPr>
      <w:r>
        <w:t xml:space="preserve">Phân tích Trung Quốc: 4.559 doanh nghiệp WBES hai sóng 2012/2024. Kết quả chính: chữ U ngược bền vững cấu trúc, điểm uốn 49,4% (2012), 47,2% (2024), Paternoster</w:t>
      </w:r>
      <w:r>
        <w:t xml:space="preserve"> </w:t>
      </w:r>
      <m:oMath>
        <m:sSup>
          <m:e>
            <m:r>
              <m:rPr>
                <m:nor/>
                <m:sty m:val="p"/>
              </m:rPr>
              <m:t>FSTS</m:t>
            </m:r>
          </m:e>
          <m:sup>
            <m:r>
              <m:t>2</m:t>
            </m:r>
          </m:sup>
        </m:sSup>
      </m:oMath>
      <w:r>
        <w:t xml:space="preserve"> </w:t>
      </w:r>
      <w:r>
        <w:t xml:space="preserve">p = 0,545 (không có sự khác biệt đáng kể); TCI tăng cường theo thời gian (+0,260 lên +0,426, Paternoster p = 0,011).</w:t>
      </w:r>
    </w:p>
    <w:bookmarkEnd w:id="94"/>
    <w:bookmarkStart w:id="95"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w:t>
      </w:r>
      <w:r>
        <w:t xml:space="preserve"> </w:t>
      </w:r>
      <m:oMath>
        <m:sSup>
          <m:e>
            <m:r>
              <m:t>R</m:t>
            </m:r>
          </m:e>
          <m:sup>
            <m:r>
              <m:t>2</m:t>
            </m:r>
          </m:sup>
        </m:sSup>
      </m:oMath>
      <w:r>
        <w:t xml:space="preserve"> </w:t>
      </w:r>
      <w:r>
        <w:t xml:space="preserve">báo cáo cho từng mô hình cộng với</w:t>
      </w:r>
      <w:r>
        <w:t xml:space="preserve"> </w:t>
      </w:r>
      <m:oMath>
        <m:r>
          <m:t>Δ</m:t>
        </m:r>
        <m:sSup>
          <m:e>
            <m:r>
              <m:t>R</m:t>
            </m:r>
          </m:e>
          <m:sup>
            <m:r>
              <m:t>2</m:t>
            </m:r>
          </m:sup>
        </m:sSup>
      </m:oMath>
      <w:r>
        <w:t xml:space="preserve"> </w:t>
      </w:r>
      <w:r>
        <w:t xml:space="preserve">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5"/>
    <w:bookmarkStart w:id="96"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w:t>
      </w:r>
      <w:r>
        <w:rPr>
          <w:rStyle w:val="BaseNTok"/>
        </w:rPr>
        <w:t xml:space="preserve">text</w:t>
      </w:r>
      <w:r>
        <w:rPr>
          <w:rStyle w:val="NormalTok"/>
        </w:rPr>
        <w:t xml:space="preserve">{FSTS}^2$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$\geq$ 50 (Cameron &amp; Miller, 2015)</w:t>
      </w:r>
      <w:r>
        <w:br/>
      </w:r>
      <w:r>
        <w:rPr>
          <w:rStyle w:val="NormalTok"/>
        </w:rPr>
        <w:t xml:space="preserve">* Pool 47 quốc gia × 5 ngành chính $\approx$ 235 </w:t>
      </w:r>
      <w:r>
        <w:rPr>
          <w:rStyle w:val="KeywordTok"/>
        </w:rPr>
        <w:t xml:space="preserve">cluster</w:t>
      </w:r>
      <w:r>
        <w:rPr>
          <w:rStyle w:val="NormalTok"/>
        </w:rPr>
        <w:t xml:space="preserve">,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6"/>
    <w:bookmarkEnd w:id="97"/>
    <w:bookmarkEnd w:id="9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2026-05-27T02:51:49Z</dcterms:created>
  <dcterms:modified xsi:type="dcterms:W3CDTF">2026-05-27T02:51:49Z</dcterms:modified>
</cp:coreProperties>
</file>

<file path=docProps/custom.xml><?xml version="1.0" encoding="utf-8"?>
<Properties xmlns="http://schemas.openxmlformats.org/officeDocument/2006/custom-properties" xmlns:vt="http://schemas.openxmlformats.org/officeDocument/2006/docPropsVTypes"/>
</file>