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rPr>
          <w:bCs/>
          <w:b/>
        </w:rPr>
        <w:t xml:space="preserve">Design/methodology/approach.</w:t>
      </w:r>
      <w:r>
        <w:t xml:space="preserve"> </w:t>
      </w: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four-specification robustness battery.</w:t>
      </w:r>
    </w:p>
    <w:p>
      <w:pPr>
        <w:pStyle w:val="BodyText"/>
      </w:pPr>
      <w:r>
        <w:rPr>
          <w:bCs/>
          <w:b/>
        </w:rPr>
        <w:t xml:space="preserve">Findings.</w:t>
      </w:r>
      <w:r>
        <w:t xml:space="preserve"> </w:t>
      </w: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.011) in an economy where only 7.3% of establishments have a female top manager.</w:t>
      </w:r>
    </w:p>
    <w:p>
      <w:pPr>
        <w:pStyle w:val="BodyText"/>
      </w:pPr>
      <w:r>
        <w:rPr>
          <w:bCs/>
          <w:b/>
        </w:rPr>
        <w:t xml:space="preserve">Originality/value.</w:t>
      </w:r>
      <w:r>
        <w:t xml:space="preserve"> </w:t>
      </w: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w:t>
      </w:r>
      <w:r>
        <w:t xml:space="preserve"> </w:t>
      </w:r>
      <w:r>
        <w:t xml:space="preserve">“</w:t>
      </w:r>
      <w:r>
        <w:t xml:space="preserve">S-curve</w:t>
      </w:r>
      <w:r>
        <w:t xml:space="preserve">”</w:t>
      </w:r>
      <w:r>
        <w:t xml:space="preserve"> </w:t>
      </w:r>
      <w:r>
        <w:t xml:space="preserve">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four-model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theoretical-background-and-hypotheses"/>
    <w:p>
      <w:pPr>
        <w:pStyle w:val="Heading2"/>
      </w:pPr>
      <w:r>
        <w:t xml:space="preserve">2. Theoretical background and hypotheses</w:t>
      </w:r>
    </w:p>
    <w:bookmarkStart w:id="22" w:name="X97996c36ad3f0e65814ffc0344e31d6e112fd5a"/>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e4bae5a1c0cd4bff61f5593a6ea5658f3d619ce"/>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digital-adoption-under-tier-1-saturation"/>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w:t>
      </w:r>
      <w:r>
        <w:t xml:space="preserve"> </w:t>
      </w:r>
      <w:r>
        <w:t xml:space="preserve">“</w:t>
      </w:r>
      <w:r>
        <w:t xml:space="preserve">digital saturation</w:t>
      </w:r>
      <w:r>
        <w:t xml:space="preserve">”</w:t>
      </w:r>
      <w:r>
        <w:t xml:space="preserve"> </w:t>
      </w:r>
      <w:r>
        <w:t xml:space="preserve">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287975744be8371ccccf1a5c68a59f4ba022fdd"/>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51ba39f38ce6348af57ea34612a9a9d3b4b4c16"/>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data-and-methods"/>
    <w:p>
      <w:pPr>
        <w:pStyle w:val="Heading2"/>
      </w:pPr>
      <w:r>
        <w:t xml:space="preserve">3. Data and methods</w:t>
      </w:r>
    </w:p>
    <w:bookmarkStart w:id="28" w:name="data"/>
    <w:p>
      <w:pPr>
        <w:pStyle w:val="Heading3"/>
      </w:pPr>
      <w:r>
        <w:t xml:space="preserve">3.1 Data</w:t>
      </w:r>
    </w:p>
    <w:p>
      <w:pPr>
        <w:pStyle w:val="FirstParagraph"/>
      </w:pPr>
      <w:r>
        <w:t xml:space="preserve">We use the complete Japan 2025 WBES cross-section (World Bank, 2026;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variables"/>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models"/>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four-specification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results"/>
    <w:p>
      <w:pPr>
        <w:pStyle w:val="Heading2"/>
      </w:pPr>
      <w:r>
        <w:t xml:space="preserve">4. Results</w:t>
      </w:r>
    </w:p>
    <w:bookmarkStart w:id="32" w:name="descriptive-facts-table-1"/>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correlation-structure-table-2"/>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6ba3f38904a2ca8a7d27c48a6c338367f34c4ad"/>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w:t>
      </w:r>
      <w:r>
        <w:t xml:space="preserve"> </w:t>
      </w:r>
      <w:r>
        <w:t xml:space="preserve">“</w:t>
      </w:r>
      <w:r>
        <w:t xml:space="preserve">no turning point at all.</w:t>
      </w:r>
      <w:r>
        <w:t xml:space="preserve">”</w:t>
      </w:r>
      <w:r>
        <w:t xml:space="preserve"> </w:t>
      </w:r>
      <w:r>
        <w:t xml:space="preserve">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.011)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the-extensive-margin-who-exports-table-4"/>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robustness-table-5"/>
    <w:p>
      <w:pPr>
        <w:pStyle w:val="Heading3"/>
      </w:pPr>
      <w:r>
        <w:t xml:space="preserve">4.5 Robustness (Table 5)</w:t>
      </w:r>
    </w:p>
    <w:p>
      <w:pPr>
        <w:pStyle w:val="FirstParagraph"/>
      </w:pPr>
      <w:r>
        <w:t xml:space="preserve">Table 5 subjects the central finding, a positive linear and a non-significant quadratic export effect, to four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discussion"/>
    <w:p>
      <w:pPr>
        <w:pStyle w:val="Heading2"/>
      </w:pPr>
      <w:r>
        <w:t xml:space="preserve">5. Discussion</w:t>
      </w:r>
    </w:p>
    <w:bookmarkStart w:id="38" w:name="completing-the-three-zone-picture"/>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7a751151190076bd16bb53c3a37b26d1361651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75fbe312fb04e39bb5a4efa1517cbe98c056c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show that upper-echelons coefficients are context-laden: the same demographic variable carries different meaning in Japan than it would in an economy with a different firm-age distribution or a wider female-leadership margin.</w:t>
      </w:r>
    </w:p>
    <w:bookmarkEnd w:id="40"/>
    <w:bookmarkStart w:id="41" w:name="limitations"/>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conclusion"/>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specification.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Perryman, A. A.,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2026-06-20T21:10:03Z</dcterms:created>
  <dcterms:modified xsi:type="dcterms:W3CDTF">2026-06-20T21:10:03Z</dcterms:modified>
</cp:coreProperties>
</file>

<file path=docProps/custom.xml><?xml version="1.0" encoding="utf-8"?>
<Properties xmlns="http://schemas.openxmlformats.org/officeDocument/2006/custom-properties" xmlns:vt="http://schemas.openxmlformats.org/officeDocument/2006/docPropsVTypes"/>
</file>