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2.png" ContentType="image/png"/>
  <Override PartName="/word/media/rId45.png" ContentType="image/png"/>
  <Override PartName="/word/media/rId4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roughly half of firms (49.8 % in 2023 vs 42.5 % in 2009), not as evidence on dynamic digital capability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bookmarkEnd w:id="29"/>
    <w:bookmarkStart w:id="33"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broadens toward a level near half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figure_1_conceptual_model.png" id="32" name="Picture"/>
                    <pic:cNvPicPr>
                      <a:picLocks noChangeArrowheads="1" noChangeAspect="1"/>
                    </pic:cNvPicPr>
                  </pic:nvPicPr>
                  <pic:blipFill>
                    <a:blip r:embed="rId30"/>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data-variables-and-empirical-strategy"/>
    <w:p>
      <w:pPr>
        <w:pStyle w:val="Heading2"/>
      </w:pPr>
      <w:r>
        <w:t xml:space="preserve">3. Data, variables, and empirical strategy</w:t>
      </w:r>
    </w:p>
    <w:bookmarkStart w:id="35"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(namely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989,956, and 1,013 observations for 2009, 2015,</w:t>
      </w:r>
      <w:r>
        <w:t xml:space="preserve"> </w:t>
      </w:r>
      <w:r>
        <w:t xml:space="preserve">and 2023 respectively; pooled N is 2,958.</w:t>
      </w:r>
    </w:p>
    <w:bookmarkEnd w:id="36"/>
    <w:bookmarkStart w:id="37"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identification-and-endogeneity-strategy"/>
    <w:p>
      <w:pPr>
        <w:pStyle w:val="Heading3"/>
      </w:pPr>
      <w:r>
        <w:t xml:space="preserve">3.4 Identification and Endogeneity Strategy</w:t>
      </w:r>
    </w:p>
    <w:p>
      <w:pPr>
        <w:pStyle w:val="FirstParagraph"/>
      </w:pPr>
      <w:r>
        <w:t xml:space="preserve">A central identification concern in I to 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2"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roughly half of firms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1"/>
    <w:bookmarkStart w:id="54"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3" name="Picture"/>
            <a:graphic>
              <a:graphicData uri="http://schemas.openxmlformats.org/drawingml/2006/picture">
                <pic:pic>
                  <pic:nvPicPr>
                    <pic:cNvPr descr="figures/figure_2a.png" id="44" name="Picture"/>
                    <pic:cNvPicPr>
                      <a:picLocks noChangeArrowheads="1" noChangeAspect="1"/>
                    </pic:cNvPicPr>
                  </pic:nvPicPr>
                  <pic:blipFill>
                    <a:blip r:embed="rId42"/>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6" name="Picture"/>
            <a:graphic>
              <a:graphicData uri="http://schemas.openxmlformats.org/drawingml/2006/picture">
                <pic:pic>
                  <pic:nvPicPr>
                    <pic:cNvPr descr="figures/figure_2b.png" id="47" name="Picture"/>
                    <pic:cNvPicPr>
                      <a:picLocks noChangeArrowheads="1" noChangeAspect="1"/>
                    </pic:cNvPicPr>
                  </pic:nvPicPr>
                  <pic:blipFill>
                    <a:blip r:embed="rId45"/>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49" name="Picture"/>
            <a:graphic>
              <a:graphicData uri="http://schemas.openxmlformats.org/drawingml/2006/picture">
                <pic:pic>
                  <pic:nvPicPr>
                    <pic:cNvPr descr="figures/figure_2c.png" id="50" name="Picture"/>
                    <pic:cNvPicPr>
                      <a:picLocks noChangeArrowheads="1" noChangeAspect="1"/>
                    </pic:cNvPicPr>
                  </pic:nvPicPr>
                  <pic:blipFill>
                    <a:blip r:embed="rId48"/>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2" name="Picture"/>
            <a:graphic>
              <a:graphicData uri="http://schemas.openxmlformats.org/drawingml/2006/picture">
                <pic:pic>
                  <pic:nvPicPr>
                    <pic:cNvPr descr="figures/figure_2d.png" id="53" name="Picture"/>
                    <pic:cNvPicPr>
                      <a:picLocks noChangeArrowheads="1" noChangeAspect="1"/>
                    </pic:cNvPicPr>
                  </pic:nvPicPr>
                  <pic:blipFill>
                    <a:blip r:embed="rId51"/>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4"/>
    <w:bookmarkStart w:id="58"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6" name="Picture"/>
            <a:graphic>
              <a:graphicData uri="http://schemas.openxmlformats.org/drawingml/2006/picture">
                <pic:pic>
                  <pic:nvPicPr>
                    <pic:cNvPr descr="figures/figure_3_moderator_marginals.png" id="57" name="Picture"/>
                    <pic:cNvPicPr>
                      <a:picLocks noChangeArrowheads="1" noChangeAspect="1"/>
                    </pic:cNvPicPr>
                  </pic:nvPicPr>
                  <pic:blipFill>
                    <a:blip r:embed="rId55"/>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8"/>
    <w:bookmarkStart w:id="59"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59"/>
    <w:bookmarkStart w:id="61"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2009,198 in 2015,190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0"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(p=.543)</w:t>
            </w:r>
          </w:p>
        </w:tc>
        <w:tc>
          <w:tcPr/>
          <w:p>
            <w:pPr>
              <w:pStyle w:val="Compact"/>
              <w:jc w:val="left"/>
            </w:pPr>
            <w:r>
              <w:t xml:space="preserve">z=0.96 (p=.337)</w:t>
            </w:r>
          </w:p>
        </w:tc>
        <w:tc>
          <w:tcPr/>
          <w:p>
            <w:pPr>
              <w:pStyle w:val="Compact"/>
              <w:jc w:val="left"/>
            </w:pPr>
            <w:r>
              <w:t xml:space="preserve">z=1.29 (p=.198)</w:t>
            </w:r>
          </w:p>
        </w:tc>
        <w:tc>
          <w:tcPr/>
          <w:p>
            <w:pPr>
              <w:pStyle w:val="Compact"/>
              <w:jc w:val="left"/>
            </w:pPr>
            <w:r>
              <w:t xml:space="preserve">z=3.35 (p=.001)</w:t>
            </w:r>
          </w:p>
        </w:tc>
      </w:tr>
      <w:tr>
        <w:tc>
          <w:tcPr/>
          <w:p>
            <w:pPr>
              <w:pStyle w:val="Compact"/>
              <w:jc w:val="left"/>
            </w:pPr>
            <w:r>
              <w:t xml:space="preserve">2009 vs. 2023</w:t>
            </w:r>
          </w:p>
        </w:tc>
        <w:tc>
          <w:tcPr/>
          <w:p>
            <w:pPr>
              <w:pStyle w:val="Compact"/>
              <w:jc w:val="left"/>
            </w:pPr>
            <w:r>
              <w:t xml:space="preserve">z=0.09 (p=.926)</w:t>
            </w:r>
          </w:p>
        </w:tc>
        <w:tc>
          <w:tcPr/>
          <w:p>
            <w:pPr>
              <w:pStyle w:val="Compact"/>
              <w:jc w:val="left"/>
            </w:pPr>
            <w:r>
              <w:t xml:space="preserve">z=0.14 (p=.888)</w:t>
            </w:r>
          </w:p>
        </w:tc>
        <w:tc>
          <w:tcPr/>
          <w:p>
            <w:pPr>
              <w:pStyle w:val="Compact"/>
              <w:jc w:val="left"/>
            </w:pPr>
            <w:r>
              <w:t xml:space="preserve">z=1.42 (p=.155)</w:t>
            </w:r>
          </w:p>
        </w:tc>
        <w:tc>
          <w:tcPr/>
          <w:p>
            <w:pPr>
              <w:pStyle w:val="Compact"/>
              <w:jc w:val="left"/>
            </w:pPr>
            <w:r>
              <w:t xml:space="preserve">z=1.28 (p=.201)</w:t>
            </w:r>
          </w:p>
        </w:tc>
      </w:tr>
      <w:tr>
        <w:tc>
          <w:tcPr/>
          <w:p>
            <w:pPr>
              <w:pStyle w:val="Compact"/>
              <w:jc w:val="left"/>
            </w:pPr>
            <w:r>
              <w:t xml:space="preserve">2015 vs. 2023</w:t>
            </w:r>
          </w:p>
        </w:tc>
        <w:tc>
          <w:tcPr/>
          <w:p>
            <w:pPr>
              <w:pStyle w:val="Compact"/>
              <w:jc w:val="left"/>
            </w:pPr>
            <w:r>
              <w:t xml:space="preserve">z=0.66 (p=.509)</w:t>
            </w:r>
          </w:p>
        </w:tc>
        <w:tc>
          <w:tcPr/>
          <w:p>
            <w:pPr>
              <w:pStyle w:val="Compact"/>
              <w:jc w:val="left"/>
            </w:pPr>
            <w:r>
              <w:t xml:space="preserve">z=-0.84 (p=.400)</w:t>
            </w:r>
          </w:p>
        </w:tc>
        <w:tc>
          <w:tcPr/>
          <w:p>
            <w:pPr>
              <w:pStyle w:val="Compact"/>
              <w:jc w:val="left"/>
            </w:pPr>
            <w:r>
              <w:t xml:space="preserve">z=0.07 (p=.947)</w:t>
            </w:r>
          </w:p>
        </w:tc>
        <w:tc>
          <w:tcPr/>
          <w:p>
            <w:pPr>
              <w:pStyle w:val="Compact"/>
              <w:jc w:val="left"/>
            </w:pPr>
            <w:r>
              <w:t xml:space="preserve">z=-2.05 (p=.040)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0"/>
    <w:bookmarkEnd w:id="61"/>
    <w:bookmarkEnd w:id="62"/>
    <w:bookmarkStart w:id="68"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63"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3"/>
    <w:bookmarkStart w:id="64"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4"/>
    <w:bookmarkStart w:id="65"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World Bank, 2026)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 (International Telecommunication Union, 2026).</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5"/>
    <w:bookmarkStart w:id="66"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6"/>
    <w:bookmarkStart w:id="67"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7"/>
    <w:bookmarkEnd w:id="68"/>
    <w:bookmarkStart w:id="69"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FirstParagraph"/>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9"/>
    <w:bookmarkStart w:id="70"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partial Tier-1 proxy obsolescence as website ownership broadens toward roughly half the firm population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0"/>
    <w:bookmarkStart w:id="71" w:name="conflict-of-interest"/>
    <w:p>
      <w:pPr>
        <w:pStyle w:val="Heading2"/>
      </w:pPr>
      <w:r>
        <w:t xml:space="preserve">Conflict of interest</w:t>
      </w:r>
    </w:p>
    <w:p>
      <w:pPr>
        <w:pStyle w:val="FirstParagraph"/>
      </w:pPr>
      <w:r>
        <w:t xml:space="preserve">The authors declare no conflict of interest.</w:t>
      </w:r>
    </w:p>
    <w:bookmarkEnd w:id="71"/>
    <w:bookmarkStart w:id="72"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2"/>
    <w:bookmarkStart w:id="73"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3"/>
    <w:bookmarkStart w:id="74"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4"/>
    <w:bookmarkStart w:id="75"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5"/>
    <w:bookmarkStart w:id="76" w:name="acknowledgements"/>
    <w:p>
      <w:pPr>
        <w:pStyle w:val="Heading2"/>
      </w:pPr>
      <w:r>
        <w:t xml:space="preserve">Acknowledgements</w:t>
      </w:r>
    </w:p>
    <w:p>
      <w:pPr>
        <w:pStyle w:val="FirstParagraph"/>
      </w:pPr>
      <w:r>
        <w:t xml:space="preserve">[Acknowledgements removed for blind review; see separately submitted Title Page.]</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78" w:name="references"/>
    <w:p>
      <w:pPr>
        <w:pStyle w:val="Heading2"/>
      </w:pPr>
      <w:r>
        <w:t xml:space="preserve">References</w:t>
      </w:r>
    </w:p>
    <w:p>
      <w:pPr>
        <w:pStyle w:val="FirstParagraph"/>
      </w:pPr>
      <w:r>
        <w:t xml:space="preserve">Agarwal, R., Barattieri, A. and Mattoo, A. (2026),</w:t>
      </w:r>
      <w:r>
        <w:t xml:space="preserve"> </w:t>
      </w:r>
      <w:r>
        <w:t xml:space="preserve">“</w:t>
      </w:r>
      <w:r>
        <w:t xml:space="preserve">Demand shocks, export expansion, and firm-level productivity: evidence from Vietnamese manufacturers</w:t>
      </w:r>
      <w:r>
        <w:t xml:space="preserve">”</w:t>
      </w:r>
      <w:r>
        <w:t xml:space="preserve">, working paper, The World Bank, Washington, DC. [DOI pending; verify and add upon assignment before submission]</w:t>
      </w:r>
    </w:p>
    <w:p>
      <w:pPr>
        <w:pStyle w:val="BodyText"/>
      </w:pPr>
      <w:r>
        <w:t xml:space="preserve">Aguinis, H., Hill, N.S. and Bailey, J.R. (2021),</w:t>
      </w:r>
      <w:r>
        <w:t xml:space="preserve"> </w:t>
      </w:r>
      <w:r>
        <w:t xml:space="preserve">“</w:t>
      </w:r>
      <w:r>
        <w:t xml:space="preserve">Best practices in data collection and preparation: recommendations for reviewers, editors, and authors</w:t>
      </w:r>
      <w:r>
        <w:t xml:space="preserve">”</w:t>
      </w:r>
      <w:r>
        <w:t xml:space="preserve">,</w:t>
      </w:r>
      <w:r>
        <w:t xml:space="preserve"> </w:t>
      </w:r>
      <w:r>
        <w:rPr>
          <w:iCs/>
          <w:i/>
        </w:rPr>
        <w:t xml:space="preserve">Organizational Research Methods</w:t>
      </w:r>
      <w:r>
        <w:t xml:space="preserve">, Vol. 24 No. 4, pp.678-693, https://doi.org/10.1177/1094428119836485</w:t>
      </w:r>
    </w:p>
    <w:p>
      <w:pPr>
        <w:pStyle w:val="BodyText"/>
      </w:pPr>
      <w:r>
        <w:t xml:space="preserve">Antonakis, J., Bendahan, S., Jacquart, P. and Lalive, R. (2010),</w:t>
      </w:r>
      <w:r>
        <w:t xml:space="preserve"> </w:t>
      </w:r>
      <w:r>
        <w:t xml:space="preserve">“</w:t>
      </w:r>
      <w:r>
        <w:t xml:space="preserve">On making causal claims: a review and recommendations</w:t>
      </w:r>
      <w:r>
        <w:t xml:space="preserve">”</w:t>
      </w:r>
      <w:r>
        <w:t xml:space="preserve">,</w:t>
      </w:r>
      <w:r>
        <w:t xml:space="preserve"> </w:t>
      </w:r>
      <w:r>
        <w:rPr>
          <w:iCs/>
          <w:i/>
        </w:rPr>
        <w:t xml:space="preserve">The Leadership Quarterly</w:t>
      </w:r>
      <w:r>
        <w:t xml:space="preserve">, Vol. 21 No. 6, pp.1086-1120, https://doi.org/10.1016/j.leaqua.2010.10.010</w:t>
      </w:r>
    </w:p>
    <w:p>
      <w:pPr>
        <w:pStyle w:val="BodyText"/>
      </w:pPr>
      <w:r>
        <w:t xml:space="preserve">Banalieva, E.R. and Dhanaraj, C. (2019),</w:t>
      </w:r>
      <w:r>
        <w:t xml:space="preserve"> </w:t>
      </w:r>
      <w:r>
        <w:t xml:space="preserve">“</w:t>
      </w:r>
      <w:r>
        <w:t xml:space="preserve">Internalization theory for the digital economy</w:t>
      </w:r>
      <w:r>
        <w:t xml:space="preserve">”</w:t>
      </w:r>
      <w:r>
        <w:t xml:space="preserve">,</w:t>
      </w:r>
      <w:r>
        <w:t xml:space="preserve"> </w:t>
      </w:r>
      <w:r>
        <w:rPr>
          <w:iCs/>
          <w:i/>
        </w:rPr>
        <w:t xml:space="preserve">Journal of International Business Studies</w:t>
      </w:r>
      <w:r>
        <w:t xml:space="preserve">, Vol. 50 No. 8, pp.1372-1387, https://doi.org/10.1057/s41267-019-00243-7</w:t>
      </w:r>
    </w:p>
    <w:p>
      <w:pPr>
        <w:pStyle w:val="BodyText"/>
      </w:pPr>
      <w:r>
        <w:t xml:space="preserve">Barattieri, A., Mattoo, A. and Signoret, J.E. (2026),</w:t>
      </w:r>
      <w:r>
        <w:t xml:space="preserve"> </w:t>
      </w:r>
      <w:r>
        <w:t xml:space="preserve">“</w:t>
      </w:r>
      <w:r>
        <w:t xml:space="preserve">Service trade liberalization and productivity growth: micro-evidence from Vietnam, 2008-2016</w:t>
      </w:r>
      <w:r>
        <w:t xml:space="preserve">”</w:t>
      </w:r>
      <w:r>
        <w:t xml:space="preserve">, working paper, The World Bank, Washington, DC. [DOI pending; verify and add upon assignment before submission]</w:t>
      </w:r>
    </w:p>
    <w:p>
      <w:pPr>
        <w:pStyle w:val="BodyText"/>
      </w:pPr>
      <w:r>
        <w:t xml:space="preserve">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Vol. 17 No. 1, pp.99-120, https://doi.org/10.1177/014920639101700108</w:t>
      </w:r>
    </w:p>
    <w:p>
      <w:pPr>
        <w:pStyle w:val="BodyText"/>
      </w:pPr>
      <w:r>
        <w:t xml:space="preserve">Bernard, A.B., Jensen, J.B., Redding, S.J. and Schott, P.K. (2007),</w:t>
      </w:r>
      <w:r>
        <w:t xml:space="preserve"> </w:t>
      </w:r>
      <w:r>
        <w:t xml:space="preserve">“</w:t>
      </w:r>
      <w:r>
        <w:t xml:space="preserve">Firms in international trade</w:t>
      </w:r>
      <w:r>
        <w:t xml:space="preserve">”</w:t>
      </w:r>
      <w:r>
        <w:t xml:space="preserve">,</w:t>
      </w:r>
      <w:r>
        <w:t xml:space="preserve"> </w:t>
      </w:r>
      <w:r>
        <w:rPr>
          <w:iCs/>
          <w:i/>
        </w:rPr>
        <w:t xml:space="preserve">Journal of Economic Perspectives</w:t>
      </w:r>
      <w:r>
        <w:t xml:space="preserve">, Vol. 21 No. 3, pp.105-130, https://doi.org/10.1257/jep.21.3.105</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pp.471-482, https://doi.org/10.25300/misq/2013/37:2.3</w:t>
      </w:r>
    </w:p>
    <w:p>
      <w:pPr>
        <w:pStyle w:val="BodyText"/>
      </w:pPr>
      <w:r>
        <w:t xml:space="preserve">Brouthers, K.D., Geisser, K.D. and Rothlauf, F. (2016),</w:t>
      </w:r>
      <w:r>
        <w:t xml:space="preserve"> </w:t>
      </w:r>
      <w:r>
        <w:t xml:space="preserve">“</w:t>
      </w:r>
      <w:r>
        <w:t xml:space="preserve">Explaining the internationalization of iBusiness firms</w:t>
      </w:r>
      <w:r>
        <w:t xml:space="preserve">”</w:t>
      </w:r>
      <w:r>
        <w:t xml:space="preserve">,</w:t>
      </w:r>
      <w:r>
        <w:t xml:space="preserve"> </w:t>
      </w:r>
      <w:r>
        <w:rPr>
          <w:iCs/>
          <w:i/>
        </w:rPr>
        <w:t xml:space="preserve">Journal of International Business Studies</w:t>
      </w:r>
      <w:r>
        <w:t xml:space="preserve">, Vol. 47 No. 5, pp.513-534, https://doi.org/10.1057/jibs.2015.20</w:t>
      </w:r>
    </w:p>
    <w:p>
      <w:pPr>
        <w:pStyle w:val="BodyText"/>
      </w:pPr>
      <w:r>
        <w:t xml:space="preserve">Brynjolfsson, E., Rock, D. and Syverson, C. (2021),</w:t>
      </w:r>
      <w:r>
        <w:t xml:space="preserve"> </w:t>
      </w:r>
      <w:r>
        <w:t xml:space="preserve">“</w:t>
      </w:r>
      <w:r>
        <w:t xml:space="preserve">The productivity J-curve: how intangibles complement general purpose technologies</w:t>
      </w:r>
      <w:r>
        <w:t xml:space="preserve">”</w:t>
      </w:r>
      <w:r>
        <w:t xml:space="preserve">,</w:t>
      </w:r>
      <w:r>
        <w:t xml:space="preserve"> </w:t>
      </w:r>
      <w:r>
        <w:rPr>
          <w:iCs/>
          <w:i/>
        </w:rPr>
        <w:t xml:space="preserve">American Economic Journal: Macroeconomics</w:t>
      </w:r>
      <w:r>
        <w:t xml:space="preserve">, Vol. 13 No. 1, pp.333-372, https://doi.org/10.1257/mac.20180386</w:t>
      </w:r>
    </w:p>
    <w:p>
      <w:pPr>
        <w:pStyle w:val="BodyText"/>
      </w:pPr>
      <w:r>
        <w:t xml:space="preserve">Certo, S.T., Busenbark, J.R., Woo, H.-S. and Semadeni, M. (2016),</w:t>
      </w:r>
      <w:r>
        <w:t xml:space="preserve"> </w:t>
      </w:r>
      <w:r>
        <w:t xml:space="preserve">“</w:t>
      </w:r>
      <w:r>
        <w:t xml:space="preserve">Sample selection bias and Heckman models in strategic management research</w:t>
      </w:r>
      <w:r>
        <w:t xml:space="preserve">”</w:t>
      </w:r>
      <w:r>
        <w:t xml:space="preserve">,</w:t>
      </w:r>
      <w:r>
        <w:t xml:space="preserve"> </w:t>
      </w:r>
      <w:r>
        <w:rPr>
          <w:iCs/>
          <w:i/>
        </w:rPr>
        <w:t xml:space="preserve">Strategic Management Journal</w:t>
      </w:r>
      <w:r>
        <w:t xml:space="preserve">, Vol. 37 No. 13, pp.2639-2657, https://doi.org/10.1002/smj.2475</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pp.128-152, https://doi.org/10.2307/2393553</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pp.453-475, https://doi.org/10.1007/s11575-007-0024-2</w:t>
      </w:r>
    </w:p>
    <w:p>
      <w:pPr>
        <w:pStyle w:val="BodyText"/>
      </w:pPr>
      <w:r>
        <w:t xml:space="preserve">Coviello, N., Kano, L. and Liesch, P.W. (2017),</w:t>
      </w:r>
      <w:r>
        <w:t xml:space="preserve"> </w:t>
      </w:r>
      <w:r>
        <w:t xml:space="preserve">“</w:t>
      </w:r>
      <w:r>
        <w:t xml:space="preserve">Adapting the Uppsala model to a modern world: macro-context and microfoundations</w:t>
      </w:r>
      <w:r>
        <w:t xml:space="preserve">”</w:t>
      </w:r>
      <w:r>
        <w:t xml:space="preserve">,</w:t>
      </w:r>
      <w:r>
        <w:t xml:space="preserve"> </w:t>
      </w:r>
      <w:r>
        <w:rPr>
          <w:iCs/>
          <w:i/>
        </w:rPr>
        <w:t xml:space="preserve">Journal of International Business Studies</w:t>
      </w:r>
      <w:r>
        <w:t xml:space="preserve">, Vol. 48 No. 9, pp.1151-1164, https://doi.org/10.1057/s41267-017-0120-x</w:t>
      </w:r>
    </w:p>
    <w:p>
      <w:pPr>
        <w:pStyle w:val="BodyText"/>
      </w:pPr>
      <w:r>
        <w:t xml:space="preserve">Cuervo-Cazurra, A. and Genc, M. (2008),</w:t>
      </w:r>
      <w:r>
        <w:t xml:space="preserve"> </w:t>
      </w:r>
      <w:r>
        <w:t xml:space="preserve">“</w:t>
      </w:r>
      <w:r>
        <w:t xml:space="preserve">Transforming disadvantages into advantages: developing-country MNEs in the least developed countries</w:t>
      </w:r>
      <w:r>
        <w:t xml:space="preserve">”</w:t>
      </w:r>
      <w:r>
        <w:t xml:space="preserve">,</w:t>
      </w:r>
      <w:r>
        <w:t xml:space="preserve"> </w:t>
      </w:r>
      <w:r>
        <w:rPr>
          <w:iCs/>
          <w:i/>
        </w:rPr>
        <w:t xml:space="preserve">Journal of International Business Studies</w:t>
      </w:r>
      <w:r>
        <w:t xml:space="preserve">, Vol. 39 No. 6, pp.957-979, https://doi.org/10.1057/palgrave.jibs.8400390</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Vol. 21 No. 10-11, pp.1105-1121, https://doi.org/10.1002/1097-0266(200010/11)21:10/11&lt;1105::AID-SMJ133&gt;3.0.CO;2-E</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pp.3-43, https://doi.org/10.1257/jel.20171452</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pp.1177-1195, https://doi.org/10.1002/smj.2399</w:t>
      </w:r>
    </w:p>
    <w:p>
      <w:pPr>
        <w:pStyle w:val="BodyText"/>
      </w:pPr>
      <w:r>
        <w:t xml:space="preserve">Hanelt, A., Bohnsack, R., Marz, D. and Antunes Marante, C. (2021),</w:t>
      </w:r>
      <w:r>
        <w:t xml:space="preserve"> </w:t>
      </w:r>
      <w:r>
        <w:t xml:space="preserve">“</w:t>
      </w:r>
      <w:r>
        <w:t xml:space="preserve">A systematic review of the literature on digital transformation: insights and implications for strategy and organizational change</w:t>
      </w:r>
      <w:r>
        <w:t xml:space="preserve">”</w:t>
      </w:r>
      <w:r>
        <w:t xml:space="preserve">,</w:t>
      </w:r>
      <w:r>
        <w:t xml:space="preserve"> </w:t>
      </w:r>
      <w:r>
        <w:rPr>
          <w:iCs/>
          <w:i/>
        </w:rPr>
        <w:t xml:space="preserve">Journal of Management Studies</w:t>
      </w:r>
      <w:r>
        <w:t xml:space="preserve">, Vol. 58 No. 5, pp.1159-1197, https://doi.org/10.1111/joms.12639</w:t>
      </w:r>
    </w:p>
    <w:p>
      <w:pPr>
        <w:pStyle w:val="BodyText"/>
      </w:pPr>
      <w:r>
        <w:t xml:space="preserve">Heckman, J.J. (1979),</w:t>
      </w:r>
      <w:r>
        <w:t xml:space="preserve"> </w:t>
      </w:r>
      <w:r>
        <w:t xml:space="preserve">“</w:t>
      </w:r>
      <w:r>
        <w:t xml:space="preserve">Sample selection bias as a specification error</w:t>
      </w:r>
      <w:r>
        <w:t xml:space="preserve">”</w:t>
      </w:r>
      <w:r>
        <w:t xml:space="preserve">,</w:t>
      </w:r>
      <w:r>
        <w:t xml:space="preserve"> </w:t>
      </w:r>
      <w:r>
        <w:rPr>
          <w:iCs/>
          <w:i/>
        </w:rPr>
        <w:t xml:space="preserve">Econometrica</w:t>
      </w:r>
      <w:r>
        <w:t xml:space="preserve">, Vol. 47 No. 1, pp.153-161, https://doi.org/10.2307/1912352</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pp.423-452, https://doi.org/10.1007/s11575-007-0023-3</w:t>
      </w:r>
    </w:p>
    <w:p>
      <w:pPr>
        <w:pStyle w:val="BodyText"/>
      </w:pPr>
      <w:r>
        <w:t xml:space="preserve">Hennart, J.-F. (2011),</w:t>
      </w:r>
      <w:r>
        <w:t xml:space="preserve"> </w:t>
      </w:r>
      <w:r>
        <w:t xml:space="preserve">“</w:t>
      </w:r>
      <w:r>
        <w:t xml:space="preserve">A theoretical assessment of the empirical literature on the impact of multinationality on performance</w:t>
      </w:r>
      <w:r>
        <w:t xml:space="preserve">”</w:t>
      </w:r>
      <w:r>
        <w:t xml:space="preserve">,</w:t>
      </w:r>
      <w:r>
        <w:t xml:space="preserve"> </w:t>
      </w:r>
      <w:r>
        <w:rPr>
          <w:iCs/>
          <w:i/>
        </w:rPr>
        <w:t xml:space="preserve">Global Strategy Journal</w:t>
      </w:r>
      <w:r>
        <w:t xml:space="preserve">, Vol. 1 No. 1-2, pp.135-151, https://doi.org/10.1002/gsj.8</w:t>
      </w:r>
    </w:p>
    <w:p>
      <w:pPr>
        <w:pStyle w:val="BodyText"/>
      </w:pPr>
      <w:r>
        <w:t xml:space="preserve">Hitt, M.A., Hoskisson, R.E. and Kim, H. (1997),</w:t>
      </w:r>
      <w:r>
        <w:t xml:space="preserve"> </w:t>
      </w:r>
      <w:r>
        <w:t xml:space="preserve">“</w:t>
      </w:r>
      <w:r>
        <w:t xml:space="preserve">International diversification: effects on innovation and firm performance in product-diversified firms</w:t>
      </w:r>
      <w:r>
        <w:t xml:space="preserve">”</w:t>
      </w:r>
      <w:r>
        <w:t xml:space="preserve">,</w:t>
      </w:r>
      <w:r>
        <w:t xml:space="preserve"> </w:t>
      </w:r>
      <w:r>
        <w:rPr>
          <w:iCs/>
          <w:i/>
        </w:rPr>
        <w:t xml:space="preserve">Academy of Management Journal</w:t>
      </w:r>
      <w:r>
        <w:t xml:space="preserve">, Vol. 40 No. 4, pp.767-798, https://doi.org/10.2307/256948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 https://www.itu.int/en/ITU-D/Statistics/Pages/publications/wtid.aspx (accessed 9 May 2026).</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pp.23-32, https://doi.org/10.1057/palgrave.jibs.8490676</w:t>
      </w:r>
    </w:p>
    <w:p>
      <w:pPr>
        <w:pStyle w:val="BodyText"/>
      </w:pPr>
      <w:r>
        <w:t xml:space="preserve">Johanson, J. and Vahlne, J.-E. (2009),</w:t>
      </w:r>
      <w:r>
        <w:t xml:space="preserve"> </w:t>
      </w:r>
      <w:r>
        <w:t xml:space="preserve">“</w:t>
      </w:r>
      <w:r>
        <w:t xml:space="preserve">The Uppsala internationalization process model revisited: from liability of foreignness to liability of outsidership</w:t>
      </w:r>
      <w:r>
        <w:t xml:space="preserve">”</w:t>
      </w:r>
      <w:r>
        <w:t xml:space="preserve">,</w:t>
      </w:r>
      <w:r>
        <w:t xml:space="preserve"> </w:t>
      </w:r>
      <w:r>
        <w:rPr>
          <w:iCs/>
          <w:i/>
        </w:rPr>
        <w:t xml:space="preserve">Journal of International Business Studies</w:t>
      </w:r>
      <w:r>
        <w:t xml:space="preserve">, Vol. 40 No. 9, pp.1411-1431, https://doi.org/10.1057/jibs.2009.24</w:t>
      </w:r>
    </w:p>
    <w:p>
      <w:pPr>
        <w:pStyle w:val="BodyText"/>
      </w:pPr>
      <w:r>
        <w:t xml:space="preserve">Karna, A., Richter, A. and Riesenkampff, E. (2016),</w:t>
      </w:r>
      <w:r>
        <w:t xml:space="preserve"> </w:t>
      </w:r>
      <w:r>
        <w:t xml:space="preserve">“</w:t>
      </w:r>
      <w:r>
        <w:t xml:space="preserve">Revisiting the role of the environment in the capabilities-financial performance relationship: a meta-analysis</w:t>
      </w:r>
      <w:r>
        <w:t xml:space="preserve">”</w:t>
      </w:r>
      <w:r>
        <w:t xml:space="preserve">,</w:t>
      </w:r>
      <w:r>
        <w:t xml:space="preserve"> </w:t>
      </w:r>
      <w:r>
        <w:rPr>
          <w:iCs/>
          <w:i/>
        </w:rPr>
        <w:t xml:space="preserve">Strategic Management Journal</w:t>
      </w:r>
      <w:r>
        <w:t xml:space="preserve">, Vol. 37 No. 6, pp.1154-1173, https://doi.org/10.1002/smj.2379</w:t>
      </w:r>
    </w:p>
    <w:p>
      <w:pPr>
        <w:pStyle w:val="BodyText"/>
      </w:pPr>
      <w:r>
        <w:t xml:space="preserve">Knight, G.A. and Liesch, P.W. (2016),</w:t>
      </w:r>
      <w:r>
        <w:t xml:space="preserve"> </w:t>
      </w:r>
      <w:r>
        <w:t xml:space="preserve">“</w:t>
      </w:r>
      <w:r>
        <w:t xml:space="preserve">Internationalization: from incremental to born global</w:t>
      </w:r>
      <w:r>
        <w:t xml:space="preserve">”</w:t>
      </w:r>
      <w:r>
        <w:t xml:space="preserve">,</w:t>
      </w:r>
      <w:r>
        <w:t xml:space="preserve"> </w:t>
      </w:r>
      <w:r>
        <w:rPr>
          <w:iCs/>
          <w:i/>
        </w:rPr>
        <w:t xml:space="preserve">Journal of World Business</w:t>
      </w:r>
      <w:r>
        <w:t xml:space="preserve">, Vol. 51 No. 1, pp.93-102, https://doi.org/10.1016/j.jwb.2015.08.011</w:t>
      </w:r>
    </w:p>
    <w:p>
      <w:pPr>
        <w:pStyle w:val="BodyText"/>
      </w:pPr>
      <w:r>
        <w:t xml:space="preserve">Lall, S. (1992),</w:t>
      </w:r>
      <w:r>
        <w:t xml:space="preserve"> </w:t>
      </w:r>
      <w:r>
        <w:t xml:space="preserve">“</w:t>
      </w:r>
      <w:r>
        <w:t xml:space="preserve">Technological capabilities and industrialization</w:t>
      </w:r>
      <w:r>
        <w:t xml:space="preserve">”</w:t>
      </w:r>
      <w:r>
        <w:t xml:space="preserve">,</w:t>
      </w:r>
      <w:r>
        <w:t xml:space="preserve"> </w:t>
      </w:r>
      <w:r>
        <w:rPr>
          <w:iCs/>
          <w:i/>
        </w:rPr>
        <w:t xml:space="preserve">World Development</w:t>
      </w:r>
      <w:r>
        <w:t xml:space="preserve">, Vol. 20 No. 2, pp.165-186, https://doi.org/10.1016/0305-750X(92)90097-F</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pp.109-118, https://doi.org/10.1111/j.1468-0084.2009.00569.x</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pp.598-609, https://doi.org/10.2307/20159604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pp.1075-1110, https://doi.org/10.1177/0149206315624963</w:t>
      </w:r>
    </w:p>
    <w:p>
      <w:pPr>
        <w:pStyle w:val="BodyText"/>
      </w:pPr>
      <w:r>
        <w:t xml:space="preserve">Nambisan, S., Wright, M. and Feldman, M. (2019),</w:t>
      </w:r>
      <w:r>
        <w:t xml:space="preserve"> </w:t>
      </w:r>
      <w:r>
        <w:t xml:space="preserve">“</w:t>
      </w:r>
      <w:r>
        <w:t xml:space="preserve">The digital transformation of innovation and entrepreneurship: progress, challenges and key themes</w:t>
      </w:r>
      <w:r>
        <w:t xml:space="preserve">”</w:t>
      </w:r>
      <w:r>
        <w:t xml:space="preserve">,</w:t>
      </w:r>
      <w:r>
        <w:t xml:space="preserve"> </w:t>
      </w:r>
      <w:r>
        <w:rPr>
          <w:iCs/>
          <w:i/>
        </w:rPr>
        <w:t xml:space="preserve">Research Policy</w:t>
      </w:r>
      <w:r>
        <w:t xml:space="preserve">, Vol. 48 No. 8, p.103773, https://doi.org/10.1016/j.respol.2019.03.018</w:t>
      </w:r>
    </w:p>
    <w:p>
      <w:pPr>
        <w:pStyle w:val="BodyText"/>
      </w:pPr>
      <w:r>
        <w:t xml:space="preserve">Oster, E. (2019),</w:t>
      </w:r>
      <w:r>
        <w:t xml:space="preserve"> </w:t>
      </w:r>
      <w:r>
        <w:t xml:space="preserve">“</w:t>
      </w:r>
      <w:r>
        <w:t xml:space="preserve">Unobservable selection and coefficient stability: theory and evidence</w:t>
      </w:r>
      <w:r>
        <w:t xml:space="preserve">”</w:t>
      </w:r>
      <w:r>
        <w:t xml:space="preserve">,</w:t>
      </w:r>
      <w:r>
        <w:t xml:space="preserve"> </w:t>
      </w:r>
      <w:r>
        <w:rPr>
          <w:iCs/>
          <w:i/>
        </w:rPr>
        <w:t xml:space="preserve">Journal of Business &amp; Economic Statistics</w:t>
      </w:r>
      <w:r>
        <w:t xml:space="preserve">, Vol. 37 No. 2, pp.187-204, https://doi.org/10.1080/07350015.2016.1227711</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pp.859-866, https://doi.org/10.1111/j.1745-9125.1998.tb01268.x</w:t>
      </w:r>
    </w:p>
    <w:p>
      <w:pPr>
        <w:pStyle w:val="BodyText"/>
      </w:pPr>
      <w:r>
        <w:t xml:space="preserve">Petricevic, O. and Teece, D.J. (2019),</w:t>
      </w:r>
      <w:r>
        <w:t xml:space="preserve"> </w:t>
      </w:r>
      <w:r>
        <w:t xml:space="preserve">“</w:t>
      </w:r>
      <w:r>
        <w:t xml:space="preserve">The structural reshaping of globalization: implications for strategic sectors, profiting from innovation, and the multinational enterprise</w:t>
      </w:r>
      <w:r>
        <w:t xml:space="preserve">”</w:t>
      </w:r>
      <w:r>
        <w:t xml:space="preserve">,</w:t>
      </w:r>
      <w:r>
        <w:t xml:space="preserve"> </w:t>
      </w:r>
      <w:r>
        <w:rPr>
          <w:iCs/>
          <w:i/>
        </w:rPr>
        <w:t xml:space="preserve">Journal of International Business Studies</w:t>
      </w:r>
      <w:r>
        <w:t xml:space="preserve">, Vol. 50 No. 9, pp.1487-1512, https://doi.org/10.1057/s41267-019-00269-x</w:t>
      </w:r>
    </w:p>
    <w:p>
      <w:pPr>
        <w:pStyle w:val="BodyText"/>
      </w:pPr>
      <w:r>
        <w:t xml:space="preserve">Pisani, N., Garcia-Bernardo, J. and Heemskerk, E. (2020),</w:t>
      </w:r>
      <w:r>
        <w:t xml:space="preserve"> </w:t>
      </w:r>
      <w:r>
        <w:t xml:space="preserve">“</w:t>
      </w:r>
      <w:r>
        <w:t xml:space="preserve">Does it pay to be a multinational? A large-sample, cross-national replication assessing the multinationality-performance relationship</w:t>
      </w:r>
      <w:r>
        <w:t xml:space="preserve">”</w:t>
      </w:r>
      <w:r>
        <w:t xml:space="preserve">,</w:t>
      </w:r>
      <w:r>
        <w:t xml:space="preserve"> </w:t>
      </w:r>
      <w:r>
        <w:rPr>
          <w:iCs/>
          <w:i/>
        </w:rPr>
        <w:t xml:space="preserve">Strategic Management Journal</w:t>
      </w:r>
      <w:r>
        <w:t xml:space="preserve">, Vol. 41 No. 1, pp.152-172, https://doi.org/10.1002/smj.3087</w:t>
      </w:r>
    </w:p>
    <w:p>
      <w:pPr>
        <w:pStyle w:val="BodyText"/>
      </w:pPr>
      <w:r>
        <w:t xml:space="preserve">Prime Minister of Vietnam (2020),</w:t>
      </w:r>
      <w:r>
        <w:t xml:space="preserve"> </w:t>
      </w:r>
      <w:r>
        <w:t xml:space="preserve">“</w:t>
      </w:r>
      <w:r>
        <w:t xml:space="preserve">Decision No. 749/QD-TTg approving the</w:t>
      </w:r>
      <w:r>
        <w:t xml:space="preserve"> </w:t>
      </w:r>
      <w:r>
        <w:t xml:space="preserve">‘</w:t>
      </w:r>
      <w:r>
        <w:t xml:space="preserve">National Digital Transformation Programme by 2025, with orientations towards 2030</w:t>
      </w:r>
      <w:r>
        <w:t xml:space="preserve">’</w:t>
      </w:r>
      <w:r>
        <w:t xml:space="preserve">”</w:t>
      </w:r>
      <w:r>
        <w:t xml:space="preserve">, available at: https://english.luatvietnam.vn/decision-no-749-qd-ttg-on-approving-the-national-digital-transformation-program-until-2025-with-a-vision-184241-doc1.html (accessed 9 May 2026).</w:t>
      </w:r>
    </w:p>
    <w:p>
      <w:pPr>
        <w:pStyle w:val="BodyText"/>
      </w:pPr>
      <w:r>
        <w:t xml:space="preserve">Shaver, J.M. (2020),</w:t>
      </w:r>
      <w:r>
        <w:t xml:space="preserve"> </w:t>
      </w:r>
      <w:r>
        <w:t xml:space="preserve">“</w:t>
      </w:r>
      <w:r>
        <w:t xml:space="preserve">Causal identification through a cumulative body of research in the study of strategy and organizations</w:t>
      </w:r>
      <w:r>
        <w:t xml:space="preserve">”</w:t>
      </w:r>
      <w:r>
        <w:t xml:space="preserve">,</w:t>
      </w:r>
      <w:r>
        <w:t xml:space="preserve"> </w:t>
      </w:r>
      <w:r>
        <w:rPr>
          <w:iCs/>
          <w:i/>
        </w:rPr>
        <w:t xml:space="preserve">Journal of Management</w:t>
      </w:r>
      <w:r>
        <w:t xml:space="preserve">, Vol. 46 No. 7, pp.1244-1256, https://doi.org/10.1177/0149206319846272</w:t>
      </w:r>
    </w:p>
    <w:p>
      <w:pPr>
        <w:pStyle w:val="BodyText"/>
      </w:pPr>
      <w:r>
        <w:t xml:space="preserve">Staiger, D. and Stock, J.H. (1997),</w:t>
      </w:r>
      <w:r>
        <w:t xml:space="preserve"> </w:t>
      </w:r>
      <w:r>
        <w:t xml:space="preserve">“</w:t>
      </w:r>
      <w:r>
        <w:t xml:space="preserve">Instrumental variables regression with weak instruments</w:t>
      </w:r>
      <w:r>
        <w:t xml:space="preserve">”</w:t>
      </w:r>
      <w:r>
        <w:t xml:space="preserve">,</w:t>
      </w:r>
      <w:r>
        <w:t xml:space="preserve"> </w:t>
      </w:r>
      <w:r>
        <w:rPr>
          <w:iCs/>
          <w:i/>
        </w:rPr>
        <w:t xml:space="preserve">Econometrica</w:t>
      </w:r>
      <w:r>
        <w:t xml:space="preserve">, Vol. 65 No. 3, pp.557-586, https://doi.org/10.2307/2171753</w:t>
      </w:r>
    </w:p>
    <w:p>
      <w:pPr>
        <w:pStyle w:val="BodyText"/>
      </w:pPr>
      <w:r>
        <w:t xml:space="preserve">Stallkamp, M. and Schotter, A.P.J. (2021),</w:t>
      </w:r>
      <w:r>
        <w:t xml:space="preserve"> </w:t>
      </w:r>
      <w:r>
        <w:t xml:space="preserve">“</w:t>
      </w:r>
      <w:r>
        <w:t xml:space="preserve">Platforms without borders? The international strategies of digital platform firms</w:t>
      </w:r>
      <w:r>
        <w:t xml:space="preserve">”</w:t>
      </w:r>
      <w:r>
        <w:t xml:space="preserve">,</w:t>
      </w:r>
      <w:r>
        <w:t xml:space="preserve"> </w:t>
      </w:r>
      <w:r>
        <w:rPr>
          <w:iCs/>
          <w:i/>
        </w:rPr>
        <w:t xml:space="preserve">Global Strategy Journal</w:t>
      </w:r>
      <w:r>
        <w:t xml:space="preserve">, Vol. 11 No. 1, pp.58-80, https://doi.org/10.1002/gsj.1336</w:t>
      </w:r>
    </w:p>
    <w:p>
      <w:pPr>
        <w:pStyle w:val="BodyText"/>
      </w:pPr>
      <w:r>
        <w:t xml:space="preserve">Strange, R. and Zucchella, A. (2017),</w:t>
      </w:r>
      <w:r>
        <w:t xml:space="preserve"> </w:t>
      </w:r>
      <w:r>
        <w:t xml:space="preserve">“</w:t>
      </w:r>
      <w:r>
        <w:t xml:space="preserve">Industry 4.0, global value chains and international business</w:t>
      </w:r>
      <w:r>
        <w:t xml:space="preserve">”</w:t>
      </w:r>
      <w:r>
        <w:t xml:space="preserve">,</w:t>
      </w:r>
      <w:r>
        <w:t xml:space="preserve"> </w:t>
      </w:r>
      <w:r>
        <w:rPr>
          <w:iCs/>
          <w:i/>
        </w:rPr>
        <w:t xml:space="preserve">Multinational Business Review</w:t>
      </w:r>
      <w:r>
        <w:t xml:space="preserve">, Vol. 25 No. 3, pp.174-184, https://doi.org/10.1108/MBR-05-2017-0028</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pp.1319-1350, https://doi.org/10.1002/smj.640</w:t>
      </w:r>
    </w:p>
    <w:p>
      <w:pPr>
        <w:pStyle w:val="BodyText"/>
      </w:pPr>
      <w:r>
        <w:t xml:space="preserve">Vahlne, J.-E. (2020),</w:t>
      </w:r>
      <w:r>
        <w:t xml:space="preserve"> </w:t>
      </w:r>
      <w:r>
        <w:t xml:space="preserve">“</w:t>
      </w:r>
      <w:r>
        <w:t xml:space="preserve">Development of the Uppsala model of internationalization process: from internationalization to evolution</w:t>
      </w:r>
      <w:r>
        <w:t xml:space="preserve">”</w:t>
      </w:r>
      <w:r>
        <w:t xml:space="preserve">,</w:t>
      </w:r>
      <w:r>
        <w:t xml:space="preserve"> </w:t>
      </w:r>
      <w:r>
        <w:rPr>
          <w:iCs/>
          <w:i/>
        </w:rPr>
        <w:t xml:space="preserve">Global Strategy Journal</w:t>
      </w:r>
      <w:r>
        <w:t xml:space="preserve">, Vol. 10 No. 2, pp.239-250, https://doi.org/10.1002/gsj.1375</w:t>
      </w:r>
    </w:p>
    <w:p>
      <w:pPr>
        <w:pStyle w:val="BodyText"/>
      </w:pPr>
      <w:r>
        <w:t xml:space="preserve">Vahlne, J.-E. and Johanson, J. (2017),</w:t>
      </w:r>
      <w:r>
        <w:t xml:space="preserve"> </w:t>
      </w:r>
      <w:r>
        <w:t xml:space="preserve">“</w:t>
      </w:r>
      <w:r>
        <w:t xml:space="preserve">From internationalization to evolution: the Uppsala model at 40 years</w:t>
      </w:r>
      <w:r>
        <w:t xml:space="preserve">”</w:t>
      </w:r>
      <w:r>
        <w:t xml:space="preserve">,</w:t>
      </w:r>
      <w:r>
        <w:t xml:space="preserve"> </w:t>
      </w:r>
      <w:r>
        <w:rPr>
          <w:iCs/>
          <w:i/>
        </w:rPr>
        <w:t xml:space="preserve">Journal of International Business Studies</w:t>
      </w:r>
      <w:r>
        <w:t xml:space="preserve">, Vol. 48 No. 9, pp.1087-1102, https://doi.org/10.1057/s41267-017-0107-7</w:t>
      </w:r>
    </w:p>
    <w:p>
      <w:pPr>
        <w:pStyle w:val="BodyText"/>
      </w:pPr>
      <w:r>
        <w:t xml:space="preserve">Verhoef, P.C., Broekhuizen, T., Bart, Y., Bhattacharya, A., Dong, J.Q., Fabian, N. and Haenlein, M. (2021),</w:t>
      </w:r>
      <w:r>
        <w:t xml:space="preserve"> </w:t>
      </w:r>
      <w:r>
        <w:t xml:space="preserve">“</w:t>
      </w:r>
      <w:r>
        <w:t xml:space="preserve">Digital transformation: a multidisciplinary reflection and research agenda</w:t>
      </w:r>
      <w:r>
        <w:t xml:space="preserve">”</w:t>
      </w:r>
      <w:r>
        <w:t xml:space="preserve">,</w:t>
      </w:r>
      <w:r>
        <w:t xml:space="preserve"> </w:t>
      </w:r>
      <w:r>
        <w:rPr>
          <w:iCs/>
          <w:i/>
        </w:rPr>
        <w:t xml:space="preserve">Journal of Business Research</w:t>
      </w:r>
      <w:r>
        <w:t xml:space="preserve">, Vol. 122, pp.889-901, https://doi.org/10.1016/j.jbusres.2019.09.022</w:t>
      </w:r>
    </w:p>
    <w:p>
      <w:pPr>
        <w:pStyle w:val="BodyText"/>
      </w:pPr>
      <w:r>
        <w:t xml:space="preserve">Vernon, R. (1979),</w:t>
      </w:r>
      <w:r>
        <w:t xml:space="preserve"> </w:t>
      </w:r>
      <w:r>
        <w:t xml:space="preserve">“</w:t>
      </w:r>
      <w:r>
        <w:t xml:space="preserve">The product cycle hypothesis in a new international environment</w:t>
      </w:r>
      <w:r>
        <w:t xml:space="preserve">”</w:t>
      </w:r>
      <w:r>
        <w:t xml:space="preserve">,</w:t>
      </w:r>
      <w:r>
        <w:t xml:space="preserve"> </w:t>
      </w:r>
      <w:r>
        <w:rPr>
          <w:iCs/>
          <w:i/>
        </w:rPr>
        <w:t xml:space="preserve">Oxford Bulletin of Economics and Statistics</w:t>
      </w:r>
      <w:r>
        <w:t xml:space="preserve">, Vol. 41 No. 4, pp.255-267, https://doi.org/10.1111/j.1468-0084.1979.mp41004002.x</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pp.118-144, https://doi.org/10.1016/j.jsis.2019.01.003</w:t>
      </w:r>
    </w:p>
    <w:p>
      <w:pPr>
        <w:pStyle w:val="BodyText"/>
      </w:pPr>
      <w:r>
        <w:t xml:space="preserve">Wagner, J. (2007),</w:t>
      </w:r>
      <w:r>
        <w:t xml:space="preserve"> </w:t>
      </w:r>
      <w:r>
        <w:t xml:space="preserve">“</w:t>
      </w:r>
      <w:r>
        <w:t xml:space="preserve">Exports and productivity: a survey of the evidence from firm-level data</w:t>
      </w:r>
      <w:r>
        <w:t xml:space="preserve">”</w:t>
      </w:r>
      <w:r>
        <w:t xml:space="preserve">,</w:t>
      </w:r>
      <w:r>
        <w:t xml:space="preserve"> </w:t>
      </w:r>
      <w:r>
        <w:rPr>
          <w:iCs/>
          <w:i/>
        </w:rPr>
        <w:t xml:space="preserve">The World Economy</w:t>
      </w:r>
      <w:r>
        <w:t xml:space="preserve">, Vol. 30 No. 1, pp.60-82, https://doi.org/10.1111/j.1467-9701.2007.00872.x</w:t>
      </w:r>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 https://www.enterprisesurveys.org/en/enterprisesurveys (accessed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 https://www.enterprisesurveys.org/en/enterprisesurveys (accessed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 https://www.enterprisesurveys.org/en/enterprisesurveys (accessed 9 May 2026).</w:t>
      </w:r>
    </w:p>
    <w:p>
      <w:pPr>
        <w:pStyle w:val="BodyText"/>
      </w:pPr>
      <w:r>
        <w:t xml:space="preserve">World Bank (2025b),</w:t>
      </w:r>
      <w:r>
        <w:t xml:space="preserve"> </w:t>
      </w:r>
      <w:r>
        <w:rPr>
          <w:iCs/>
          <w:i/>
        </w:rPr>
        <w:t xml:space="preserve">Viet Nam Economic Update: Nurturing High-Tech Talents</w:t>
      </w:r>
      <w:r>
        <w:t xml:space="preserve"> </w:t>
      </w:r>
      <w:r>
        <w:t xml:space="preserve">(Taking Stock, September 2025), World Bank Group, Washington, DC.</w:t>
      </w:r>
    </w:p>
    <w:p>
      <w:pPr>
        <w:pStyle w:val="BodyText"/>
      </w:pPr>
      <w:r>
        <w:t xml:space="preserve">World Bank (2025c),</w:t>
      </w:r>
      <w:r>
        <w:t xml:space="preserve"> </w:t>
      </w:r>
      <w:r>
        <w:rPr>
          <w:iCs/>
          <w:i/>
        </w:rPr>
        <w:t xml:space="preserve">Viet Nam Economy Snapshot: Finance, Competitiveness and Innovation</w:t>
      </w:r>
      <w:r>
        <w:t xml:space="preserve"> </w:t>
      </w:r>
      <w:r>
        <w:t xml:space="preserve">(Prosperity Data360), World Bank Group, available at: https://www.worldbank.org/ext/en/country/vietnam (accessed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 https://databank.worldbank.org/source/world-development-indicators (accessed 9 May 2026).</w:t>
      </w:r>
    </w:p>
    <w:p>
      <w:pPr>
        <w:pStyle w:val="BodyText"/>
      </w:pPr>
      <w:r>
        <w:t xml:space="preserve">Wright, M., Filatotchev, I., Hoskisson, R.E. and Peng, M.W. (2005),</w:t>
      </w:r>
      <w:r>
        <w:t xml:space="preserve"> </w:t>
      </w:r>
      <w:r>
        <w:t xml:space="preserve">“</w:t>
      </w:r>
      <w:r>
        <w:t xml:space="preserve">Strategy research in emerging economies: challenging the conventional wisdom</w:t>
      </w:r>
      <w:r>
        <w:t xml:space="preserve">”</w:t>
      </w:r>
      <w:r>
        <w:t xml:space="preserve">,</w:t>
      </w:r>
      <w:r>
        <w:t xml:space="preserve"> </w:t>
      </w:r>
      <w:r>
        <w:rPr>
          <w:iCs/>
          <w:i/>
        </w:rPr>
        <w:t xml:space="preserve">Journal of Management Studies</w:t>
      </w:r>
      <w:r>
        <w:t xml:space="preserve">, Vol. 42 No. 1, pp.1-33, https://doi.org/10.1111/j.1467-6486.2005.00487.x</w:t>
      </w:r>
    </w:p>
    <w:p>
      <w:pPr>
        <w:pStyle w:val="BodyText"/>
      </w:pPr>
      <w:r>
        <w:t xml:space="preserve">Wu, F., Fan, D. and Chen, L. (2022),</w:t>
      </w:r>
      <w:r>
        <w:t xml:space="preserve"> </w:t>
      </w:r>
      <w:r>
        <w:t xml:space="preserve">“</w:t>
      </w:r>
      <w:r>
        <w:t xml:space="preserve">Untangling the internationalization-performance relationship in emerging-economy multinationals: a meta-analytic review</w:t>
      </w:r>
      <w:r>
        <w:t xml:space="preserve">”</w:t>
      </w:r>
      <w:r>
        <w:t xml:space="preserve">,</w:t>
      </w:r>
      <w:r>
        <w:t xml:space="preserve"> </w:t>
      </w:r>
      <w:r>
        <w:rPr>
          <w:iCs/>
          <w:i/>
        </w:rPr>
        <w:t xml:space="preserve">Management International Review</w:t>
      </w:r>
      <w:r>
        <w:t xml:space="preserve">, Vol. 62 No. 2, pp.203-243, https://doi.org/10.1007/s11575-022-00466-1</w:t>
      </w:r>
    </w:p>
    <w:p>
      <w:pPr>
        <w:pStyle w:val="BodyText"/>
      </w:pPr>
      <w:r>
        <w:t xml:space="preserve">Wu, J., Wang, C., Hong, J., Piperopoulos, P. and Zhuo, S. (2016),</w:t>
      </w:r>
      <w:r>
        <w:t xml:space="preserve"> </w:t>
      </w:r>
      <w:r>
        <w:t xml:space="preserve">“</w:t>
      </w:r>
      <w:r>
        <w:t xml:space="preserve">Internationalization and innovation performance of emerging market enterprises: the role of host-country institutional development</w:t>
      </w:r>
      <w:r>
        <w:t xml:space="preserve">”</w:t>
      </w:r>
      <w:r>
        <w:t xml:space="preserve">,</w:t>
      </w:r>
      <w:r>
        <w:t xml:space="preserve"> </w:t>
      </w:r>
      <w:r>
        <w:rPr>
          <w:iCs/>
          <w:i/>
        </w:rPr>
        <w:t xml:space="preserve">Journal of World Business</w:t>
      </w:r>
      <w:r>
        <w:t xml:space="preserve">, Vol. 51 No. 2, pp.251-263, https://doi.org/10.1016/j.jwb.2015.09.001</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2026-06-20T21:09:49Z</dcterms:created>
  <dcterms:modified xsi:type="dcterms:W3CDTF">2026-06-20T21:09:49Z</dcterms:modified>
</cp:coreProperties>
</file>

<file path=docProps/custom.xml><?xml version="1.0" encoding="utf-8"?>
<Properties xmlns="http://schemas.openxmlformats.org/officeDocument/2006/custom-properties" xmlns:vt="http://schemas.openxmlformats.org/officeDocument/2006/docPropsVTypes"/>
</file>