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 to 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t xml:space="preserve">World Bank Enterprise Survey microdata</w:t>
      </w:r>
      <w:r>
        <w:t xml:space="preserve"> </w:t>
      </w:r>
      <w:r>
        <w:t xml:space="preserve">for China (2012, N = 2,610; 2024, N = 1,934; pooled N = 4,544;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t xml:space="preserve">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t xml:space="preserve">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49.4 %)</w:t>
      </w:r>
      <w:r>
        <w:t xml:space="preserve"> </w:t>
      </w:r>
      <w:r>
        <w:t xml:space="preserve">and 2024 (turning point 47.2 %) waves, with overlapping 95 %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 = +0.82, p = .412; FSTS²</w:t>
      </w:r>
      <w:r>
        <w:t xml:space="preserve"> </w:t>
      </w:r>
      <w:r>
        <w:t xml:space="preserve">z = −0.61, p = 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 = 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48 % export intensity regardless of decade.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 2 develops</w:t>
      </w:r>
      <w:r>
        <w:t xml:space="preserve"> </w:t>
      </w:r>
      <w:r>
        <w:t xml:space="preserve">the theoretical framework and hypotheses. Section 3 describes data,</w:t>
      </w:r>
      <w:r>
        <w:t xml:space="preserve"> </w:t>
      </w:r>
      <w:r>
        <w:t xml:space="preserve">variables, and methods. Section 4 presents results. Section 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theory-and-hypotheses"/>
    <w:p>
      <w:pPr>
        <w:pStyle w:val="Heading2"/>
      </w:pPr>
      <w:r>
        <w:t xml:space="preserve">2. Theory and Hypotheses</w:t>
      </w:r>
    </w:p>
    <w:bookmarkStart w:id="23" w:name="X80f1b9a6838da6506200db77e2279c8969787f1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40–60 %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temporal-stability-of-the-ip-curvature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</w:t>
      </w:r>
      <w:r>
        <w:t xml:space="preserve"> </w:t>
      </w:r>
      <w:r>
        <w:t xml:space="preserve">“</w:t>
      </w:r>
      <w:r>
        <w:t xml:space="preserve">wave-specific</w:t>
      </w:r>
      <w:r>
        <w:t xml:space="preserve">”</w:t>
      </w:r>
      <w:r>
        <w:t xml:space="preserve"> </w:t>
      </w:r>
      <w:r>
        <w:t xml:space="preserve">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China’s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China’s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technological-capability-as-a-moderator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Section 4.5.</w:t>
      </w:r>
    </w:p>
    <w:bookmarkEnd w:id="25"/>
    <w:bookmarkEnd w:id="26"/>
    <w:bookmarkStart w:id="30" w:name="data-and-methods"/>
    <w:p>
      <w:pPr>
        <w:pStyle w:val="Heading2"/>
      </w:pPr>
      <w:r>
        <w:t xml:space="preserve">3. Data and Methods</w:t>
      </w:r>
    </w:p>
    <w:bookmarkStart w:id="27" w:name="data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2,700 firms; World Bank, 2013) and</w:t>
      </w:r>
      <w:r>
        <w:t xml:space="preserve"> </w:t>
      </w:r>
      <w:r>
        <w:t xml:space="preserve">2024 (2,189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2,619 firms in 2012, 1,940 firms in</w:t>
      </w:r>
      <w:r>
        <w:t xml:space="preserve"> </w:t>
      </w:r>
      <w:r>
        <w:t xml:space="preserve">2024, and 4,559 firm‑year observations in the pooled sample. The 2024</w:t>
      </w:r>
      <w:r>
        <w:t xml:space="preserve"> </w:t>
      </w:r>
      <w:r>
        <w:t xml:space="preserve">sample is smaller than 2012 (N = 1,940 vs N = 2,619,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Section 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2,619 firms in 2012, 1,940 firms in 2024, and 4,559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2,610 (2012), 1,934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4,544 (pooled)</w:t>
      </w:r>
      <w:r>
        <w:t xml:space="preserve">, these are the N reported throughout the</w:t>
      </w:r>
      <w:r>
        <w:t xml:space="preserve"> </w:t>
      </w:r>
      <w:r>
        <w:t xml:space="preserve">paper (abstract, Table 1, Table 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(49.4 % in 2012, 47.2 % in 2024, 48.8 %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1,940 of 2,189 firms (88.6 %).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1,934 observations and the pooled</w:t>
      </w:r>
      <w:r>
        <w:t xml:space="preserve"> </w:t>
      </w:r>
      <w:r>
        <w:t xml:space="preserve">sample to 4,544. Turning-point estimates (47.2 %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measures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10 %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estimation-strategy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4,559 observations, 217 firms appear in</w:t>
      </w:r>
      <w:r>
        <w:t xml:space="preserve"> </w:t>
      </w:r>
      <w:r>
        <w:t xml:space="preserve">both the 2012 and 2024 waves (the</w:t>
      </w:r>
      <w:r>
        <w:t xml:space="preserve"> </w:t>
      </w:r>
      <w:r>
        <w:t xml:space="preserve">‘</w:t>
      </w:r>
      <w:r>
        <w:t xml:space="preserve">panel core</w:t>
      </w:r>
      <w:r>
        <w:t xml:space="preserve">’</w:t>
      </w:r>
      <w:r>
        <w:t xml:space="preserve">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95 %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results"/>
    <w:p>
      <w:pPr>
        <w:pStyle w:val="Heading2"/>
      </w:pPr>
      <w:r>
        <w:t xml:space="preserve">4. Results</w:t>
      </w:r>
    </w:p>
    <w:bookmarkStart w:id="31" w:name="descriptive-statistics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2,610) has mean log labour productivity of 12.52 (SD</w:t>
      </w:r>
      <w:r>
        <w:t xml:space="preserve"> </w:t>
      </w:r>
      <w:r>
        <w:t xml:space="preserve">1.19) and mean export intensity of 5.2 %, with 19.4 % of firms reporting</w:t>
      </w:r>
      <w:r>
        <w:t xml:space="preserve"> </w:t>
      </w:r>
      <w:r>
        <w:t xml:space="preserve">any positive direct-export intensity. The 2024 wave (N = 1,934)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3.6 %, with 12.4 %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1,639 firms in 2012 (63 %) and 1,920 firms in</w:t>
      </w:r>
      <w:r>
        <w:t xml:space="preserve"> </w:t>
      </w:r>
      <w:r>
        <w:t xml:space="preserve">2024 (99 %),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1875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main-threshold-results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49.4 % (95 % CI: 43.1–55.7 %) in 2012 and</w:t>
      </w:r>
      <w:r>
        <w:t xml:space="preserve"> </w:t>
      </w:r>
      <w:r>
        <w:t xml:space="preserve">47.2 % (95 % CI: 40.8–53.6 %)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China’s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4,544) yields FSTS β = +1.24 (p &lt; .001) and FSTS²</w:t>
      </w:r>
      <w:r>
        <w:t xml:space="preserve"> </w:t>
      </w:r>
      <w:r>
        <w:t xml:space="preserve">β = −1.55 (p &lt; .001), with turning point at 48.8 % (95 % CI:</w:t>
      </w:r>
      <w:r>
        <w:t xml:space="preserve"> </w:t>
      </w:r>
      <w:r>
        <w:t xml:space="preserve">44.2–53.4 %).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43"/>
        <w:gridCol w:w="1958"/>
        <w:gridCol w:w="1958"/>
        <w:gridCol w:w="19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95 %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Delta-method 95 % confidence intervals for the</w:t>
      </w:r>
      <w:r>
        <w:t xml:space="preserve"> </w:t>
      </w:r>
      <w:r>
        <w:t xml:space="preserve">turning-point estimates in 2012 (49.4 %) and 2024 (47.2 %).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predicted-ip-curves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 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95 % pointwise CIs.</w:t>
      </w:r>
    </w:p>
    <w:bookmarkEnd w:id="33"/>
    <w:bookmarkStart w:id="34" w:name="capability-moderation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01"/>
        <w:gridCol w:w="1508"/>
        <w:gridCol w:w="754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 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95 %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mechanism-analysis-digital-adoption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to lnLP relationship via a sequential</w:t>
      </w:r>
      <w:r>
        <w:t xml:space="preserve"> </w:t>
      </w:r>
      <w:r>
        <w:t xml:space="preserve">mediation path (TCI_full to DAI_core to lnLP). Bootstrap indirect-effect</w:t>
      </w:r>
      <w:r>
        <w:t xml:space="preserve"> </w:t>
      </w:r>
      <w:r>
        <w:t xml:space="preserve">estimates (n = 1,000 draws) yield small but positive indirect effects</w:t>
      </w:r>
      <w:r>
        <w:t xml:space="preserve"> </w:t>
      </w:r>
      <w:r>
        <w:t xml:space="preserve">(2012: +0.018, 95 % CI [0.004, 0.039]; 2024: +0.022, 95 %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</w:t>
      </w:r>
      <w:r>
        <w:t xml:space="preserve"> </w:t>
      </w:r>
      <w:r>
        <w:t xml:space="preserve">“</w:t>
      </w:r>
      <w:r>
        <w:t xml:space="preserve">descriptive mechanism sketch</w:t>
      </w:r>
      <w:r>
        <w:t xml:space="preserve">”</w:t>
      </w:r>
      <w:r>
        <w:t xml:space="preserve"> </w:t>
      </w:r>
      <w:r>
        <w:t xml:space="preserve">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robustness-checks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48.1 % (2012) and 46.4 %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47.9 % in 2012 and 45.7 %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44.8 % to 51.3 %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discussion"/>
    <w:p>
      <w:pPr>
        <w:pStyle w:val="Heading2"/>
      </w:pPr>
      <w:r>
        <w:t xml:space="preserve">5. Discussion</w:t>
      </w:r>
    </w:p>
    <w:bookmarkStart w:id="38" w:name="temporal-stability-of-the-ip-threshold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49.4 % (2012)</w:t>
      </w:r>
      <w:r>
        <w:t xml:space="preserve"> </w:t>
      </w:r>
      <w:r>
        <w:t xml:space="preserve">and 47.2 % (2024) are statistically indistinguishable by the Paternoster</w:t>
      </w:r>
      <w:r>
        <w:t xml:space="preserve"> </w:t>
      </w:r>
      <w:r>
        <w:t xml:space="preserve">test, and the pooled estimate (48.8 %)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 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48 %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433fb1e034c39d563b08fc3391a6162a4e2331e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</w:t>
      </w:r>
      <w:r>
        <w:t xml:space="preserve"> </w:t>
      </w:r>
      <w:r>
        <w:t xml:space="preserve">“</w:t>
      </w:r>
      <w:r>
        <w:t xml:space="preserve">level-shifter</w:t>
      </w:r>
      <w:r>
        <w:t xml:space="preserve">”</w:t>
      </w:r>
      <w:r>
        <w:t xml:space="preserve">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 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 to 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digital-adoption-as-baseline-control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(Section 4.5) suggests a partial mediation</w:t>
      </w:r>
      <w:r>
        <w:t xml:space="preserve"> </w:t>
      </w:r>
      <w:r>
        <w:t xml:space="preserve">pathway (TCI to DAI to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limitations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Five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(Section 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 Fifth, the durability inference rests on a failure to reject cross-wave coefficient equality (the Paternoster tests are non-significant) rather than on a formal equivalence test; non-rejection does not by itself establish stability. The inference is nonetheless supported by the near-identical point estimates (turning points of 49.4 and 47.2 per cent; linear coefficients of 0.94 and 1.03 across the two waves) and the very small test statistics, which indicate genuine consistency rather than a borderline, underpowered non-rejection. A two-one-sided-tests equivalence procedure on future multi-wave data would place the durability claim on firmer inferential ground.</w:t>
      </w:r>
    </w:p>
    <w:bookmarkEnd w:id="41"/>
    <w:bookmarkStart w:id="42" w:name="future-research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(Authors,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(49.4 %</w:t>
      </w:r>
      <w:r>
        <w:t xml:space="preserve"> </w:t>
      </w:r>
      <w:r>
        <w:t xml:space="preserve">and 47.2 %)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r>
          <w:rPr>
            <w:rStyle w:val="Hyperlink"/>
          </w:rPr>
          <w:t xml:space="preserve">www.enterprisesurveys.org</w:t>
        </w:r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7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&amp;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0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&amp;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1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&amp;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2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Authors (2026). Details omitted for double-blind review.</w:t>
      </w:r>
    </w:p>
    <w:p>
      <w:pPr>
        <w:pStyle w:val="BodyText"/>
      </w:pPr>
      <w:r>
        <w:t xml:space="preserve">Haans, R. F. J., Pieters, C., &amp;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3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&amp;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4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&amp;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5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&amp;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56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57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&amp;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58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&amp;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59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&amp;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0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1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&amp;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2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&amp; Beugelsdijk, S. (2017). What’s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3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&amp;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4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&amp;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5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&amp;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66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&amp;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67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68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69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0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&amp;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1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2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3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4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&amp;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5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python/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results/</w:t>
      </w:r>
      <w:r>
        <w:rPr>
          <w:iCs/>
          <w:i/>
        </w:rPr>
        <w:t xml:space="preserve">, and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76"/>
    <w:bookmarkEnd w:id="77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2026-06-20T21:09:53Z</dcterms:created>
  <dcterms:modified xsi:type="dcterms:W3CDTF">2026-06-20T21:09:53Z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