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 to P) relationship</w:t>
      </w:r>
      <w:r>
        <w:t xml:space="preserve"> </w:t>
      </w:r>
      <w:r>
        <w:t xml:space="preserve">three theoretically motivated moderators that prior meta-analyses have</w:t>
      </w:r>
      <w:r>
        <w:t xml:space="preserve"> </w:t>
      </w:r>
      <w:r>
        <w:t xml:space="preserve">not examined. 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t xml:space="preserve">This is the first three-level MARA of I to 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 to 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 to 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 to 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 to 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 to 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 to P effect</w:t>
      </w:r>
      <w:r>
        <w:t xml:space="preserve"> </w:t>
      </w:r>
      <w:r>
        <w:t xml:space="preserve">sizes if digital platforms reshape internationalization economics. This</w:t>
      </w:r>
      <w:r>
        <w:t xml:space="preserve"> </w:t>
      </w:r>
      <w:r>
        <w:t xml:space="preserve">temporal moderator has never been systematically coded in I to 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 to 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 to P.</w:t>
      </w:r>
      <w:r>
        <w:t xml:space="preserve"> </w:t>
      </w:r>
      <w:r>
        <w:rPr>
          <w:iCs/>
          <w:i/>
        </w:rPr>
        <w:t xml:space="preserve">(Theoretical)</w:t>
      </w:r>
      <w:r>
        <w:t xml:space="preserve">: (4) First meta-analytic test of an ICRV 5-regime</w:t>
      </w:r>
      <w:r>
        <w:t xml:space="preserve"> </w:t>
      </w:r>
      <w:r>
        <w:t xml:space="preserve">framework applied to a globally representative I to 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 to 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 to 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perspectives connect the three new moderators to established I to 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 to 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540836a8513ba9de5814d94e6c774912d657db6"/>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 to 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digital-paradox-lifecycle-h2"/>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 to 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cdai-as-amplifier-h3"/>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 to 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publication-bias-as-a-formal-null-h4"/>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conceptual-model"/>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 to P pooled effect, with publication bias (H4) assessed at the synthesis level. The model nests K = 288 effects within k = 238 studies (σ²_within = 0.00878, I²₍₂₎ = 54.1%) within between-study heterogeneity (σ²_between = 0.00136, I²₍₃₎ = 8.4%); total I² = 62.4%.</w:t>
      </w:r>
    </w:p>
    <w:bookmarkEnd w:id="27"/>
    <w:bookmarkEnd w:id="28"/>
    <w:bookmarkStart w:id="35" w:name="method"/>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search-strategy"/>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eligibility-and-selection"/>
    <w:p>
      <w:pPr>
        <w:pStyle w:val="Heading3"/>
      </w:pPr>
      <w:r>
        <w:t xml:space="preserve">3.2 Eligibility and selection</w:t>
      </w:r>
    </w:p>
    <w:p>
      <w:pPr>
        <w:pStyle w:val="FirstParagraph"/>
      </w:pPr>
      <w:r>
        <w:t xml:space="preserve">The two authors independently applied criteria in two stages (title/abstract, then full text), resolving disagreements by discussion.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synthesized corpus is k = 238 studies, K = 288 effect sizes, assembled by citation-anchored systematic searching rather than an exhaustive database census; the flow is reported under the PRISMA 2020</w:t>
      </w:r>
      <w:r>
        <w:t xml:space="preserve"> </w:t>
      </w:r>
      <w:r>
        <w:t xml:space="preserve">“</w:t>
      </w:r>
      <w:r>
        <w:t xml:space="preserve">studies identified via other methods</w:t>
      </w:r>
      <w:r>
        <w:t xml:space="preserve">”</w:t>
      </w:r>
      <w:r>
        <w:t xml:space="preserve"> </w:t>
      </w:r>
      <w:r>
        <w:t xml:space="preserve">variant (Appendix A, supplementary).</w:t>
      </w:r>
    </w:p>
    <w:bookmarkEnd w:id="30"/>
    <w:bookmarkStart w:id="31" w:name="extraction-and-reliability"/>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(the simplified form of Peterson &amp; Brown’s (2005) estimator 0.98β + 0.05λ; identical for negative β and conservative for positive β);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 to 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moderators"/>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three-level-mara"/>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publication-bias-and-robustness"/>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results"/>
    <w:p>
      <w:pPr>
        <w:pStyle w:val="Heading2"/>
      </w:pPr>
      <w:r>
        <w:t xml:space="preserve">4. Results</w:t>
      </w:r>
    </w:p>
    <w:bookmarkStart w:id="36"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36"/>
    <w:bookmarkStart w:id="37"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Section 4.3–4.5 do not</w:t>
      </w:r>
      <w:r>
        <w:t xml:space="preserve"> </w:t>
      </w:r>
      <w:r>
        <w:t xml:space="preserve">resolve this heterogeneity significantly.</w:t>
      </w:r>
    </w:p>
    <w:bookmarkEnd w:id="37"/>
    <w:bookmarkStart w:id="38"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 to 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 to 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 to 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39"/>
    <w:bookmarkStart w:id="40"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 to 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 to 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(Section 4.3–4.5), the publication bias evidence suggests that the</w:t>
      </w:r>
      <w:r>
        <w:t xml:space="preserve"> </w:t>
      </w:r>
      <w:r>
        <w:t xml:space="preserve">apparent average I to 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discussion"/>
    <w:p>
      <w:pPr>
        <w:pStyle w:val="Heading2"/>
      </w:pPr>
      <w:r>
        <w:t xml:space="preserve">5. Discussion</w:t>
      </w:r>
    </w:p>
    <w:bookmarkStart w:id="44"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(Authors,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Authors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 to P effect; it instead reflects the</w:t>
      </w:r>
      <w:r>
        <w:t xml:space="preserve"> </w:t>
      </w:r>
      <w:r>
        <w:t xml:space="preserve">near-impossibility of drawing meta-analytic conclusions when only three</w:t>
      </w:r>
      <w:r>
        <w:t xml:space="preserve"> </w:t>
      </w:r>
      <w:r>
        <w:t xml:space="preserve">studies populate a regime cell. The actual Frontier I to 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 to 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 to 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theoretical-contributions"/>
    <w:p>
      <w:pPr>
        <w:pStyle w:val="Heading3"/>
      </w:pPr>
      <w:r>
        <w:t xml:space="preserve">5.2 Theoretical Contributions</w:t>
      </w:r>
    </w:p>
    <w:p>
      <w:pPr>
        <w:pStyle w:val="FirstParagraph"/>
      </w:pPr>
      <w:r>
        <w:rPr>
          <w:bCs/>
          <w:b/>
        </w:rPr>
        <w:t xml:space="preserve">Contribution 1: Largest globally representative I to 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 to 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 to 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 to 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 to 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 to P relationship</w:t>
      </w:r>
      <w:r>
        <w:t xml:space="preserve">”</w:t>
      </w:r>
      <w:r>
        <w:t xml:space="preserve"> </w:t>
      </w:r>
      <w:r>
        <w:t xml:space="preserve">is partially an</w:t>
      </w:r>
      <w:r>
        <w:t xml:space="preserve"> </w:t>
      </w:r>
      <w:r>
        <w:t xml:space="preserve">artifact of selective publication rather than a robust phenomenon.</w:t>
      </w:r>
    </w:p>
    <w:bookmarkEnd w:id="45"/>
    <w:bookmarkStart w:id="46"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 to 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 to 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 to 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 to 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 to 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 to 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 to 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6"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Authors (2024). Details omitted for double-blind review.</w:t>
      </w:r>
    </w:p>
    <w:p>
      <w:pPr>
        <w:pStyle w:val="BodyText"/>
      </w:pPr>
      <w:r>
        <w:t xml:space="preserve">Authors (2025). Details omitted for double-blind review.</w:t>
      </w:r>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4">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5">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6"/>
    <w:bookmarkEnd w:id="5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doi.org/10.1136/bmj.n71" TargetMode="External" /><Relationship Type="http://schemas.openxmlformats.org/officeDocument/2006/relationships/hyperlink" Id="rId55"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136/bmj.n71" TargetMode="External" /><Relationship Type="http://schemas.openxmlformats.org/officeDocument/2006/relationships/hyperlink" Id="rId55"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2026-06-20T21:09:55Z</dcterms:created>
  <dcterms:modified xsi:type="dcterms:W3CDTF">2026-06-20T21:09:55Z</dcterms:modified>
</cp:coreProperties>
</file>

<file path=docProps/custom.xml><?xml version="1.0" encoding="utf-8"?>
<Properties xmlns="http://schemas.openxmlformats.org/officeDocument/2006/custom-properties" xmlns:vt="http://schemas.openxmlformats.org/officeDocument/2006/docPropsVTypes"/>
</file>