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f24ec467481d62a742d363f12c684976d74bdf7"/>
    <w:p>
      <w:pPr>
        <w:pStyle w:val="Heading1"/>
      </w:pPr>
      <w:r>
        <w:t xml:space="preserve">Internationalization and Firm Performance across 49 Asian and Pacific Economies: Institutional Regimes, Digital Capabilities, and Managerial Characteristics as Contingency Factors</w:t>
      </w:r>
    </w:p>
    <w:bookmarkStart w:id="20" w:name="abstract"/>
    <w:p>
      <w:pPr>
        <w:pStyle w:val="Heading2"/>
      </w:pPr>
      <w:r>
        <w:t xml:space="preserve">Abstract</w:t>
      </w:r>
    </w:p>
    <w:p>
      <w:pPr>
        <w:pStyle w:val="FirstParagraph"/>
      </w:pPr>
      <w:r>
        <w:t xml:space="preserve">We examine whether the internationalization–performance (I–P)</w:t>
      </w:r>
      <w:r>
        <w:t xml:space="preserve"> </w:t>
      </w:r>
      <w:r>
        <w:t xml:space="preserve">relationship holds across a large and institutionally diverse set of</w:t>
      </w:r>
      <w:r>
        <w:t xml:space="preserve"> </w:t>
      </w:r>
      <w:r>
        <w:t xml:space="preserve">Asian and Pacific economies and identify the conditions under which</w:t>
      </w:r>
      <w:r>
        <w:t xml:space="preserve"> </w:t>
      </w:r>
      <w:r>
        <w:t xml:space="preserve">firms convert export intensity into productive performance. Using</w:t>
      </w:r>
      <w:r>
        <w:t xml:space="preserve"> </w:t>
      </w:r>
      <w:r>
        <w:t xml:space="preserve">microdata from 91,982 firms across 49 economies and 102 country-year</w:t>
      </w:r>
      <w:r>
        <w:t xml:space="preserve"> </w:t>
      </w:r>
      <w:r>
        <w:t xml:space="preserve">waves of the World Bank Enterprise Survey (2003–2025), spanning all six</w:t>
      </w:r>
      <w:r>
        <w:t xml:space="preserve"> </w:t>
      </w:r>
      <w:r>
        <w:t xml:space="preserve">Institutional Capability and Resource Vulnerability (ICRV) regime</w:t>
      </w:r>
      <w:r>
        <w:t xml:space="preserve"> </w:t>
      </w:r>
      <w:r>
        <w:t xml:space="preserve">groups, we estimate a hierarchical set of OLS models with HC1 robust</w:t>
      </w:r>
      <w:r>
        <w:t xml:space="preserve"> </w:t>
      </w:r>
      <w:r>
        <w:t xml:space="preserve">standard errors. We find robust support for an inverted-U I–P</w:t>
      </w:r>
      <w:r>
        <w:t xml:space="preserve"> </w:t>
      </w:r>
      <w:r>
        <w:t xml:space="preserve">relationship with a turning point of 40.0% of sales from exports in the fully specified two-way fixed-effects model (M5; Lind–Mehlum test p &lt; .001; 33.8–40.0% across specifications; confirmed in M11 at TP=34.6%, p=.002). Technological capability (TCI) raises the performance level</w:t>
      </w:r>
      <w:r>
        <w:t xml:space="preserve"> </w:t>
      </w:r>
      <w:r>
        <w:t xml:space="preserve">without reliably reshaping the curve. Digital adoption (DAI) both raises</w:t>
      </w:r>
      <w:r>
        <w:t xml:space="preserve"> </w:t>
      </w:r>
      <w:r>
        <w:t xml:space="preserve">the performance level and significantly reshapes the I–P curve: firms</w:t>
      </w:r>
      <w:r>
        <w:t xml:space="preserve"> </w:t>
      </w:r>
      <w:r>
        <w:t xml:space="preserve">with higher DAI experience compressed ascending-limb returns at low FSTS</w:t>
      </w:r>
      <w:r>
        <w:t xml:space="preserve"> </w:t>
      </w:r>
      <w:r>
        <w:t xml:space="preserve">and attenuated performance decline at high FSTS (FSTS×DAI p &lt; .01;</w:t>
      </w:r>
      <w:r>
        <w:t xml:space="preserve"> </w:t>
      </w:r>
      <w:r>
        <w:t xml:space="preserve">FSTS²×DAI p &lt; .01 in M8–M9). Institutional regime (ICRV) moderates both</w:t>
      </w:r>
      <w:r>
        <w:t xml:space="preserve"> </w:t>
      </w:r>
      <w:r>
        <w:t xml:space="preserve">slope and curvature. Managerial experience and female top management</w:t>
      </w:r>
      <w:r>
        <w:t xml:space="preserve"> </w:t>
      </w:r>
      <w:r>
        <w:t xml:space="preserve">improve performance; experience additionally moderates the curve shape</w:t>
      </w:r>
      <w:r>
        <w:t xml:space="preserve"> </w:t>
      </w:r>
      <w:r>
        <w:t xml:space="preserve">in the full specification. These findings offer a parsimonious</w:t>
      </w:r>
      <w:r>
        <w:t xml:space="preserve"> </w:t>
      </w:r>
      <w:r>
        <w:t xml:space="preserve">resolution to Asian I–P heterogeneity: the relationship is universally</w:t>
      </w:r>
      <w:r>
        <w:t xml:space="preserve"> </w:t>
      </w:r>
      <w:r>
        <w:t xml:space="preserve">inverted-U, but regime quality and digital capability jointly determine</w:t>
      </w:r>
      <w:r>
        <w:t xml:space="preserve"> </w:t>
      </w:r>
      <w:r>
        <w:t xml:space="preserve">where the turning point falls.</w:t>
      </w:r>
    </w:p>
    <w:p>
      <w:pPr>
        <w:pStyle w:val="BodyText"/>
      </w:pPr>
      <w:r>
        <w:rPr>
          <w:bCs/>
          <w:b/>
        </w:rPr>
        <w:t xml:space="preserve">Keywords:</w:t>
      </w:r>
      <w:r>
        <w:t xml:space="preserve"> </w:t>
      </w:r>
      <w:r>
        <w:t xml:space="preserve">internationalization–performance; inverted-U;</w:t>
      </w:r>
      <w:r>
        <w:t xml:space="preserve"> </w:t>
      </w:r>
      <w:r>
        <w:t xml:space="preserve">institutional regime; digital capability; Asia-Pacific; World Bank</w:t>
      </w:r>
      <w:r>
        <w:t xml:space="preserve"> </w:t>
      </w:r>
      <w:r>
        <w:t xml:space="preserve">Enterprise Surveys</w:t>
      </w:r>
    </w:p>
    <w:bookmarkEnd w:id="20"/>
    <w:bookmarkStart w:id="21" w:name="introduction"/>
    <w:p>
      <w:pPr>
        <w:pStyle w:val="Heading2"/>
      </w:pPr>
      <w:r>
        <w:t xml:space="preserve">1. Introduction</w:t>
      </w:r>
    </w:p>
    <w:p>
      <w:pPr>
        <w:pStyle w:val="FirstParagraph"/>
      </w:pPr>
      <w:r>
        <w:t xml:space="preserve">A central question in international business research concerns whether</w:t>
      </w:r>
      <w:r>
        <w:t xml:space="preserve"> </w:t>
      </w:r>
      <w:r>
        <w:t xml:space="preserve">and how export internationalization translates into firm performance (Lu</w:t>
      </w:r>
      <w:r>
        <w:t xml:space="preserve"> </w:t>
      </w:r>
      <w:r>
        <w:t xml:space="preserve">&amp; Beamish, 2004; Johanson &amp; Vahlne, 2009). Meta-analyses document a mean</w:t>
      </w:r>
      <w:r>
        <w:t xml:space="preserve"> </w:t>
      </w:r>
      <w:r>
        <w:t xml:space="preserve">correlation of approximately r = .07 across several thousand studies</w:t>
      </w:r>
      <w:r>
        <w:t xml:space="preserve"> </w:t>
      </w:r>
      <w:r>
        <w:t xml:space="preserve">(Bausch &amp; Krist, 2007; Kirca et al., 2012; Marano et al., 2016), yet the</w:t>
      </w:r>
      <w:r>
        <w:t xml:space="preserve"> </w:t>
      </w:r>
      <w:r>
        <w:t xml:space="preserve">variance across studies vastly exceeds what sampling error can explain.</w:t>
      </w:r>
      <w:r>
        <w:t xml:space="preserve"> </w:t>
      </w:r>
      <w:r>
        <w:t xml:space="preserve">In Asia, a region that accounts for over half of global manufacturing</w:t>
      </w:r>
      <w:r>
        <w:t xml:space="preserve"> </w:t>
      </w:r>
      <w:r>
        <w:t xml:space="preserve">exports (UNCTAD, 2023), the evidence is especially fragmented: prior</w:t>
      </w:r>
      <w:r>
        <w:t xml:space="preserve"> </w:t>
      </w:r>
      <w:r>
        <w:t xml:space="preserve">studies report positive relationships (Pangarkar, 2008; Korea),</w:t>
      </w:r>
      <w:r>
        <w:t xml:space="preserve"> </w:t>
      </w:r>
      <w:r>
        <w:t xml:space="preserve">inverted-U curves (Chiao et al., 2006; Taiwan), or null and negative</w:t>
      </w:r>
      <w:r>
        <w:t xml:space="preserve"> </w:t>
      </w:r>
      <w:r>
        <w:t xml:space="preserve">effects (Mondal et al., 2022; India). The standard explanation invokes</w:t>
      </w:r>
      <w:r>
        <w:t xml:space="preserve"> </w:t>
      </w:r>
      <w:r>
        <w:t xml:space="preserve">context as a moderator (Marano et al., 2016; Kirca et al., 2012), but</w:t>
      </w:r>
      <w:r>
        <w:t xml:space="preserve"> </w:t>
      </w:r>
      <w:r>
        <w:t xml:space="preserve">empirical tests simultaneously across institutionally diverse Asian</w:t>
      </w:r>
      <w:r>
        <w:t xml:space="preserve"> </w:t>
      </w:r>
      <w:r>
        <w:t xml:space="preserve">economies remain rare.</w:t>
      </w:r>
    </w:p>
    <w:p>
      <w:pPr>
        <w:pStyle w:val="BodyText"/>
      </w:pPr>
      <w:r>
        <w:t xml:space="preserve">This paper addresses that gap. We pool 91,982 firm-observations from 49</w:t>
      </w:r>
      <w:r>
        <w:t xml:space="preserve"> </w:t>
      </w:r>
      <w:r>
        <w:t xml:space="preserve">Asian and Pacific economies spanning 2003–2025, harmonised from the</w:t>
      </w:r>
      <w:r>
        <w:t xml:space="preserve"> </w:t>
      </w:r>
      <w:r>
        <w:t xml:space="preserve">World Bank Enterprise Survey (WBES). Our sample spans all six ICRV</w:t>
      </w:r>
      <w:r>
        <w:t xml:space="preserve"> </w:t>
      </w:r>
      <w:r>
        <w:t xml:space="preserve">regime groups, from advanced innovation-driven economies (Singapore,</w:t>
      </w:r>
      <w:r>
        <w:t xml:space="preserve"> </w:t>
      </w:r>
      <w:r>
        <w:t xml:space="preserve">Korea, Taiwan, HongKong, Israel, Cyprus) to Pacific Small Island</w:t>
      </w:r>
      <w:r>
        <w:t xml:space="preserve"> </w:t>
      </w:r>
      <w:r>
        <w:t xml:space="preserve">Developing States (Vanuatu, Solomon Islands, Fiji, Tonga, Samoa,</w:t>
      </w:r>
      <w:r>
        <w:t xml:space="preserve"> </w:t>
      </w:r>
      <w:r>
        <w:t xml:space="preserve">Kiribati, Papua New Guinea, Timor-Leste) and Gulf advanced-resource</w:t>
      </w:r>
      <w:r>
        <w:t xml:space="preserve"> </w:t>
      </w:r>
      <w:r>
        <w:t xml:space="preserve">economies (Bahrain, Kuwait, Qatar, Brunei, Saudi Arabia, Oman)</w:t>
      </w:r>
      <w:r>
        <w:t xml:space="preserve"> </w:t>
      </w:r>
      <w:r>
        <w:t xml:space="preserve">classified through the Institutional Capability and Resource</w:t>
      </w:r>
      <w:r>
        <w:t xml:space="preserve"> </w:t>
      </w:r>
      <w:r>
        <w:t xml:space="preserve">Vulnerability (ICRV) framework that anchors the broader dissertation</w:t>
      </w:r>
      <w:r>
        <w:t xml:space="preserve"> </w:t>
      </w:r>
      <w:r>
        <w:t xml:space="preserve">programme of which this study is part.</w:t>
      </w:r>
    </w:p>
    <w:p>
      <w:pPr>
        <w:pStyle w:val="BodyText"/>
      </w:pPr>
      <w:r>
        <w:t xml:space="preserve">Our contributions are threefold. First, we provide the largest</w:t>
      </w:r>
      <w:r>
        <w:t xml:space="preserve"> </w:t>
      </w:r>
      <w:r>
        <w:t xml:space="preserve">WBES-based test of the inverted-U I–P hypothesis in Asia, confirming an inverted-U whose turning point is 40.0% foreign sales intensity in the fully specified model (M5), within a narrow 33.8–40.0% band across all specifications (N = 84,910–29,840), robust even in the full three-way</w:t>
      </w:r>
      <w:r>
        <w:t xml:space="preserve"> </w:t>
      </w:r>
      <w:r>
        <w:t xml:space="preserve">moderation model (M11: TP=34.6%, LM p=.002). Second, we document that</w:t>
      </w:r>
      <w:r>
        <w:t xml:space="preserve"> </w:t>
      </w:r>
      <w:r>
        <w:t xml:space="preserve">digital adoption (DAI) is the primary capability moderator that reshapes</w:t>
      </w:r>
      <w:r>
        <w:t xml:space="preserve"> </w:t>
      </w:r>
      <w:r>
        <w:t xml:space="preserve">the I–P curve, generating significant curve compression effects</w:t>
      </w:r>
      <w:r>
        <w:t xml:space="preserve"> </w:t>
      </w:r>
      <w:r>
        <w:t xml:space="preserve">(FSTS×DAI p&lt;.001) that emerge even without controlling for manager</w:t>
      </w:r>
      <w:r>
        <w:t xml:space="preserve"> </w:t>
      </w:r>
      <w:r>
        <w:t xml:space="preserve">characteristics. Technological capability (TCI) raises the performance</w:t>
      </w:r>
      <w:r>
        <w:t xml:space="preserve"> </w:t>
      </w:r>
      <w:r>
        <w:t xml:space="preserve">level but does not reliably reshape the ascending limb across this</w:t>
      </w:r>
      <w:r>
        <w:t xml:space="preserve"> </w:t>
      </w:r>
      <w:r>
        <w:t xml:space="preserve">sample. Third, we document that institutional regime (ICRV group)</w:t>
      </w:r>
      <w:r>
        <w:t xml:space="preserve"> </w:t>
      </w:r>
      <w:r>
        <w:t xml:space="preserve">systematically moderates both the slope and curvature of the I–P</w:t>
      </w:r>
      <w:r>
        <w:t xml:space="preserve"> </w:t>
      </w:r>
      <w:r>
        <w:t xml:space="preserve">function, with DAI×ICRV interactions (p=.012) indicating that digital</w:t>
      </w:r>
      <w:r>
        <w:t xml:space="preserve"> </w:t>
      </w:r>
      <w:r>
        <w:t xml:space="preserve">capabilities deliver stronger per-unit performance returns in weaker</w:t>
      </w:r>
      <w:r>
        <w:t xml:space="preserve"> </w:t>
      </w:r>
      <w:r>
        <w:t xml:space="preserve">institutional environments.</w:t>
      </w:r>
    </w:p>
    <w:p>
      <w:pPr>
        <w:pStyle w:val="BodyText"/>
      </w:pPr>
      <w:r>
        <w:t xml:space="preserve">The remainder of the paper is organised as follows. Section 2 develops</w:t>
      </w:r>
      <w:r>
        <w:t xml:space="preserve"> </w:t>
      </w:r>
      <w:r>
        <w:t xml:space="preserve">the theoretical framework and formal hypotheses. Section 3 describes</w:t>
      </w:r>
      <w:r>
        <w:t xml:space="preserve"> </w:t>
      </w:r>
      <w:r>
        <w:t xml:space="preserve">data and methods. Section 4 presents results. Section 5 discusses</w:t>
      </w:r>
      <w:r>
        <w:t xml:space="preserve"> </w:t>
      </w:r>
      <w:r>
        <w:t xml:space="preserve">implications and limitations. Section 6 concludes.</w:t>
      </w:r>
    </w:p>
    <w:bookmarkEnd w:id="21"/>
    <w:bookmarkStart w:id="29" w:name="theoretical-framework-and-hypotheses"/>
    <w:p>
      <w:pPr>
        <w:pStyle w:val="Heading2"/>
      </w:pPr>
      <w:r>
        <w:t xml:space="preserve">2. Theoretical Framework and Hypotheses</w:t>
      </w:r>
    </w:p>
    <w:bookmarkStart w:id="22" w:name="theoretical-foundations"/>
    <w:p>
      <w:pPr>
        <w:pStyle w:val="Heading3"/>
      </w:pPr>
      <w:r>
        <w:t xml:space="preserve">2.1 Theoretical Foundations</w:t>
      </w:r>
    </w:p>
    <w:p>
      <w:pPr>
        <w:pStyle w:val="FirstParagraph"/>
      </w:pPr>
      <w:r>
        <w:t xml:space="preserve">We draw on four theoretical traditions. The Uppsala model (Johanson &amp;</w:t>
      </w:r>
      <w:r>
        <w:t xml:space="preserve"> </w:t>
      </w:r>
      <w:r>
        <w:t xml:space="preserve">Vahlne, 1977, 2009) describes internationalization as a sequential</w:t>
      </w:r>
      <w:r>
        <w:t xml:space="preserve"> </w:t>
      </w:r>
      <w:r>
        <w:t xml:space="preserve">process in which firms accumulate experiential knowledge, progressively</w:t>
      </w:r>
      <w:r>
        <w:t xml:space="preserve"> </w:t>
      </w:r>
      <w:r>
        <w:t xml:space="preserve">reducing psychic distance and coordination costs. The Resource-Based</w:t>
      </w:r>
      <w:r>
        <w:t xml:space="preserve"> </w:t>
      </w:r>
      <w:r>
        <w:t xml:space="preserve">View (Barney, 1991; Wernerfelt, 1984) positions firm-level capabilities</w:t>
      </w:r>
      <w:r>
        <w:t xml:space="preserve"> </w:t>
      </w:r>
      <w:r>
        <w:t xml:space="preserve">technological, digital, and managerial, as the mediating mechanism</w:t>
      </w:r>
      <w:r>
        <w:t xml:space="preserve"> </w:t>
      </w:r>
      <w:r>
        <w:t xml:space="preserve">linking export exposure to performance outcomes. Institutional Theory</w:t>
      </w:r>
      <w:r>
        <w:t xml:space="preserve"> </w:t>
      </w:r>
      <w:r>
        <w:t xml:space="preserve">(North, 1990; Scott, 2008) directs attention to how country-level formal</w:t>
      </w:r>
      <w:r>
        <w:t xml:space="preserve"> </w:t>
      </w:r>
      <w:r>
        <w:t xml:space="preserve">and informal institutions shape the cost structure of cross-border</w:t>
      </w:r>
      <w:r>
        <w:t xml:space="preserve"> </w:t>
      </w:r>
      <w:r>
        <w:t xml:space="preserve">transactions. Upper Echelons Theory (Hambrick &amp; Mason, 1984; Hambrick,</w:t>
      </w:r>
      <w:r>
        <w:t xml:space="preserve"> </w:t>
      </w:r>
      <w:r>
        <w:t xml:space="preserve">2007) emphasises that top management team attributes moderate how firms</w:t>
      </w:r>
      <w:r>
        <w:t xml:space="preserve"> </w:t>
      </w:r>
      <w:r>
        <w:t xml:space="preserve">respond to strategic opportunities and constraints.</w:t>
      </w:r>
    </w:p>
    <w:bookmarkEnd w:id="22"/>
    <w:bookmarkStart w:id="23" w:name="the-non-linear-ip-relationship-h1"/>
    <w:p>
      <w:pPr>
        <w:pStyle w:val="Heading3"/>
      </w:pPr>
      <w:r>
        <w:t xml:space="preserve">2.2 The Non-Linear I–P Relationship (H1)</w:t>
      </w:r>
    </w:p>
    <w:p>
      <w:pPr>
        <w:pStyle w:val="FirstParagraph"/>
      </w:pPr>
      <w:r>
        <w:t xml:space="preserve">Contractor et al. (2003) formalised the three-stage S-curve hypothesis:</w:t>
      </w:r>
      <w:r>
        <w:t xml:space="preserve"> </w:t>
      </w:r>
      <w:r>
        <w:t xml:space="preserve">early internationalization carries fixed entry costs that depress</w:t>
      </w:r>
      <w:r>
        <w:t xml:space="preserve"> </w:t>
      </w:r>
      <w:r>
        <w:t xml:space="preserve">performance; intermediate internationalization yields learning and scale</w:t>
      </w:r>
      <w:r>
        <w:t xml:space="preserve"> </w:t>
      </w:r>
      <w:r>
        <w:t xml:space="preserve">economies; high internationalization may again impose coordination and</w:t>
      </w:r>
      <w:r>
        <w:t xml:space="preserve"> </w:t>
      </w:r>
      <w:r>
        <w:t xml:space="preserve">agency costs. Empirically, however, the data more consistently support</w:t>
      </w:r>
      <w:r>
        <w:t xml:space="preserve"> </w:t>
      </w:r>
      <w:r>
        <w:t xml:space="preserve">the inverted-U, a special case in which the third stage does not emerge</w:t>
      </w:r>
      <w:r>
        <w:t xml:space="preserve"> </w:t>
      </w:r>
      <w:r>
        <w:t xml:space="preserve">at the export intensities typically observed in developing-economy WBES</w:t>
      </w:r>
      <w:r>
        <w:t xml:space="preserve"> </w:t>
      </w:r>
      <w:r>
        <w:t xml:space="preserve">data (Gomes &amp; Ramaswamy, 1999; Lu &amp; Beamish, 2004).</w:t>
      </w:r>
    </w:p>
    <w:p>
      <w:pPr>
        <w:pStyle w:val="BodyText"/>
      </w:pPr>
      <w:r>
        <w:t xml:space="preserve">In the Asian context, three country-specific studies in our broader</w:t>
      </w:r>
      <w:r>
        <w:t xml:space="preserve"> </w:t>
      </w:r>
      <w:r>
        <w:t xml:space="preserve">dissertation programme provide prior evidence. For Vietnam (P3), the</w:t>
      </w:r>
      <w:r>
        <w:t xml:space="preserve"> </w:t>
      </w:r>
      <w:r>
        <w:t xml:space="preserve">inverted-U is confirmed with a turning point at 39–46% using a</w:t>
      </w:r>
      <w:r>
        <w:t xml:space="preserve"> </w:t>
      </w:r>
      <w:r>
        <w:t xml:space="preserve">WBES-based instrumental variable design. For China (P5), an inverted-U</w:t>
      </w:r>
      <w:r>
        <w:t xml:space="preserve"> </w:t>
      </w:r>
      <w:r>
        <w:t xml:space="preserve">turning point of 47–49% is replicated across specifications with</w:t>
      </w:r>
      <w:r>
        <w:t xml:space="preserve"> </w:t>
      </w:r>
      <w:r>
        <w:t xml:space="preserve">Paternoster cross-cohort tests (p = .545). For Singapore (P4), the</w:t>
      </w:r>
      <w:r>
        <w:t xml:space="preserve"> </w:t>
      </w:r>
      <w:r>
        <w:t xml:space="preserve">relationship is predominantly positive with a very late turning point</w:t>
      </w:r>
      <w:r>
        <w:t xml:space="preserve"> </w:t>
      </w:r>
      <w:r>
        <w:t xml:space="preserve">(~88.6%), consistent with near-monotonic returns in a</w:t>
      </w:r>
      <w:r>
        <w:t xml:space="preserve"> </w:t>
      </w:r>
      <w:r>
        <w:t xml:space="preserve">high-institutional, digitally saturated economy. Pooled across a much</w:t>
      </w:r>
      <w:r>
        <w:t xml:space="preserve"> </w:t>
      </w:r>
      <w:r>
        <w:t xml:space="preserve">larger and institutionally heterogeneous sample, we expect the</w:t>
      </w:r>
      <w:r>
        <w:t xml:space="preserve"> </w:t>
      </w:r>
      <w:r>
        <w:t xml:space="preserve">inverted-U to emerge at an intermediate turning point.</w:t>
      </w:r>
    </w:p>
    <w:p>
      <w:pPr>
        <w:pStyle w:val="BlockText"/>
      </w:pPr>
      <w:r>
        <w:rPr>
          <w:bCs/>
          <w:b/>
        </w:rPr>
        <w:t xml:space="preserve">H1:</w:t>
      </w:r>
      <w:r>
        <w:t xml:space="preserve"> </w:t>
      </w:r>
      <w:r>
        <w:t xml:space="preserve">The relationship between export intensity (FSTS) and firm</w:t>
      </w:r>
      <w:r>
        <w:t xml:space="preserve"> </w:t>
      </w:r>
      <w:r>
        <w:t xml:space="preserve">labour productivity (ln LP) is an inverted-U, with a statistically</w:t>
      </w:r>
      <w:r>
        <w:t xml:space="preserve"> </w:t>
      </w:r>
      <w:r>
        <w:t xml:space="preserve">confirmed turning point at intermediate export intensities, in a</w:t>
      </w:r>
      <w:r>
        <w:t xml:space="preserve"> </w:t>
      </w:r>
      <w:r>
        <w:t xml:space="preserve">pooled sample of Asian and Pacific firms.</w:t>
      </w:r>
    </w:p>
    <w:bookmarkEnd w:id="23"/>
    <w:bookmarkStart w:id="24" w:name="Xe2f9215226203df0d35a74fbc3991b825156e23"/>
    <w:p>
      <w:pPr>
        <w:pStyle w:val="Heading3"/>
      </w:pPr>
      <w:r>
        <w:t xml:space="preserve">2.3 Technological Capability as a Curve Amplifier (H2)</w:t>
      </w:r>
    </w:p>
    <w:p>
      <w:pPr>
        <w:pStyle w:val="FirstParagraph"/>
      </w:pPr>
      <w:r>
        <w:t xml:space="preserve">Technological capability, operationalised as a composite of quality</w:t>
      </w:r>
      <w:r>
        <w:t xml:space="preserve"> </w:t>
      </w:r>
      <w:r>
        <w:t xml:space="preserve">certification, foreign-technology adoption, process innovation, and R&amp;D</w:t>
      </w:r>
      <w:r>
        <w:t xml:space="preserve"> </w:t>
      </w:r>
      <w:r>
        <w:t xml:space="preserve">raises absorptive capacity (Cohen &amp; Levinthal, 1990), enabling firms</w:t>
      </w:r>
      <w:r>
        <w:t xml:space="preserve"> </w:t>
      </w:r>
      <w:r>
        <w:t xml:space="preserve">to extract greater performance value per unit of export exposure.</w:t>
      </w:r>
      <w:r>
        <w:t xml:space="preserve"> </w:t>
      </w:r>
      <w:r>
        <w:t xml:space="preserve">Critically, we expect TCI to operate as a</w:t>
      </w:r>
      <w:r>
        <w:t xml:space="preserve"> </w:t>
      </w:r>
      <w:r>
        <w:rPr>
          <w:iCs/>
          <w:i/>
        </w:rPr>
        <w:t xml:space="preserve">curve amplifier</w:t>
      </w:r>
      <w:r>
        <w:t xml:space="preserve">: at low</w:t>
      </w:r>
      <w:r>
        <w:t xml:space="preserve"> </w:t>
      </w:r>
      <w:r>
        <w:t xml:space="preserve">export intensities, high-TCI firms gain more per unit of</w:t>
      </w:r>
      <w:r>
        <w:t xml:space="preserve"> </w:t>
      </w:r>
      <w:r>
        <w:t xml:space="preserve">internationalization (steeper ascending limb); at high intensities, they</w:t>
      </w:r>
      <w:r>
        <w:t xml:space="preserve"> </w:t>
      </w:r>
      <w:r>
        <w:t xml:space="preserve">experience sharper diminishing returns as coordination demands exceed</w:t>
      </w:r>
      <w:r>
        <w:t xml:space="preserve"> </w:t>
      </w:r>
      <w:r>
        <w:t xml:space="preserve">even their superior capabilities (steeper descending limb). The net</w:t>
      </w:r>
      <w:r>
        <w:t xml:space="preserve"> </w:t>
      </w:r>
      <w:r>
        <w:t xml:space="preserve">effect is a shift and steepening of the inverted-U, not just a parallel</w:t>
      </w:r>
      <w:r>
        <w:t xml:space="preserve"> </w:t>
      </w:r>
      <w:r>
        <w:t xml:space="preserve">upward shift.</w:t>
      </w:r>
    </w:p>
    <w:p>
      <w:pPr>
        <w:pStyle w:val="BodyText"/>
      </w:pPr>
      <w:r>
        <w:t xml:space="preserve">This prediction is consistent with P3 Vietnam (β(TCI) = +0.179,</w:t>
      </w:r>
      <w:r>
        <w:t xml:space="preserve"> </w:t>
      </w:r>
      <w:r>
        <w:t xml:space="preserve">IV-identified) and P5 China (β(TCI) increasing from +0.28 to +0.43</w:t>
      </w:r>
      <w:r>
        <w:t xml:space="preserve"> </w:t>
      </w:r>
      <w:r>
        <w:t xml:space="preserve">across cohorts), both showing TCI as a positive level shifter. P4</w:t>
      </w:r>
      <w:r>
        <w:t xml:space="preserve"> </w:t>
      </w:r>
      <w:r>
        <w:t xml:space="preserve">Singapore shows negligible TCI moderation of the curve, likely because</w:t>
      </w:r>
      <w:r>
        <w:t xml:space="preserve"> </w:t>
      </w:r>
      <w:r>
        <w:t xml:space="preserve">near-universal adoption in a high-ICRV economy leaves insufficient</w:t>
      </w:r>
      <w:r>
        <w:t xml:space="preserve"> </w:t>
      </w:r>
      <w:r>
        <w:t xml:space="preserve">variance for moderation.</w:t>
      </w:r>
    </w:p>
    <w:p>
      <w:pPr>
        <w:pStyle w:val="BlockText"/>
      </w:pPr>
      <w:r>
        <w:rPr>
          <w:bCs/>
          <w:b/>
        </w:rPr>
        <w:t xml:space="preserve">H2:</w:t>
      </w:r>
      <w:r>
        <w:t xml:space="preserve"> </w:t>
      </w:r>
      <w:r>
        <w:t xml:space="preserve">TCI amplifies the I–P curve, raising the average performance</w:t>
      </w:r>
      <w:r>
        <w:t xml:space="preserve"> </w:t>
      </w:r>
      <w:r>
        <w:t xml:space="preserve">level and steepening both the ascending and descending limbs of the</w:t>
      </w:r>
      <w:r>
        <w:t xml:space="preserve"> </w:t>
      </w:r>
      <w:r>
        <w:t xml:space="preserve">inverted-U.</w:t>
      </w:r>
    </w:p>
    <w:bookmarkEnd w:id="24"/>
    <w:bookmarkStart w:id="25" w:name="digital-adoption-as-a-level-enhancer-h3"/>
    <w:p>
      <w:pPr>
        <w:pStyle w:val="Heading3"/>
      </w:pPr>
      <w:r>
        <w:t xml:space="preserve">2.4 Digital Adoption as a Level Enhancer (H3)</w:t>
      </w:r>
    </w:p>
    <w:p>
      <w:pPr>
        <w:pStyle w:val="FirstParagraph"/>
      </w:pPr>
      <w:r>
        <w:t xml:space="preserve">Digital adoption, measured through website presence and</w:t>
      </w:r>
      <w:r>
        <w:t xml:space="preserve"> </w:t>
      </w:r>
      <w:r>
        <w:t xml:space="preserve">electronic-payment share, has been associated with reduced</w:t>
      </w:r>
      <w:r>
        <w:t xml:space="preserve"> </w:t>
      </w:r>
      <w:r>
        <w:t xml:space="preserve">communication and transaction costs (Verhoef et al., 2021). In the CDCM</w:t>
      </w:r>
      <w:r>
        <w:t xml:space="preserve"> </w:t>
      </w:r>
      <w:r>
        <w:t xml:space="preserve">(Context-Contingent Digital Capability Model) developed in the</w:t>
      </w:r>
      <w:r>
        <w:t xml:space="preserve"> </w:t>
      </w:r>
      <w:r>
        <w:t xml:space="preserve">dissertation, DAI’s effect depends on the interaction of regime quality,</w:t>
      </w:r>
      <w:r>
        <w:t xml:space="preserve"> </w:t>
      </w:r>
      <w:r>
        <w:t xml:space="preserve">FSTS level, and digital market saturation (Authors, 2024).</w:t>
      </w:r>
      <w:r>
        <w:t xml:space="preserve"> </w:t>
      </w:r>
      <w:r>
        <w:t xml:space="preserve">Specifically, in institutionally advanced economies where digital</w:t>
      </w:r>
      <w:r>
        <w:t xml:space="preserve"> </w:t>
      </w:r>
      <w:r>
        <w:t xml:space="preserve">infrastructure is mature, DAI provides universal performance lifts (as</w:t>
      </w:r>
      <w:r>
        <w:t xml:space="preserve"> </w:t>
      </w:r>
      <w:r>
        <w:t xml:space="preserve">in P4 Singapore: β(DAI) positive and significant). In emerging-economy</w:t>
      </w:r>
      <w:r>
        <w:t xml:space="preserve"> </w:t>
      </w:r>
      <w:r>
        <w:t xml:space="preserve">contexts with substantial selection into digital adoption (P3 Vietnam:</w:t>
      </w:r>
      <w:r>
        <w:t xml:space="preserve"> </w:t>
      </w:r>
      <w:r>
        <w:t xml:space="preserve">IV-estimated β(DAI) ≈ 0, consistent with selection bias in OLS), DAI’s</w:t>
      </w:r>
      <w:r>
        <w:t xml:space="preserve"> </w:t>
      </w:r>
      <w:r>
        <w:t xml:space="preserve">curve-shaping role is attenuated. Across the pooled multi-economy</w:t>
      </w:r>
      <w:r>
        <w:t xml:space="preserve"> </w:t>
      </w:r>
      <w:r>
        <w:t xml:space="preserve">sample, we expect DAI to raise performance levels broadly across the</w:t>
      </w:r>
      <w:r>
        <w:t xml:space="preserve"> </w:t>
      </w:r>
      <w:r>
        <w:t xml:space="preserve">sample (level effect). In a fully specified model that also accounts for</w:t>
      </w:r>
      <w:r>
        <w:t xml:space="preserve"> </w:t>
      </w:r>
      <w:r>
        <w:t xml:space="preserve">managerial quality, which correlates with digital adoption, the</w:t>
      </w:r>
      <w:r>
        <w:t xml:space="preserve"> </w:t>
      </w:r>
      <w:r>
        <w:t xml:space="preserve">residual DAI variation may reveal a capability-complementarity curve</w:t>
      </w:r>
      <w:r>
        <w:t xml:space="preserve"> </w:t>
      </w:r>
      <w:r>
        <w:t xml:space="preserve">effect: digitally equipped firms at low FSTS face sunk adoption costs</w:t>
      </w:r>
      <w:r>
        <w:t xml:space="preserve"> </w:t>
      </w:r>
      <w:r>
        <w:t xml:space="preserve">that compress near-term productivity, while digital infrastructure</w:t>
      </w:r>
      <w:r>
        <w:t xml:space="preserve"> </w:t>
      </w:r>
      <w:r>
        <w:t xml:space="preserve">supports coordination efficiency at high FSTS where cross-border</w:t>
      </w:r>
      <w:r>
        <w:t xml:space="preserve"> </w:t>
      </w:r>
      <w:r>
        <w:t xml:space="preserve">management demands are greatest.</w:t>
      </w:r>
    </w:p>
    <w:p>
      <w:pPr>
        <w:pStyle w:val="BlockText"/>
      </w:pPr>
      <w:r>
        <w:rPr>
          <w:bCs/>
          <w:b/>
        </w:rPr>
        <w:t xml:space="preserve">H3:</w:t>
      </w:r>
      <w:r>
        <w:t xml:space="preserve"> </w:t>
      </w:r>
      <w:r>
        <w:t xml:space="preserve">DAI has a positive main effect on labour productivity and,</w:t>
      </w:r>
      <w:r>
        <w:t xml:space="preserve"> </w:t>
      </w:r>
      <w:r>
        <w:t xml:space="preserve">when managerial characteristics are controlled, reshapes the I–P curve</w:t>
      </w:r>
      <w:r>
        <w:t xml:space="preserve"> </w:t>
      </w:r>
      <w:r>
        <w:t xml:space="preserve">by compressing the ascending limb at low export intensities and</w:t>
      </w:r>
      <w:r>
        <w:t xml:space="preserve"> </w:t>
      </w:r>
      <w:r>
        <w:t xml:space="preserve">attenuating performance decline at high export intensities.</w:t>
      </w:r>
    </w:p>
    <w:bookmarkEnd w:id="25"/>
    <w:bookmarkStart w:id="26" w:name="managerial-characteristics-h4"/>
    <w:p>
      <w:pPr>
        <w:pStyle w:val="Heading3"/>
      </w:pPr>
      <w:r>
        <w:t xml:space="preserve">2.5 Managerial Characteristics (H4)</w:t>
      </w:r>
    </w:p>
    <w:p>
      <w:pPr>
        <w:pStyle w:val="FirstParagraph"/>
      </w:pPr>
      <w:r>
        <w:t xml:space="preserve">Upper Echelons Theory predicts that top manager experience and gender</w:t>
      </w:r>
      <w:r>
        <w:t xml:space="preserve"> </w:t>
      </w:r>
      <w:r>
        <w:t xml:space="preserve">composition affect strategic cognition and decision-making (Hambrick &amp;</w:t>
      </w:r>
      <w:r>
        <w:t xml:space="preserve"> </w:t>
      </w:r>
      <w:r>
        <w:t xml:space="preserve">Mason, 1984). Manager experience reduces coordination errors in</w:t>
      </w:r>
      <w:r>
        <w:t xml:space="preserve"> </w:t>
      </w:r>
      <w:r>
        <w:t xml:space="preserve">cross-border operations; female top management is associated with</w:t>
      </w:r>
      <w:r>
        <w:t xml:space="preserve"> </w:t>
      </w:r>
      <w:r>
        <w:t xml:space="preserve">stakeholder orientation, relationship capital, and risk management, all</w:t>
      </w:r>
      <w:r>
        <w:t xml:space="preserve"> </w:t>
      </w:r>
      <w:r>
        <w:t xml:space="preserve">relevant in institutionally heterogeneous export markets (Richard et</w:t>
      </w:r>
      <w:r>
        <w:t xml:space="preserve"> </w:t>
      </w:r>
      <w:r>
        <w:t xml:space="preserve">al., 2019). Firm-level evidence on manufacturing exporters shows that</w:t>
      </w:r>
      <w:r>
        <w:t xml:space="preserve"> </w:t>
      </w:r>
      <w:r>
        <w:t xml:space="preserve">manager experience and gender can moderate the</w:t>
      </w:r>
      <w:r>
        <w:t xml:space="preserve"> </w:t>
      </w:r>
      <w:r>
        <w:t xml:space="preserve">internationalization–performance relationship (Phan et al., 2020; Do &amp;</w:t>
      </w:r>
      <w:r>
        <w:t xml:space="preserve"> </w:t>
      </w:r>
      <w:r>
        <w:t xml:space="preserve">Phan, 2025), and</w:t>
      </w:r>
      <w:r>
        <w:t xml:space="preserve"> </w:t>
      </w:r>
      <w:r>
        <w:t xml:space="preserve">top-management-team internationalization shapes performance through</w:t>
      </w:r>
      <w:r>
        <w:t xml:space="preserve"> </w:t>
      </w:r>
      <w:r>
        <w:t xml:space="preserve">foreign-market entry (Nielsen, 2010). We expect both to raise the performance level for any given</w:t>
      </w:r>
      <w:r>
        <w:t xml:space="preserve"> </w:t>
      </w:r>
      <w:r>
        <w:t xml:space="preserve">FSTS. However, given the breadth of the multi-country sample, firm-level</w:t>
      </w:r>
      <w:r>
        <w:t xml:space="preserve"> </w:t>
      </w:r>
      <w:r>
        <w:t xml:space="preserve">managerial differences are unlikely to systematically reshape the</w:t>
      </w:r>
      <w:r>
        <w:t xml:space="preserve"> </w:t>
      </w:r>
      <w:r>
        <w:t xml:space="preserve">aggregate FSTS–performance curve, whose shape is primarily determined by</w:t>
      </w:r>
      <w:r>
        <w:t xml:space="preserve"> </w:t>
      </w:r>
      <w:r>
        <w:t xml:space="preserve">economy-wide institutional and market-maturity factors.</w:t>
      </w:r>
    </w:p>
    <w:p>
      <w:pPr>
        <w:pStyle w:val="BlockText"/>
      </w:pPr>
      <w:r>
        <w:rPr>
          <w:bCs/>
          <w:b/>
        </w:rPr>
        <w:t xml:space="preserve">H4:</w:t>
      </w:r>
      <w:r>
        <w:t xml:space="preserve"> </w:t>
      </w:r>
      <w:r>
        <w:t xml:space="preserve">Top manager experience and female top manager status have</w:t>
      </w:r>
      <w:r>
        <w:t xml:space="preserve"> </w:t>
      </w:r>
      <w:r>
        <w:t xml:space="preserve">positive main effects on firm performance, but do not significantly</w:t>
      </w:r>
      <w:r>
        <w:t xml:space="preserve"> </w:t>
      </w:r>
      <w:r>
        <w:t xml:space="preserve">moderate the FSTS–performance curve shape.</w:t>
      </w:r>
    </w:p>
    <w:bookmarkEnd w:id="26"/>
    <w:bookmarkStart w:id="27" w:name="X0b3fdaf9bb49b1730bc3a0521f76f654a8096ae"/>
    <w:p>
      <w:pPr>
        <w:pStyle w:val="Heading3"/>
      </w:pPr>
      <w:r>
        <w:t xml:space="preserve">2.6 Institutional Regime as a Turning-Point Shifter (H5)</w:t>
      </w:r>
    </w:p>
    <w:p>
      <w:pPr>
        <w:pStyle w:val="FirstParagraph"/>
      </w:pPr>
      <w:r>
        <w:t xml:space="preserve">North (1990) established that formal institutions reduce transaction</w:t>
      </w:r>
      <w:r>
        <w:t xml:space="preserve"> </w:t>
      </w:r>
      <w:r>
        <w:t xml:space="preserve">costs; stronger institutions lower the cost of cross-border coordination</w:t>
      </w:r>
      <w:r>
        <w:t xml:space="preserve"> </w:t>
      </w:r>
      <w:r>
        <w:t xml:space="preserve">and thus shift the performance-maximising export intensity (the</w:t>
      </w:r>
      <w:r>
        <w:t xml:space="preserve"> </w:t>
      </w:r>
      <w:r>
        <w:t xml:space="preserve">inverted-U turning point). In higher-quality institutional environments,</w:t>
      </w:r>
      <w:r>
        <w:t xml:space="preserve"> </w:t>
      </w:r>
      <w:r>
        <w:t xml:space="preserve">firms need a lower export share to recoup internationalization costs, so</w:t>
      </w:r>
      <w:r>
        <w:t xml:space="preserve"> </w:t>
      </w:r>
      <w:r>
        <w:t xml:space="preserve">the turning point occurs earlier. Equivalently, holding FSTS constant,</w:t>
      </w:r>
      <w:r>
        <w:t xml:space="preserve"> </w:t>
      </w:r>
      <w:r>
        <w:t xml:space="preserve">firms in stronger institutional regimes earn higher returns per unit of</w:t>
      </w:r>
      <w:r>
        <w:t xml:space="preserve"> </w:t>
      </w:r>
      <w:r>
        <w:t xml:space="preserve">internationalization.</w:t>
      </w:r>
    </w:p>
    <w:p>
      <w:pPr>
        <w:pStyle w:val="BodyText"/>
      </w:pPr>
      <w:r>
        <w:t xml:space="preserve">We operationalise institutional regime through the ICRV classification</w:t>
      </w:r>
      <w:r>
        <w:t xml:space="preserve"> </w:t>
      </w:r>
      <w:r>
        <w:t xml:space="preserve">system developed in the dissertation: six groups ranging from Group I</w:t>
      </w:r>
      <w:r>
        <w:t xml:space="preserve"> </w:t>
      </w:r>
      <w:r>
        <w:t xml:space="preserve">(Advanced innovation-driven: Singapore, Korea, Taiwan, Israel, Cyprus)</w:t>
      </w:r>
      <w:r>
        <w:t xml:space="preserve"> </w:t>
      </w:r>
      <w:r>
        <w:t xml:space="preserve">to Group VI (SIDS and small open economies: Vanuatu, Solomon Islands,</w:t>
      </w:r>
      <w:r>
        <w:t xml:space="preserve"> </w:t>
      </w:r>
      <w:r>
        <w:t xml:space="preserve">Timor-Leste). Higher ICRV group numbers denote weaker institutions. We</w:t>
      </w:r>
      <w:r>
        <w:t xml:space="preserve"> </w:t>
      </w:r>
      <w:r>
        <w:t xml:space="preserve">expect positive FSTS×ICRV and negative FSTS²×ICRV interactions in Group</w:t>
      </w:r>
      <w:r>
        <w:t xml:space="preserve"> </w:t>
      </w:r>
      <w:r>
        <w:t xml:space="preserve">III–VI compared to Group I (stronger institutions = higher Group I</w:t>
      </w:r>
      <w:r>
        <w:t xml:space="preserve"> </w:t>
      </w:r>
      <w:r>
        <w:t xml:space="preserve">coefficient), which is observationally equivalent to the turning point</w:t>
      </w:r>
      <w:r>
        <w:t xml:space="preserve"> </w:t>
      </w:r>
      <w:r>
        <w:t xml:space="preserve">occurring later in lower-quality institutional environments.</w:t>
      </w:r>
    </w:p>
    <w:p>
      <w:pPr>
        <w:pStyle w:val="BlockText"/>
      </w:pPr>
      <w:r>
        <w:rPr>
          <w:bCs/>
          <w:b/>
        </w:rPr>
        <w:t xml:space="preserve">H5:</w:t>
      </w:r>
      <w:r>
        <w:t xml:space="preserve"> </w:t>
      </w:r>
      <w:r>
        <w:t xml:space="preserve">The ICRV institutional regime positively moderates the I–P</w:t>
      </w:r>
      <w:r>
        <w:t xml:space="preserve"> </w:t>
      </w:r>
      <w:r>
        <w:t xml:space="preserve">relationship: firms in higher-quality institutional environments</w:t>
      </w:r>
      <w:r>
        <w:t xml:space="preserve"> </w:t>
      </w:r>
      <w:r>
        <w:t xml:space="preserve">(lower ICRV group number) achieve the performance-maximising export</w:t>
      </w:r>
      <w:r>
        <w:t xml:space="preserve"> </w:t>
      </w:r>
      <w:r>
        <w:t xml:space="preserve">intensity at lower FSTS levels.</w:t>
      </w:r>
    </w:p>
    <w:bookmarkEnd w:id="27"/>
    <w:bookmarkStart w:id="28" w:name="regime-contingent-digital-effects-h6"/>
    <w:p>
      <w:pPr>
        <w:pStyle w:val="Heading3"/>
      </w:pPr>
      <w:r>
        <w:t xml:space="preserve">2.7 Regime-Contingent Digital Effects (H6)</w:t>
      </w:r>
    </w:p>
    <w:p>
      <w:pPr>
        <w:pStyle w:val="FirstParagraph"/>
      </w:pPr>
      <w:r>
        <w:t xml:space="preserve">The Context-Contingent Digital Capability Model (CDCM) developed in this</w:t>
      </w:r>
      <w:r>
        <w:t xml:space="preserve"> </w:t>
      </w:r>
      <w:r>
        <w:t xml:space="preserve">dissertation programme predicts that the I–P curve-reshaping role of</w:t>
      </w:r>
      <w:r>
        <w:t xml:space="preserve"> </w:t>
      </w:r>
      <w:r>
        <w:t xml:space="preserve">digital adoption is not uniform across institutional environments. In</w:t>
      </w:r>
      <w:r>
        <w:t xml:space="preserve"> </w:t>
      </w:r>
      <w:r>
        <w:t xml:space="preserve">institutionally advanced economies (ICRV Group I–II), digital</w:t>
      </w:r>
      <w:r>
        <w:t xml:space="preserve"> </w:t>
      </w:r>
      <w:r>
        <w:t xml:space="preserve">infrastructure is near-universal and close to the competitive baseline</w:t>
      </w:r>
      <w:r>
        <w:t xml:space="preserve"> </w:t>
      </w:r>
      <w:r>
        <w:t xml:space="preserve">the marginal performance differentiation from website and e-payment</w:t>
      </w:r>
      <w:r>
        <w:t xml:space="preserve"> </w:t>
      </w:r>
      <w:r>
        <w:t xml:space="preserve">adoption is accordingly lower. In institutionally weaker economies (ICRV</w:t>
      </w:r>
      <w:r>
        <w:t xml:space="preserve"> </w:t>
      </w:r>
      <w:r>
        <w:t xml:space="preserve">Group IV–VI), digital adoption remains differentiating: digital market</w:t>
      </w:r>
      <w:r>
        <w:t xml:space="preserve"> </w:t>
      </w:r>
      <w:r>
        <w:t xml:space="preserve">access tools lower the liability-of-foreignness cost and provide</w:t>
      </w:r>
      <w:r>
        <w:t xml:space="preserve"> </w:t>
      </w:r>
      <w:r>
        <w:t xml:space="preserve">cross-border coordination support that institutional voids cannot</w:t>
      </w:r>
      <w:r>
        <w:t xml:space="preserve"> </w:t>
      </w:r>
      <w:r>
        <w:t xml:space="preserve">substitute. The DAI×ICRV interaction therefore tests whether digital</w:t>
      </w:r>
      <w:r>
        <w:t xml:space="preserve"> </w:t>
      </w:r>
      <w:r>
        <w:t xml:space="preserve">capabilities’ curve-reshaping potency (established in H3) varies</w:t>
      </w:r>
      <w:r>
        <w:t xml:space="preserve"> </w:t>
      </w:r>
      <w:r>
        <w:t xml:space="preserve">systematically across the institutional spectrum, specifically, whether</w:t>
      </w:r>
      <w:r>
        <w:t xml:space="preserve"> </w:t>
      </w:r>
      <w:r>
        <w:t xml:space="preserve">compressing the ascending limb and buffering performance decline at high</w:t>
      </w:r>
      <w:r>
        <w:t xml:space="preserve"> </w:t>
      </w:r>
      <w:r>
        <w:t xml:space="preserve">FSTS are more pronounced in weaker-institution economies.</w:t>
      </w:r>
    </w:p>
    <w:p>
      <w:pPr>
        <w:pStyle w:val="BodyText"/>
      </w:pPr>
      <w:r>
        <w:t xml:space="preserve">This prediction is consistent with the digital-complementarity strand of</w:t>
      </w:r>
      <w:r>
        <w:t xml:space="preserve"> </w:t>
      </w:r>
      <w:r>
        <w:t xml:space="preserve">institutional theory (North, 1990; Stallkamp &amp; Schotter, 2021): where</w:t>
      </w:r>
      <w:r>
        <w:t xml:space="preserve"> </w:t>
      </w:r>
      <w:r>
        <w:t xml:space="preserve">formal institutions provide reliable contract enforcement, IP</w:t>
      </w:r>
      <w:r>
        <w:t xml:space="preserve"> </w:t>
      </w:r>
      <w:r>
        <w:t xml:space="preserve">protection, and market information, digital infrastructure adds</w:t>
      </w:r>
      <w:r>
        <w:t xml:space="preserve"> </w:t>
      </w:r>
      <w:r>
        <w:t xml:space="preserve">incrementally; where institutional voids prevail, digital tools provide</w:t>
      </w:r>
      <w:r>
        <w:t xml:space="preserve"> </w:t>
      </w:r>
      <w:r>
        <w:t xml:space="preserve">a non-trivial substitute for missing formal mechanisms. H6 therefore</w:t>
      </w:r>
      <w:r>
        <w:t xml:space="preserve"> </w:t>
      </w:r>
      <w:r>
        <w:t xml:space="preserve">does not predict stronger</w:t>
      </w:r>
      <w:r>
        <w:t xml:space="preserve"> </w:t>
      </w:r>
      <w:r>
        <w:rPr>
          <w:iCs/>
          <w:i/>
        </w:rPr>
        <w:t xml:space="preserve">level</w:t>
      </w:r>
      <w:r>
        <w:t xml:space="preserve"> </w:t>
      </w:r>
      <w:r>
        <w:t xml:space="preserve">effects in weak-institution contexts</w:t>
      </w:r>
      <w:r>
        <w:t xml:space="preserve"> </w:t>
      </w:r>
      <w:r>
        <w:t xml:space="preserve">(which could reflect many confounds), but specifically predicts a</w:t>
      </w:r>
      <w:r>
        <w:t xml:space="preserve"> </w:t>
      </w:r>
      <w:r>
        <w:t xml:space="preserve">stronger</w:t>
      </w:r>
      <w:r>
        <w:t xml:space="preserve"> </w:t>
      </w:r>
      <w:r>
        <w:rPr>
          <w:iCs/>
          <w:i/>
        </w:rPr>
        <w:t xml:space="preserve">curve-shaping</w:t>
      </w:r>
      <w:r>
        <w:t xml:space="preserve"> </w:t>
      </w:r>
      <w:r>
        <w:t xml:space="preserve">interaction between digital adoption and export</w:t>
      </w:r>
      <w:r>
        <w:t xml:space="preserve"> </w:t>
      </w:r>
      <w:r>
        <w:t xml:space="preserve">intensity, a conditional complementarity claim.</w:t>
      </w:r>
    </w:p>
    <w:p>
      <w:pPr>
        <w:pStyle w:val="BlockText"/>
      </w:pPr>
      <w:r>
        <w:rPr>
          <w:bCs/>
          <w:b/>
        </w:rPr>
        <w:t xml:space="preserve">H6:</w:t>
      </w:r>
      <w:r>
        <w:t xml:space="preserve"> </w:t>
      </w:r>
      <w:r>
        <w:t xml:space="preserve">The ICRV institutional regime moderates the digital-adoption</w:t>
      </w:r>
      <w:r>
        <w:t xml:space="preserve"> </w:t>
      </w:r>
      <w:r>
        <w:t xml:space="preserve">curve-reshaping effect: digital adoption’s compressive effect on the</w:t>
      </w:r>
      <w:r>
        <w:t xml:space="preserve"> </w:t>
      </w:r>
      <w:r>
        <w:t xml:space="preserve">I–P ascending limb and its buffering effect at high FSTS (H3) are</w:t>
      </w:r>
      <w:r>
        <w:t xml:space="preserve"> </w:t>
      </w:r>
      <w:r>
        <w:t xml:space="preserve">stronger in weaker institutional environments (higher ICRV group</w:t>
      </w:r>
      <w:r>
        <w:t xml:space="preserve"> </w:t>
      </w:r>
      <w:r>
        <w:t xml:space="preserve">number), where digital infrastructure provides greater competitive</w:t>
      </w:r>
      <w:r>
        <w:t xml:space="preserve"> </w:t>
      </w:r>
      <w:r>
        <w:t xml:space="preserve">differentiation in cross-border market access.</w:t>
      </w:r>
    </w:p>
    <w:bookmarkEnd w:id="28"/>
    <w:bookmarkEnd w:id="29"/>
    <w:bookmarkStart w:id="34" w:name="data-and-methods"/>
    <w:p>
      <w:pPr>
        <w:pStyle w:val="Heading2"/>
      </w:pPr>
      <w:r>
        <w:t xml:space="preserve">3. Data and Methods</w:t>
      </w:r>
    </w:p>
    <w:bookmarkStart w:id="30" w:name="data-source"/>
    <w:p>
      <w:pPr>
        <w:pStyle w:val="Heading3"/>
      </w:pPr>
      <w:r>
        <w:t xml:space="preserve">3.1 Data Source</w:t>
      </w:r>
    </w:p>
    <w:p>
      <w:pPr>
        <w:pStyle w:val="FirstParagraph"/>
      </w:pPr>
      <w:r>
        <w:t xml:space="preserve">Data derive from the World Bank Enterprise Surveys (WBES), a stratified</w:t>
      </w:r>
      <w:r>
        <w:t xml:space="preserve"> </w:t>
      </w:r>
      <w:r>
        <w:t xml:space="preserve">random-sample survey of formal private-sector enterprises conducted</w:t>
      </w:r>
      <w:r>
        <w:t xml:space="preserve"> </w:t>
      </w:r>
      <w:r>
        <w:t xml:space="preserve">periodically across over 130 countries. We use microdata from 49 Asian</w:t>
      </w:r>
      <w:r>
        <w:t xml:space="preserve"> </w:t>
      </w:r>
      <w:r>
        <w:t xml:space="preserve">and Pacific economies across 102 country-year waves spanning 2003–2025.</w:t>
      </w:r>
      <w:r>
        <w:t xml:space="preserve"> </w:t>
      </w:r>
      <w:r>
        <w:t xml:space="preserve">This coverage encompasses six UN M.49 Asian sub-regions: East Asia</w:t>
      </w:r>
      <w:r>
        <w:t xml:space="preserve"> </w:t>
      </w:r>
      <w:r>
        <w:t xml:space="preserve">(China, HongKong, Korea, Mongolia, Taiwan), Southeast Asia (Brunei,</w:t>
      </w:r>
      <w:r>
        <w:t xml:space="preserve"> </w:t>
      </w:r>
      <w:r>
        <w:t xml:space="preserve">Cambodia, Indonesia, Laos, Malaysia, Myanmar, Philippines, Singapore,</w:t>
      </w:r>
      <w:r>
        <w:t xml:space="preserve"> </w:t>
      </w:r>
      <w:r>
        <w:t xml:space="preserve">Thailand, Timor-Leste, Vietnam), South Asia (Afghanistan, Bangladesh,</w:t>
      </w:r>
      <w:r>
        <w:t xml:space="preserve"> </w:t>
      </w:r>
      <w:r>
        <w:t xml:space="preserve">Bhutan, India, Maldives, Nepal, Pakistan, Sri Lanka), Central Asia</w:t>
      </w:r>
      <w:r>
        <w:t xml:space="preserve"> </w:t>
      </w:r>
      <w:r>
        <w:t xml:space="preserve">(Kazakhstan, Kyrgyz Republic, Tajikistan, Turkmenistan, Uzbekistan),</w:t>
      </w:r>
      <w:r>
        <w:t xml:space="preserve"> </w:t>
      </w:r>
      <w:r>
        <w:t xml:space="preserve">West Asia (Armenia, Bahrain, Cyprus, Iraq, Israel, Jordan, Kuwait,</w:t>
      </w:r>
      <w:r>
        <w:t xml:space="preserve"> </w:t>
      </w:r>
      <w:r>
        <w:t xml:space="preserve">Lebanon, Oman, Qatar, Saudi Arabia, Yemen), and Pacific/SIDS (Fiji,</w:t>
      </w:r>
      <w:r>
        <w:t xml:space="preserve"> </w:t>
      </w:r>
      <w:r>
        <w:t xml:space="preserve">Kiribati, Papua New Guinea, Samoa, Solomon Islands, Tonga, Vanuatu).</w:t>
      </w:r>
    </w:p>
    <w:p>
      <w:pPr>
        <w:pStyle w:val="BodyText"/>
      </w:pPr>
      <w:r>
        <w:t xml:space="preserve">The final analytical dataset contains 91,982 firm-observations (before</w:t>
      </w:r>
      <w:r>
        <w:t xml:space="preserve"> </w:t>
      </w:r>
      <w:r>
        <w:t xml:space="preserve">applying outcome and FSTS non-missing requirements). Oman’s available</w:t>
      </w:r>
      <w:r>
        <w:t xml:space="preserve"> </w:t>
      </w:r>
      <w:r>
        <w:t xml:space="preserve">data (2003 vintage) predates the digital-capability variables used in</w:t>
      </w:r>
      <w:r>
        <w:t xml:space="preserve"> </w:t>
      </w:r>
      <w:r>
        <w:t xml:space="preserve">M6–M11; it contributes to M2 but drops from M3+ due to missing controls.</w:t>
      </w:r>
      <w:r>
        <w:t xml:space="preserve"> </w:t>
      </w:r>
      <w:r>
        <w:t xml:space="preserve">WBES designs are cross-sectional within each wave, with standardised</w:t>
      </w:r>
      <w:r>
        <w:t xml:space="preserve"> </w:t>
      </w:r>
      <w:r>
        <w:t xml:space="preserve">instruments ensuring common variable definitions across economies and</w:t>
      </w:r>
      <w:r>
        <w:t xml:space="preserve"> </w:t>
      </w:r>
      <w:r>
        <w:t xml:space="preserve">years. We apply three harmonisation steps: (1) variable-priority mapping</w:t>
      </w:r>
      <w:r>
        <w:t xml:space="preserve"> </w:t>
      </w:r>
      <w:r>
        <w:t xml:space="preserve">for candidate items across PICS3 (2009–2013), Standardised (2014–2018),</w:t>
      </w:r>
      <w:r>
        <w:t xml:space="preserve"> </w:t>
      </w:r>
      <w:r>
        <w:t xml:space="preserve">and BREADY/BEE (2019–2025) questionnaire generations; (2)</w:t>
      </w:r>
      <w:r>
        <w:t xml:space="preserve"> </w:t>
      </w:r>
      <w:r>
        <w:t xml:space="preserve">encoding-robust reading (primary UTF-8 with Latin-1/CP1252 fallback);</w:t>
      </w:r>
      <w:r>
        <w:t xml:space="preserve"> </w:t>
      </w:r>
      <w:r>
        <w:t xml:space="preserve">(3) deduplication, selecting the largest file per (country, year) pair</w:t>
      </w:r>
      <w:r>
        <w:t xml:space="preserve"> </w:t>
      </w:r>
      <w:r>
        <w:t xml:space="preserve">when multiple uploads exist.</w:t>
      </w:r>
    </w:p>
    <w:bookmarkEnd w:id="30"/>
    <w:bookmarkStart w:id="31" w:name="variables"/>
    <w:p>
      <w:pPr>
        <w:pStyle w:val="Heading3"/>
      </w:pPr>
      <w:r>
        <w:t xml:space="preserve">3.2 Variables</w:t>
      </w:r>
    </w:p>
    <w:p>
      <w:pPr>
        <w:pStyle w:val="FirstParagraph"/>
      </w:pPr>
      <w:r>
        <w:rPr>
          <w:bCs/>
          <w:b/>
        </w:rPr>
        <w:t xml:space="preserve">Dependent variable.</w:t>
      </w:r>
      <w:r>
        <w:t xml:space="preserve"> </w:t>
      </w:r>
      <w:r>
        <w:t xml:space="preserve">Labour productivity is operationalised as log</w:t>
      </w:r>
      <w:r>
        <w:t xml:space="preserve"> </w:t>
      </w:r>
      <w:r>
        <w:t xml:space="preserve">annual sales per permanent worker: ln(LP) = ln(sales / l1_workers).</w:t>
      </w:r>
      <w:r>
        <w:t xml:space="preserve"> </w:t>
      </w:r>
      <w:r>
        <w:t xml:space="preserve">Sales are taken from WBES item n3 (or d2 where n3 is missing). Currency</w:t>
      </w:r>
      <w:r>
        <w:t xml:space="preserve"> </w:t>
      </w:r>
      <w:r>
        <w:t xml:space="preserve">effects are absorbed by country-year fixed effects in M5; without FE,</w:t>
      </w:r>
      <w:r>
        <w:t xml:space="preserve"> </w:t>
      </w:r>
      <w:r>
        <w:t xml:space="preserve">productivity levels vary in nominal terms across economies and years.</w:t>
      </w:r>
    </w:p>
    <w:p>
      <w:pPr>
        <w:pStyle w:val="BodyText"/>
      </w:pPr>
      <w:r>
        <w:rPr>
          <w:bCs/>
          <w:b/>
        </w:rPr>
        <w:t xml:space="preserve">Foreign sales intensity (FSTS).</w:t>
      </w:r>
      <w:r>
        <w:t xml:space="preserve"> </w:t>
      </w:r>
      <w:r>
        <w:t xml:space="preserve">Defined as the share of sales from direct plus indirect exports ((d3b + d3c) / 100), following the standard WBES exports definition, ranging from 0 to 1. We mean-centre FSTS at</w:t>
      </w:r>
      <w:r>
        <w:t xml:space="preserve"> </w:t>
      </w:r>
      <w:r>
        <w:t xml:space="preserve">the sample mean for quadratic and interaction models (fsts_c); the</w:t>
      </w:r>
      <w:r>
        <w:t xml:space="preserve"> </w:t>
      </w:r>
      <w:r>
        <w:t xml:space="preserve">quadratic term fsts_c² is computed from the centred value.</w:t>
      </w:r>
    </w:p>
    <w:p>
      <w:pPr>
        <w:pStyle w:val="BodyText"/>
      </w:pPr>
      <w:r>
        <w:rPr>
          <w:bCs/>
          <w:b/>
        </w:rPr>
        <w:t xml:space="preserve">Technological capability index (TCI_z).</w:t>
      </w:r>
      <w:r>
        <w:t xml:space="preserve"> </w:t>
      </w:r>
      <w:r>
        <w:t xml:space="preserve">A two-item composite</w:t>
      </w:r>
      <w:r>
        <w:t xml:space="preserve"> </w:t>
      </w:r>
      <w:r>
        <w:t xml:space="preserve">(available in &gt;95% of files) of quality certification (b8: has ISO or</w:t>
      </w:r>
      <w:r>
        <w:t xml:space="preserve"> </w:t>
      </w:r>
      <w:r>
        <w:t xml:space="preserve">other certification) and foreign-technology adoption (e6: uses</w:t>
      </w:r>
      <w:r>
        <w:t xml:space="preserve"> </w:t>
      </w:r>
      <w:r>
        <w:t xml:space="preserve">foreign-licensed technology), standardised to mean 0, SD 1. The z-score</w:t>
      </w:r>
      <w:r>
        <w:t xml:space="preserve"> </w:t>
      </w:r>
      <w:r>
        <w:t xml:space="preserve">preserves cross-economy variation.</w:t>
      </w:r>
    </w:p>
    <w:p>
      <w:pPr>
        <w:pStyle w:val="BodyText"/>
      </w:pPr>
      <w:r>
        <w:rPr>
          <w:bCs/>
          <w:b/>
        </w:rPr>
        <w:t xml:space="preserve">Digital adoption index (DAI_z).</w:t>
      </w:r>
      <w:r>
        <w:t xml:space="preserve"> </w:t>
      </w:r>
      <w:r>
        <w:t xml:space="preserve">Website presence (c22b / e1)</w:t>
      </w:r>
      <w:r>
        <w:t xml:space="preserve"> </w:t>
      </w:r>
      <w:r>
        <w:t xml:space="preserve">averaged with e-payment share (k33 / 100 where available), standardised</w:t>
      </w:r>
      <w:r>
        <w:t xml:space="preserve"> </w:t>
      </w:r>
      <w:r>
        <w:t xml:space="preserve">to mean 0, SD 1. In waves without e-payment items, DAI equals website</w:t>
      </w:r>
      <w:r>
        <w:t xml:space="preserve"> </w:t>
      </w:r>
      <w:r>
        <w:t xml:space="preserve">presence only.</w:t>
      </w:r>
    </w:p>
    <w:p>
      <w:pPr>
        <w:pStyle w:val="BodyText"/>
      </w:pPr>
      <w:r>
        <w:rPr>
          <w:bCs/>
          <w:b/>
        </w:rPr>
        <w:t xml:space="preserve">Manager characteristics.</w:t>
      </w:r>
      <w:r>
        <w:t xml:space="preserve"> </w:t>
      </w:r>
      <w:r>
        <w:t xml:space="preserve">Top manager experience in sector (b7, in</w:t>
      </w:r>
      <w:r>
        <w:t xml:space="preserve"> </w:t>
      </w:r>
      <w:r>
        <w:t xml:space="preserve">years) and a binary indicator for female top manager (b7a / b6a).</w:t>
      </w:r>
    </w:p>
    <w:p>
      <w:pPr>
        <w:pStyle w:val="BodyText"/>
      </w:pPr>
      <w:r>
        <w:rPr>
          <w:bCs/>
          <w:b/>
        </w:rPr>
        <w:t xml:space="preserve">Controls.</w:t>
      </w:r>
      <w:r>
        <w:t xml:space="preserve"> </w:t>
      </w:r>
      <w:r>
        <w:t xml:space="preserve">Female ownership share (b4 &gt; 0.5: majority female-owned,</w:t>
      </w:r>
      <w:r>
        <w:t xml:space="preserve"> </w:t>
      </w:r>
      <w:r>
        <w:t xml:space="preserve">binary), foreign ownership percentage (b6a / 100), firm age (in years,</w:t>
      </w:r>
      <w:r>
        <w:t xml:space="preserve"> </w:t>
      </w:r>
      <w:r>
        <w:t xml:space="preserve">current year − b5), and log permanent employees (ln l1_workers) as a</w:t>
      </w:r>
      <w:r>
        <w:t xml:space="preserve"> </w:t>
      </w:r>
      <w:r>
        <w:t xml:space="preserve">size proxy.</w:t>
      </w:r>
    </w:p>
    <w:p>
      <w:pPr>
        <w:pStyle w:val="BodyText"/>
      </w:pPr>
      <w:r>
        <w:rPr>
          <w:bCs/>
          <w:b/>
        </w:rPr>
        <w:t xml:space="preserve">Institutional regime (ICRV group).</w:t>
      </w:r>
      <w:r>
        <w:t xml:space="preserve"> </w:t>
      </w:r>
      <w:r>
        <w:t xml:space="preserve">Integer 1–6 based on the ICRV</w:t>
      </w:r>
      <w:r>
        <w:t xml:space="preserve"> </w:t>
      </w:r>
      <w:r>
        <w:t xml:space="preserve">classification; used as a continuous moderator in M10/M11 and as a</w:t>
      </w:r>
      <w:r>
        <w:t xml:space="preserve"> </w:t>
      </w:r>
      <w:r>
        <w:t xml:space="preserve">group-level moderator for marginal effects plots.</w:t>
      </w:r>
    </w:p>
    <w:bookmarkEnd w:id="31"/>
    <w:bookmarkStart w:id="32" w:name="estimation-strategy"/>
    <w:p>
      <w:pPr>
        <w:pStyle w:val="Heading3"/>
      </w:pPr>
      <w:r>
        <w:t xml:space="preserve">3.3 Estimation Strategy</w:t>
      </w:r>
    </w:p>
    <w:p>
      <w:pPr>
        <w:pStyle w:val="FirstParagraph"/>
      </w:pPr>
      <w:r>
        <w:t xml:space="preserve">We estimate a hierarchical sequence of 11 models (Table 2). All models</w:t>
      </w:r>
      <w:r>
        <w:t xml:space="preserve"> </w:t>
      </w:r>
      <w:r>
        <w:t xml:space="preserve">use OLS with HC1 heteroskedasticity-robust standard errors (Long &amp;</w:t>
      </w:r>
      <w:r>
        <w:t xml:space="preserve"> </w:t>
      </w:r>
      <w:r>
        <w:t xml:space="preserve">Ervin, 2000), clustering by country-year. Country-year fixed effects</w:t>
      </w:r>
      <w:r>
        <w:t xml:space="preserve"> </w:t>
      </w:r>
      <w:r>
        <w:t xml:space="preserve">(M5) provide the most conservative benchmark. We prefer HC1 over</w:t>
      </w:r>
      <w:r>
        <w:t xml:space="preserve"> </w:t>
      </w:r>
      <w:r>
        <w:t xml:space="preserve">clustered SE given that WBES sampling is stratified within, not across,</w:t>
      </w:r>
      <w:r>
        <w:t xml:space="preserve"> </w:t>
      </w:r>
      <w:r>
        <w:t xml:space="preserve">country-years.</w:t>
      </w:r>
    </w:p>
    <w:p>
      <w:pPr>
        <w:pStyle w:val="BodyText"/>
      </w:pPr>
      <w:r>
        <w:t xml:space="preserve">The inverted-U shape is formally confirmed using the Lind–Mehlum (2010)</w:t>
      </w:r>
      <w:r>
        <w:t xml:space="preserve"> </w:t>
      </w:r>
      <w:r>
        <w:t xml:space="preserve">test, which requires: (a) β₁ &gt; 0, β₂ &lt; 0, and (b) the turning point</w:t>
      </w:r>
      <w:r>
        <w:t xml:space="preserve"> </w:t>
      </w:r>
      <w:r>
        <w:t xml:space="preserve">lies strictly within the observed FSTS range, and (c) the slope at the</w:t>
      </w:r>
      <w:r>
        <w:t xml:space="preserve"> </w:t>
      </w:r>
      <w:r>
        <w:t xml:space="preserve">extremes satisfies the directional prediction. We report the turning</w:t>
      </w:r>
      <w:r>
        <w:t xml:space="preserve"> </w:t>
      </w:r>
      <w:r>
        <w:t xml:space="preserve">point as: TP = −β₁ / (2β₂) + mean(FSTS), where β₁ and β₂ are estimated</w:t>
      </w:r>
      <w:r>
        <w:t xml:space="preserve"> </w:t>
      </w:r>
      <w:r>
        <w:t xml:space="preserve">on the mean-centred FSTS_c scale and the result is expressed as a</w:t>
      </w:r>
      <w:r>
        <w:t xml:space="preserve"> </w:t>
      </w:r>
      <w:r>
        <w:t xml:space="preserve">proportion (0–1) of total sales.</w:t>
      </w:r>
    </w:p>
    <w:p>
      <w:pPr>
        <w:pStyle w:val="BodyText"/>
      </w:pPr>
      <w:r>
        <w:t xml:space="preserve">For moderation tests (M7–M11), we include interaction terms</w:t>
      </w:r>
      <w:r>
        <w:t xml:space="preserve"> </w:t>
      </w:r>
      <w:r>
        <w:t xml:space="preserve">FSTS×moderator and FSTS²×moderator. The joint significance of the two</w:t>
      </w:r>
      <w:r>
        <w:t xml:space="preserve"> </w:t>
      </w:r>
      <w:r>
        <w:t xml:space="preserve">interaction terms is tested with an F-test; we report both the joint</w:t>
      </w:r>
      <w:r>
        <w:t xml:space="preserve"> </w:t>
      </w:r>
      <w:r>
        <w:t xml:space="preserve">p-value and individual coefficient p-values.</w:t>
      </w:r>
    </w:p>
    <w:bookmarkEnd w:id="32"/>
    <w:bookmarkStart w:id="33" w:name="sample-sizes"/>
    <w:p>
      <w:pPr>
        <w:pStyle w:val="Heading3"/>
      </w:pPr>
      <w:r>
        <w:t xml:space="preserve">3.4 Sample Sizes</w:t>
      </w:r>
    </w:p>
    <w:p>
      <w:pPr>
        <w:pStyle w:val="FirstParagraph"/>
      </w:pPr>
      <w:r>
        <w:t xml:space="preserve">The analytic sample for M2 (outcome + FSTS non-missing) is N = 84,910.</w:t>
      </w:r>
      <w:r>
        <w:t xml:space="preserve"> </w:t>
      </w:r>
      <w:r>
        <w:t xml:space="preserve">Adding controls reduces the sample to N = 38,342 (M3); country-year FE</w:t>
      </w:r>
      <w:r>
        <w:t xml:space="preserve"> </w:t>
      </w:r>
      <w:r>
        <w:t xml:space="preserve">model M5 uses the same sample. TCI-moderation models (M6, M7) use N ≈</w:t>
      </w:r>
      <w:r>
        <w:t xml:space="preserve"> </w:t>
      </w:r>
      <w:r>
        <w:t xml:space="preserve">38,051; adding DAI (M8) N ≈ 37,940; manager models (M9) N ≈ 35,568;</w:t>
      </w:r>
      <w:r>
        <w:t xml:space="preserve"> </w:t>
      </w:r>
      <w:r>
        <w:t xml:space="preserve">ICRV-moderation (M10) N ≈ 31,928; full three-way (M11) N ≈ 29,840. The</w:t>
      </w:r>
      <w:r>
        <w:t xml:space="preserve"> </w:t>
      </w:r>
      <w:r>
        <w:t xml:space="preserve">drop from M2 to M3/M5 reflects missingness in control variables</w:t>
      </w:r>
      <w:r>
        <w:t xml:space="preserve"> </w:t>
      </w:r>
      <w:r>
        <w:t xml:space="preserve">(primarily foreign ownership and firm age), which is more prevalent in</w:t>
      </w:r>
      <w:r>
        <w:t xml:space="preserve"> </w:t>
      </w:r>
      <w:r>
        <w:t xml:space="preserve">smaller economies and early WBES waves.</w:t>
      </w:r>
    </w:p>
    <w:bookmarkEnd w:id="33"/>
    <w:bookmarkEnd w:id="34"/>
    <w:bookmarkStart w:id="42" w:name="results"/>
    <w:p>
      <w:pPr>
        <w:pStyle w:val="Heading2"/>
      </w:pPr>
      <w:r>
        <w:t xml:space="preserve">4. Results</w:t>
      </w:r>
    </w:p>
    <w:bookmarkStart w:id="35" w:name="descriptive-statistics-and-correlations"/>
    <w:p>
      <w:pPr>
        <w:pStyle w:val="Heading3"/>
      </w:pPr>
      <w:r>
        <w:t xml:space="preserve">4.1 Descriptive Statistics and Correlations</w:t>
      </w:r>
    </w:p>
    <w:p>
      <w:pPr>
        <w:pStyle w:val="FirstParagraph"/>
      </w:pPr>
      <w:r>
        <w:t xml:space="preserve">The full analytic sample spans 49 economies and 102 country-year waves.</w:t>
      </w:r>
      <w:r>
        <w:t xml:space="preserve"> </w:t>
      </w:r>
      <w:r>
        <w:t xml:space="preserve">The mean FSTS across firms is approximately 12% (median ≈ 0), reflecting</w:t>
      </w:r>
      <w:r>
        <w:t xml:space="preserve"> </w:t>
      </w:r>
      <w:r>
        <w:t xml:space="preserve">the fact that most WBES firms are domestically oriented; exporters (FSTS</w:t>
      </w:r>
      <w:r>
        <w:t xml:space="preserve"> </w:t>
      </w:r>
      <w:r>
        <w:t xml:space="preserve">&gt; 0) represent approximately 18% of the sample. Labour productivity</w:t>
      </w:r>
      <w:r>
        <w:t xml:space="preserve"> </w:t>
      </w:r>
      <w:r>
        <w:t xml:space="preserve">ranges from ln(LP) ≈ 10 (Tajikistan, Timor-Leste) to ln(LP) ≈ 20</w:t>
      </w:r>
      <w:r>
        <w:t xml:space="preserve"> </w:t>
      </w:r>
      <w:r>
        <w:t xml:space="preserve">(Vietnam, Indonesia, reflecting PPP-unadjusted nominal sales</w:t>
      </w:r>
      <w:r>
        <w:t xml:space="preserve"> </w:t>
      </w:r>
      <w:r>
        <w:t xml:space="preserve">differences). Pairwise correlations among focal variables are modest</w:t>
      </w:r>
      <w:r>
        <w:t xml:space="preserve"> </w:t>
      </w:r>
      <w:r>
        <w:t xml:space="preserve">(|r| &lt; .15 for all pairs), and variance inflation factors in the full</w:t>
      </w:r>
      <w:r>
        <w:t xml:space="preserve"> </w:t>
      </w:r>
      <w:r>
        <w:t xml:space="preserve">model are below 3.5, ruling out multicollinearity concerns.</w:t>
      </w:r>
    </w:p>
    <w:bookmarkEnd w:id="35"/>
    <w:bookmarkStart w:id="36" w:name="main-effect-inverted-u-h1"/>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w:t>
      </w:r>
      <w:r>
        <w:t xml:space="preserve"> </w:t>
      </w:r>
      <w:r>
        <w:t xml:space="preserve">explanatory power (adjR² = .000). Adding the quadratic term FSTS² (M2)</w:t>
      </w:r>
      <w:r>
        <w:t xml:space="preserve"> </w:t>
      </w:r>
      <w:r>
        <w:t xml:space="preserve">yields β₁ = +1.316 (p &lt; .001) and β₂ = −1.810 (p &lt; .001), consistent</w:t>
      </w:r>
      <w:r>
        <w:t xml:space="preserve"> </w:t>
      </w:r>
      <w:r>
        <w:t xml:space="preserve">with an inverted-U. Following Haans, Pieters, and He (2016), all four</w:t>
      </w:r>
      <w:r>
        <w:t xml:space="preserve"> </w:t>
      </w:r>
      <w:r>
        <w:t xml:space="preserve">formal conditions for a genuine inverted-U are satisfied in M2: (C1) β₁</w:t>
      </w:r>
      <w:r>
        <w:t xml:space="preserve"> </w:t>
      </w:r>
      <w:r>
        <w:t xml:space="preserve">= +1.316 (p &lt; .001), confirming a positive ascending limb; (C2) β₂ =</w:t>
      </w:r>
      <w:r>
        <w:t xml:space="preserve"> </w:t>
      </w:r>
      <w:r>
        <w:t xml:space="preserve">−1.810 (p &lt; .001), confirming concavity; (C3) the turning point TP* ≈</w:t>
      </w:r>
      <w:r>
        <w:t xml:space="preserve"> </w:t>
      </w:r>
      <w:r>
        <w:t xml:space="preserve">36.4% lies well within the observed FSTS range [0%, 100%]; and (C4)</w:t>
      </w:r>
      <w:r>
        <w:t xml:space="preserve"> </w:t>
      </w:r>
      <w:r>
        <w:t xml:space="preserve">the marginal effect of internationalization is positive at the lower</w:t>
      </w:r>
      <w:r>
        <w:t xml:space="preserve"> </w:t>
      </w:r>
      <w:r>
        <w:t xml:space="preserve">data boundary (FSTS ≈ 0%, slope ≈ +1.32) and negative at the upper</w:t>
      </w:r>
      <w:r>
        <w:t xml:space="preserve"> </w:t>
      </w:r>
      <w:r>
        <w:t xml:space="preserve">boundary (FSTS ≈ 100%, slope ≈ −2.30), with opposite signs confirmed by</w:t>
      </w:r>
      <w:r>
        <w:t xml:space="preserve"> </w:t>
      </w:r>
      <w:r>
        <w:t xml:space="preserve">the Lind–Mehlum (2010) u-test (joint p &lt; .001). The inverted-U remains</w:t>
      </w:r>
      <w:r>
        <w:t xml:space="preserve"> </w:t>
      </w:r>
      <w:r>
        <w:t xml:space="preserve">significant when controls are added (M3: TP = 33.8%, LM p &lt; .001) and</w:t>
      </w:r>
      <w:r>
        <w:t xml:space="preserve"> </w:t>
      </w:r>
      <w:r>
        <w:t xml:space="preserve">when country-year fixed effects absorb all unobserved time-varying</w:t>
      </w:r>
      <w:r>
        <w:t xml:space="preserve"> </w:t>
      </w:r>
      <w:r>
        <w:t xml:space="preserve">country heterogeneity (M5: TP = 40.0%, LM p &lt; .001, adjR² = .677). The</w:t>
      </w:r>
      <w:r>
        <w:t xml:space="preserve"> </w:t>
      </w:r>
      <w:r>
        <w:t xml:space="preserve">consistency of the turning point across M2, M3, and M5, ranging from</w:t>
      </w:r>
      <w:r>
        <w:t xml:space="preserve"> </w:t>
      </w:r>
      <w:r>
        <w:t xml:space="preserve">33.8% to 40.0%, provides strong evidence that the inverted-U is not an</w:t>
      </w:r>
      <w:r>
        <w:t xml:space="preserve"> </w:t>
      </w:r>
      <w:r>
        <w:t xml:space="preserve">artefact of omitted country-level confounders. Crucially, the inverted-U</w:t>
      </w:r>
      <w:r>
        <w:t xml:space="preserve"> </w:t>
      </w:r>
      <w:r>
        <w:t xml:space="preserve">is also confirmed in the full three-way moderation model M11 (TP =</w:t>
      </w:r>
      <w:r>
        <w:t xml:space="preserve"> </w:t>
      </w:r>
      <w:r>
        <w:t xml:space="preserve">34.6%, LM p = .002), establishing robustness to the most demanding</w:t>
      </w:r>
      <w:r>
        <w:t xml:space="preserve"> </w:t>
      </w:r>
      <w:r>
        <w:t xml:space="preserve">specification.</w:t>
      </w:r>
    </w:p>
    <w:p>
      <w:pPr>
        <w:pStyle w:val="BodyText"/>
      </w:pPr>
      <w:r>
        <w:rPr>
          <w:bCs/>
          <w:b/>
        </w:rPr>
        <w:t xml:space="preserve">H1 is supported.</w:t>
      </w:r>
      <w:r>
        <w:t xml:space="preserve"> </w:t>
      </w:r>
      <w:r>
        <w:t xml:space="preserve">The I–P relationship is robustly inverted-U in the</w:t>
      </w:r>
      <w:r>
        <w:t xml:space="preserve"> </w:t>
      </w:r>
      <w:r>
        <w:t xml:space="preserve">pooled sample of 49 Asian and Pacific economies, with a turning point of 40.0% foreign sales intensity in the fully specified model M5 (33.8–40.0% across specifications).</w:t>
      </w:r>
    </w:p>
    <w:bookmarkEnd w:id="36"/>
    <w:bookmarkStart w:id="37" w:name="technological-capability-moderation-h2"/>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w:t>
      </w:r>
      <w:r>
        <w:t xml:space="preserve"> </w:t>
      </w:r>
      <w:r>
        <w:t xml:space="preserve">from .015 to .024. The interaction model M7 adds FSTS×TCI and FSTS²×TCI.</w:t>
      </w:r>
      <w:r>
        <w:t xml:space="preserve"> </w:t>
      </w:r>
      <w:r>
        <w:t xml:space="preserve">Results show:</w:t>
      </w:r>
    </w:p>
    <w:p>
      <w:pPr>
        <w:numPr>
          <w:ilvl w:val="0"/>
          <w:numId w:val="1001"/>
        </w:numPr>
        <w:pStyle w:val="Compact"/>
      </w:pPr>
      <w:r>
        <w:t xml:space="preserve">TCI main effect: β = +0.344 (p &lt; .001), higher TCI raises baseline</w:t>
      </w:r>
      <w:r>
        <w:t xml:space="preserve"> </w:t>
      </w:r>
      <w:r>
        <w:t xml:space="preserve">performance</w:t>
      </w:r>
    </w:p>
    <w:p>
      <w:pPr>
        <w:numPr>
          <w:ilvl w:val="0"/>
          <w:numId w:val="1001"/>
        </w:numPr>
        <w:pStyle w:val="Compact"/>
      </w:pPr>
      <w:r>
        <w:t xml:space="preserve">FSTS×TCI: β = −0.144 (NS), the ascending limb interaction is not</w:t>
      </w:r>
      <w:r>
        <w:t xml:space="preserve"> </w:t>
      </w:r>
      <w:r>
        <w:t xml:space="preserve">significant</w:t>
      </w:r>
    </w:p>
    <w:p>
      <w:pPr>
        <w:numPr>
          <w:ilvl w:val="0"/>
          <w:numId w:val="1001"/>
        </w:numPr>
        <w:pStyle w:val="Compact"/>
      </w:pPr>
      <w:r>
        <w:t xml:space="preserve">FSTS²×TCI: β = −0.137 (NS in M7; remains NS in M8, p=.129)</w:t>
      </w:r>
    </w:p>
    <w:p>
      <w:pPr>
        <w:pStyle w:val="FirstParagraph"/>
      </w:pPr>
      <w:r>
        <w:t xml:space="preserve">The joint F-test for the two TCI interaction terms is not significant</w:t>
      </w:r>
      <w:r>
        <w:t xml:space="preserve"> </w:t>
      </w:r>
      <w:r>
        <w:t xml:space="preserve">across M7–M9. The inverted-U remains confirmed in M7 (TP = 33.9%, LM p</w:t>
      </w:r>
      <w:r>
        <w:t xml:space="preserve"> </w:t>
      </w:r>
      <w:r>
        <w:t xml:space="preserve">&lt; .001). A one-SD increase in TCI raises labour productivity by</w:t>
      </w:r>
      <w:r>
        <w:t xml:space="preserve"> </w:t>
      </w:r>
      <w:r>
        <w:t xml:space="preserve">exp(0.344) − 1 ≈ 41% at mean FSTS, a large and practically meaningful</w:t>
      </w:r>
      <w:r>
        <w:t xml:space="preserve"> </w:t>
      </w:r>
      <w:r>
        <w:t xml:space="preserve">level effect. The curvature steepening predicted by H2 does not emerge</w:t>
      </w:r>
      <w:r>
        <w:t xml:space="preserve"> </w:t>
      </w:r>
      <w:r>
        <w:t xml:space="preserve">in this expanded sample.</w:t>
      </w:r>
    </w:p>
    <w:p>
      <w:pPr>
        <w:pStyle w:val="BodyText"/>
      </w:pPr>
      <w:r>
        <w:rPr>
          <w:bCs/>
          <w:b/>
        </w:rPr>
        <w:t xml:space="preserve">H2 is partially supported (level effect confirmed; curvature effects</w:t>
      </w:r>
      <w:r>
        <w:rPr>
          <w:bCs/>
          <w:b/>
        </w:rPr>
        <w:t xml:space="preserve"> </w:t>
      </w:r>
      <w:r>
        <w:rPr>
          <w:bCs/>
          <w:b/>
        </w:rPr>
        <w:t xml:space="preserve">NS).</w:t>
      </w:r>
      <w:r>
        <w:t xml:space="preserve"> </w:t>
      </w:r>
      <w:r>
        <w:t xml:space="preserve">TCI raises the performance level consistently across</w:t>
      </w:r>
      <w:r>
        <w:t xml:space="preserve"> </w:t>
      </w:r>
      <w:r>
        <w:t xml:space="preserve">specifications, but neither the ascending nor descending limb</w:t>
      </w:r>
      <w:r>
        <w:t xml:space="preserve"> </w:t>
      </w:r>
      <w:r>
        <w:t xml:space="preserve">amplification reaches significance. The null curvature moderation likely</w:t>
      </w:r>
      <w:r>
        <w:t xml:space="preserve"> </w:t>
      </w:r>
      <w:r>
        <w:t xml:space="preserve">reflects heterogeneous TCI effects across the institutionally diverse</w:t>
      </w:r>
      <w:r>
        <w:t xml:space="preserve"> </w:t>
      </w:r>
      <w:r>
        <w:t xml:space="preserve">49-economy sample, attenuating individual-country patterns documented in</w:t>
      </w:r>
      <w:r>
        <w:t xml:space="preserve"> </w:t>
      </w:r>
      <w:r>
        <w:t xml:space="preserve">P3/P5.</w:t>
      </w:r>
    </w:p>
    <w:bookmarkEnd w:id="37"/>
    <w:bookmarkStart w:id="38" w:name="digital-adoption-moderation-h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w:t>
      </w:r>
      <w:r>
        <w:t xml:space="preserve"> </w:t>
      </w:r>
      <w:r>
        <w:t xml:space="preserve">statistically significant (β = +0.155, p &lt; .001), consistent with</w:t>
      </w:r>
      <w:r>
        <w:t xml:space="preserve"> </w:t>
      </w:r>
      <w:r>
        <w:t xml:space="preserve">approximately a 17% performance premium for digitally active firms</w:t>
      </w:r>
      <w:r>
        <w:t xml:space="preserve"> </w:t>
      </w:r>
      <w:r>
        <w:t xml:space="preserve">(exp(0.155) − 1 ≈ 17%). Strikingly, both DAI interaction terms are</w:t>
      </w:r>
      <w:r>
        <w:t xml:space="preserve"> </w:t>
      </w:r>
      <w:r>
        <w:t xml:space="preserve">statistically significant in M8: FSTS×DAI = −0.614 (p &lt; .001, ***)</w:t>
      </w:r>
      <w:r>
        <w:t xml:space="preserve"> </w:t>
      </w:r>
      <w:r>
        <w:t xml:space="preserve">and FSTS²×DAI = +0.766 (p = .001, **). The interaction pattern</w:t>
      </w:r>
      <w:r>
        <w:t xml:space="preserve"> </w:t>
      </w:r>
      <w:r>
        <w:t xml:space="preserve">negative FSTS×DAI and positive FSTS²×DAI, means that high-DAI firms</w:t>
      </w:r>
      <w:r>
        <w:t xml:space="preserve"> </w:t>
      </w:r>
      <w:r>
        <w:t xml:space="preserve">experience a flatter, shifted I–P curve: lower productivity gains per</w:t>
      </w:r>
      <w:r>
        <w:t xml:space="preserve"> </w:t>
      </w:r>
      <w:r>
        <w:t xml:space="preserve">unit of FSTS at low export intensities (sunk adoption costs, or</w:t>
      </w:r>
      <w:r>
        <w:t xml:space="preserve"> </w:t>
      </w:r>
      <w:r>
        <w:t xml:space="preserve">selection of productivity-constrained firms into digital adoption), but</w:t>
      </w:r>
      <w:r>
        <w:t xml:space="preserve"> </w:t>
      </w:r>
      <w:r>
        <w:t xml:space="preserve">significantly smaller performance declines at high FSTS (digital</w:t>
      </w:r>
      <w:r>
        <w:t xml:space="preserve"> </w:t>
      </w:r>
      <w:r>
        <w:t xml:space="preserve">infrastructure supporting cross-border coordination at scale). This</w:t>
      </w:r>
      <w:r>
        <w:t xml:space="preserve"> </w:t>
      </w:r>
      <w:r>
        <w:t xml:space="preserve">result strengthens further in M9 with manager controls: FSTS×DAI =</w:t>
      </w:r>
      <w:r>
        <w:t xml:space="preserve"> </w:t>
      </w:r>
      <w:r>
        <w:t xml:space="preserve">−0.780 (p &lt; .001, ***) and FSTS²×DAI = +0.994 (p &lt; .001, ***).</w:t>
      </w:r>
      <w:r>
        <w:t xml:space="preserve"> </w:t>
      </w:r>
      <w:r>
        <w:t xml:space="preserve">The inverted-U is maintained in both specifications (M8: TP = 33.8%; M9:</w:t>
      </w:r>
      <w:r>
        <w:t xml:space="preserve"> </w:t>
      </w:r>
      <w:r>
        <w:t xml:space="preserve">TP = 36.1%).</w:t>
      </w:r>
    </w:p>
    <w:p>
      <w:pPr>
        <w:pStyle w:val="BodyText"/>
      </w:pPr>
      <w:r>
        <w:rPr>
          <w:bCs/>
          <w:b/>
        </w:rPr>
        <w:t xml:space="preserve">H3 is supported.</w:t>
      </w:r>
      <w:r>
        <w:t xml:space="preserve"> </w:t>
      </w:r>
      <w:r>
        <w:t xml:space="preserve">DAI raises firm performance by approximately 16%</w:t>
      </w:r>
      <w:r>
        <w:t xml:space="preserve"> </w:t>
      </w:r>
      <w:r>
        <w:t xml:space="preserve">and significantly reshapes the I–P curve, compressing the ascending</w:t>
      </w:r>
      <w:r>
        <w:t xml:space="preserve"> </w:t>
      </w:r>
      <w:r>
        <w:t xml:space="preserve">limb and attenuating the performance decline at high FSTS, even before</w:t>
      </w:r>
      <w:r>
        <w:t xml:space="preserve"> </w:t>
      </w:r>
      <w:r>
        <w:t xml:space="preserve">controlling for managerial characteristics. This is the primary</w:t>
      </w:r>
      <w:r>
        <w:t xml:space="preserve"> </w:t>
      </w:r>
      <w:r>
        <w:t xml:space="preserve">capability-moderating finding of the study.</w:t>
      </w:r>
    </w:p>
    <w:bookmarkEnd w:id="38"/>
    <w:bookmarkStart w:id="39" w:name="managerial-characteristics-h4-1"/>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w:t>
      </w:r>
      <w:r>
        <w:t xml:space="preserve"> </w:t>
      </w:r>
      <w:r>
        <w:t xml:space="preserve">+0.185, p &lt; .001) both raise firm performance independently of FSTS in</w:t>
      </w:r>
      <w:r>
        <w:t xml:space="preserve"> </w:t>
      </w:r>
      <w:r>
        <w:t xml:space="preserve">M9. The experience effect implies approximately 0.7% higher labour</w:t>
      </w:r>
      <w:r>
        <w:t xml:space="preserve"> </w:t>
      </w:r>
      <w:r>
        <w:t xml:space="preserve">productivity per additional year of sectoral experience; the female top</w:t>
      </w:r>
      <w:r>
        <w:t xml:space="preserve"> </w:t>
      </w:r>
      <w:r>
        <w:t xml:space="preserve">manager effect implies approximately a 20% performance premium</w:t>
      </w:r>
      <w:r>
        <w:t xml:space="preserve"> </w:t>
      </w:r>
      <w:r>
        <w:t xml:space="preserve">(exp(0.185) − 1 ≈ 20%). The FSTS×manager_experience interaction is not</w:t>
      </w:r>
      <w:r>
        <w:t xml:space="preserve"> </w:t>
      </w:r>
      <w:r>
        <w:t xml:space="preserve">significant in M9 (β = −0.012, p = .133), but reaches p = .053 in M11 (β</w:t>
      </w:r>
      <w:r>
        <w:t xml:space="preserve"> </w:t>
      </w:r>
      <w:r>
        <w:t xml:space="preserve">= −0.019, †), suggesting that, in the full specification, more</w:t>
      </w:r>
      <w:r>
        <w:t xml:space="preserve"> </w:t>
      </w:r>
      <w:r>
        <w:t xml:space="preserve">experienced managers navigate the high-FSTS coordination challenges more</w:t>
      </w:r>
      <w:r>
        <w:t xml:space="preserve"> </w:t>
      </w:r>
      <w:r>
        <w:t xml:space="preserve">effectively (negative interaction = smaller performance decline above</w:t>
      </w:r>
      <w:r>
        <w:t xml:space="preserve"> </w:t>
      </w:r>
      <w:r>
        <w:t xml:space="preserve">the turning point).</w:t>
      </w:r>
    </w:p>
    <w:p>
      <w:pPr>
        <w:pStyle w:val="BodyText"/>
      </w:pPr>
      <w:r>
        <w:rPr>
          <w:bCs/>
          <w:b/>
        </w:rPr>
        <w:t xml:space="preserve">H4 is partially supported.</w:t>
      </w:r>
      <w:r>
        <w:t xml:space="preserve"> </w:t>
      </w:r>
      <w:r>
        <w:t xml:space="preserve">Top manager experience and female</w:t>
      </w:r>
      <w:r>
        <w:t xml:space="preserve"> </w:t>
      </w:r>
      <w:r>
        <w:t xml:space="preserve">management improve firm performance (level effects confirmed). The</w:t>
      </w:r>
      <w:r>
        <w:t xml:space="preserve"> </w:t>
      </w:r>
      <w:r>
        <w:t xml:space="preserve">curve-moderating effect of manager experience is marginally present in</w:t>
      </w:r>
      <w:r>
        <w:t xml:space="preserve"> </w:t>
      </w:r>
      <w:r>
        <w:t xml:space="preserve">M11 but absent in M9; we interpret this as a secondary finding requiring</w:t>
      </w:r>
      <w:r>
        <w:t xml:space="preserve"> </w:t>
      </w:r>
      <w:r>
        <w:t xml:space="preserve">replication.</w:t>
      </w:r>
    </w:p>
    <w:bookmarkEnd w:id="39"/>
    <w:bookmarkStart w:id="40" w:name="institutional-regime-moderation-h5"/>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+0.763, p &lt; .001) indicates that</w:t>
      </w:r>
      <w:r>
        <w:t xml:space="preserve"> </w:t>
      </w:r>
      <w:r>
        <w:t xml:space="preserve">controlling for TCI, DAI, and firm characteristics, each step up the</w:t>
      </w:r>
      <w:r>
        <w:t xml:space="preserve"> </w:t>
      </w:r>
      <w:r>
        <w:t xml:space="preserve">ICRV scale (from Group I to VI, i.e., from stronger to weaker</w:t>
      </w:r>
      <w:r>
        <w:t xml:space="preserve"> </w:t>
      </w:r>
      <w:r>
        <w:t xml:space="preserve">institutions) is associated with approximately a 115% higher labour</w:t>
      </w:r>
      <w:r>
        <w:t xml:space="preserve"> </w:t>
      </w:r>
      <w:r>
        <w:t xml:space="preserve">productivity level (exp(0.763) − 1 ≈ 115%). This counter-intuitive</w:t>
      </w:r>
      <w:r>
        <w:t xml:space="preserve"> </w:t>
      </w:r>
      <w:r>
        <w:rPr>
          <w:iCs/>
          <w:i/>
        </w:rPr>
        <w:t xml:space="preserve">positive</w:t>
      </w:r>
      <w:r>
        <w:t xml:space="preserve"> </w:t>
      </w:r>
      <w:r>
        <w:t xml:space="preserve">ICRV coefficient reflects that nominal sales-per-worker is</w:t>
      </w:r>
      <w:r>
        <w:t xml:space="preserve"> </w:t>
      </w:r>
      <w:r>
        <w:t xml:space="preserve">higher in economies with lower price levels (typical of</w:t>
      </w:r>
      <w:r>
        <w:t xml:space="preserve"> </w:t>
      </w:r>
      <w:r>
        <w:t xml:space="preserve">frontier/emerging economies), and country-year fixed effects were not</w:t>
      </w:r>
      <w:r>
        <w:t xml:space="preserve"> </w:t>
      </w:r>
      <w:r>
        <w:t xml:space="preserve">included in M10 to preserve the institutional regime as the key</w:t>
      </w:r>
      <w:r>
        <w:t xml:space="preserve"> </w:t>
      </w:r>
      <w:r>
        <w:t xml:space="preserve">moderator of interest.</w:t>
      </w:r>
    </w:p>
    <w:p>
      <w:pPr>
        <w:pStyle w:val="BodyText"/>
      </w:pPr>
      <w:r>
        <w:t xml:space="preserve">More relevant for H5 are the interaction terms: FSTS×ICRV (β = +1.762, p</w:t>
      </w:r>
      <w:r>
        <w:t xml:space="preserve"> </w:t>
      </w:r>
      <w:r>
        <w:t xml:space="preserve">&lt; .001) and FSTS²×ICRV (β = −2.746, p &lt; .001). These indicate that the</w:t>
      </w:r>
      <w:r>
        <w:t xml:space="preserve"> </w:t>
      </w:r>
      <w:r>
        <w:t xml:space="preserve">ascending slope of the I–P curve is steeper in weaker-institution</w:t>
      </w:r>
      <w:r>
        <w:t xml:space="preserve"> </w:t>
      </w:r>
      <w:r>
        <w:t xml:space="preserve">economies (higher ICRV group), but so is the descending slope, meaning</w:t>
      </w:r>
      <w:r>
        <w:t xml:space="preserve"> </w:t>
      </w:r>
      <w:r>
        <w:t xml:space="preserve">that the inverted-U peak occurs at lower export intensities in</w:t>
      </w:r>
      <w:r>
        <w:t xml:space="preserve"> </w:t>
      </w:r>
      <w:r>
        <w:t xml:space="preserve">stronger-institution economies (lower ICRV number), and is more</w:t>
      </w:r>
      <w:r>
        <w:t xml:space="preserve"> </w:t>
      </w:r>
      <w:r>
        <w:t xml:space="preserve">pronounced in weaker-institution economies. Decomposing by ICRV group:</w:t>
      </w:r>
      <w:r>
        <w:t xml:space="preserve"> </w:t>
      </w:r>
      <w:r>
        <w:t xml:space="preserve">for Group I economies (Advanced innovation-driven), the estimated</w:t>
      </w:r>
      <w:r>
        <w:t xml:space="preserve"> </w:t>
      </w:r>
      <w:r>
        <w:t xml:space="preserve">turning point is approximately 28%; for Group V–VI (Emerging/SIDS), the</w:t>
      </w:r>
      <w:r>
        <w:t xml:space="preserve"> </w:t>
      </w:r>
      <w:r>
        <w:t xml:space="preserve">estimated turning point is approximately 55%. This pattern is consistent</w:t>
      </w:r>
      <w:r>
        <w:t xml:space="preserve"> </w:t>
      </w:r>
      <w:r>
        <w:t xml:space="preserve">with firms in institutionally advanced economies recouping</w:t>
      </w:r>
      <w:r>
        <w:t xml:space="preserve"> </w:t>
      </w:r>
      <w:r>
        <w:t xml:space="preserve">internationalization costs at lower export intensities, while firms in</w:t>
      </w:r>
      <w:r>
        <w:t xml:space="preserve"> </w:t>
      </w:r>
      <w:r>
        <w:t xml:space="preserve">institutionally weaker environments require greater export commitment to</w:t>
      </w:r>
      <w:r>
        <w:t xml:space="preserve"> </w:t>
      </w:r>
      <w:r>
        <w:t xml:space="preserve">reach the performance peak.</w:t>
      </w:r>
    </w:p>
    <w:p>
      <w:pPr>
        <w:pStyle w:val="BodyText"/>
      </w:pPr>
      <w:r>
        <w:rPr>
          <w:bCs/>
          <w:b/>
        </w:rPr>
        <w:t xml:space="preserve">H5 is supported.</w:t>
      </w:r>
      <w:r>
        <w:t xml:space="preserve"> </w:t>
      </w:r>
      <w:r>
        <w:t xml:space="preserve">The ICRV institutional regime systematically</w:t>
      </w:r>
      <w:r>
        <w:t xml:space="preserve"> </w:t>
      </w:r>
      <w:r>
        <w:t xml:space="preserve">moderates both the slope and curvature of the I–P function, with</w:t>
      </w:r>
      <w:r>
        <w:t xml:space="preserve"> </w:t>
      </w:r>
      <w:r>
        <w:t xml:space="preserve">stronger institutions associated with earlier (lower FSTS) performance</w:t>
      </w:r>
      <w:r>
        <w:t xml:space="preserve"> </w:t>
      </w:r>
      <w:r>
        <w:t xml:space="preserve">peaks.</w:t>
      </w:r>
    </w:p>
    <w:bookmarkEnd w:id="40"/>
    <w:bookmarkStart w:id="41" w:name="full-three-way-moderation-h6"/>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w:t>
      </w:r>
      <w:r>
        <w:t xml:space="preserve"> </w:t>
      </w:r>
      <w:r>
        <w:t xml:space="preserve">constituent lower-order interactions). The Lind–Mehlum test in M11</w:t>
      </w:r>
      <w:r>
        <w:t xml:space="preserve"> </w:t>
      </w:r>
      <w:r>
        <w:t xml:space="preserve">confirms the inverted-U (TP = 34.6%, LM p = .002), establishing that the</w:t>
      </w:r>
      <w:r>
        <w:t xml:space="preserve"> </w:t>
      </w:r>
      <w:r>
        <w:t xml:space="preserve">inverted-U shape holds even in the most demanding specification. The</w:t>
      </w:r>
      <w:r>
        <w:t xml:space="preserve"> </w:t>
      </w:r>
      <w:r>
        <w:t xml:space="preserve">DAI×ICRV interaction (β = +0.060, p = .012, *) is statistically</w:t>
      </w:r>
      <w:r>
        <w:t xml:space="preserve"> </w:t>
      </w:r>
      <w:r>
        <w:t xml:space="preserve">significant, consistent with the CDCM prediction that digital</w:t>
      </w:r>
      <w:r>
        <w:t xml:space="preserve"> </w:t>
      </w:r>
      <w:r>
        <w:t xml:space="preserve">capabilities provide stronger per-unit performance effects in weaker</w:t>
      </w:r>
      <w:r>
        <w:t xml:space="preserve"> </w:t>
      </w:r>
      <w:r>
        <w:t xml:space="preserve">institutional environments. The three-way FSTS×DAI×ICRV term (β =</w:t>
      </w:r>
      <w:r>
        <w:t xml:space="preserve"> </w:t>
      </w:r>
      <w:r>
        <w:t xml:space="preserve">−0.001, NS) is not significant, indicating that the DAI curve-reshaping</w:t>
      </w:r>
      <w:r>
        <w:t xml:space="preserve"> </w:t>
      </w:r>
      <w:r>
        <w:t xml:space="preserve">effect documented in M8/M9 does not systematically vary across the ICRV</w:t>
      </w:r>
      <w:r>
        <w:t xml:space="preserve"> </w:t>
      </w:r>
      <w:r>
        <w:t xml:space="preserve">regime gradient in this specification.</w:t>
      </w:r>
    </w:p>
    <w:p>
      <w:pPr>
        <w:pStyle w:val="BodyText"/>
      </w:pPr>
      <w:r>
        <w:t xml:space="preserve">AdjR² = .067 in M11 (vs. .049 in M10) indicates meaningful incremental</w:t>
      </w:r>
      <w:r>
        <w:t xml:space="preserve"> </w:t>
      </w:r>
      <w:r>
        <w:t xml:space="preserve">fit from adding the three-way moderation structure.</w:t>
      </w:r>
    </w:p>
    <w:p>
      <w:pPr>
        <w:pStyle w:val="BodyText"/>
      </w:pPr>
      <w:r>
        <w:rPr>
          <w:bCs/>
          <w:b/>
        </w:rPr>
        <w:t xml:space="preserve">H6 (three-way interaction) partially supported; M11 inverted-U is</w:t>
      </w:r>
      <w:r>
        <w:rPr>
          <w:bCs/>
          <w:b/>
        </w:rPr>
        <w:t xml:space="preserve"> </w:t>
      </w:r>
      <w:r>
        <w:rPr>
          <w:bCs/>
          <w:b/>
        </w:rPr>
        <w:t xml:space="preserve">confirmed.</w:t>
      </w:r>
      <w:r>
        <w:t xml:space="preserve"> </w:t>
      </w:r>
      <w:r>
        <w:t xml:space="preserve">The DAI×ICRV main interaction is statistically significant</w:t>
      </w:r>
      <w:r>
        <w:t xml:space="preserve"> </w:t>
      </w:r>
      <w:r>
        <w:t xml:space="preserve">(p = .012), supporting regime-contingent digital effects. The three-way</w:t>
      </w:r>
      <w:r>
        <w:t xml:space="preserve"> </w:t>
      </w:r>
      <w:r>
        <w:t xml:space="preserve">FSTS curve-reshaping via DAI×ICRV does not reach statistical</w:t>
      </w:r>
      <w:r>
        <w:t xml:space="preserve"> </w:t>
      </w:r>
      <w:r>
        <w:t xml:space="preserve">significance, the WBES DAI measure’s limited dimensionality (Tier 1–2</w:t>
      </w:r>
      <w:r>
        <w:t xml:space="preserve"> </w:t>
      </w:r>
      <w:r>
        <w:t xml:space="preserve">only) likely constrains detection of the full CDCM-predicted</w:t>
      </w:r>
      <w:r>
        <w:t xml:space="preserve"> </w:t>
      </w:r>
      <w:r>
        <w:t xml:space="preserve">interaction.</w:t>
      </w:r>
    </w:p>
    <w:bookmarkEnd w:id="41"/>
    <w:bookmarkEnd w:id="42"/>
    <w:bookmarkStart w:id="48" w:name="discussion"/>
    <w:p>
      <w:pPr>
        <w:pStyle w:val="Heading2"/>
      </w:pPr>
      <w:r>
        <w:t xml:space="preserve">5. Discussion</w:t>
      </w:r>
    </w:p>
    <w:bookmarkStart w:id="43" w:name="resolution-of-cross-study-heterogeneity"/>
    <w:p>
      <w:pPr>
        <w:pStyle w:val="Heading3"/>
      </w:pPr>
      <w:r>
        <w:t xml:space="preserve">5.1 Resolution of Cross-Study Heterogeneity</w:t>
      </w:r>
    </w:p>
    <w:p>
      <w:pPr>
        <w:pStyle w:val="FirstParagraph"/>
      </w:pPr>
      <w:r>
        <w:t xml:space="preserve">The central finding, an inverted-U with a turning point of 40.0% foreign sales intensity (M5; 33.8–40.0% across specifications), robust across 49 economies</w:t>
      </w:r>
      <w:r>
        <w:t xml:space="preserve"> </w:t>
      </w:r>
      <w:r>
        <w:t xml:space="preserve">and six ICRV groups, offers a parsimonious resolution to apparent</w:t>
      </w:r>
      <w:r>
        <w:t xml:space="preserve"> </w:t>
      </w:r>
      <w:r>
        <w:t xml:space="preserve">inconsistencies in the Asian I–P literature. Studies finding positive</w:t>
      </w:r>
      <w:r>
        <w:t xml:space="preserve"> </w:t>
      </w:r>
      <w:r>
        <w:t xml:space="preserve">linear effects (Pangarkar, 2008: Singapore; Cho et al., 2023: Korea) are</w:t>
      </w:r>
      <w:r>
        <w:t xml:space="preserve"> </w:t>
      </w:r>
      <w:r>
        <w:t xml:space="preserve">working with samples centred well below the turning point; their</w:t>
      </w:r>
      <w:r>
        <w:t xml:space="preserve"> </w:t>
      </w:r>
      <w:r>
        <w:t xml:space="preserve">firms are on the ascending limb. Studies finding null or negative</w:t>
      </w:r>
      <w:r>
        <w:t xml:space="preserve"> </w:t>
      </w:r>
      <w:r>
        <w:t xml:space="preserve">results (Mondal et al., 2022: India family firms) may be capturing firms</w:t>
      </w:r>
      <w:r>
        <w:t xml:space="preserve"> </w:t>
      </w:r>
      <w:r>
        <w:t xml:space="preserve">above the turning point in a high-WBES-wave year. Our ICRV moderation</w:t>
      </w:r>
      <w:r>
        <w:t xml:space="preserve"> </w:t>
      </w:r>
      <w:r>
        <w:t xml:space="preserve">result provides a further refinement: the turning point itself varies</w:t>
      </w:r>
      <w:r>
        <w:t xml:space="preserve"> </w:t>
      </w:r>
      <w:r>
        <w:t xml:space="preserve">from approximately 28% (Group I) to 55% (Group V–VI), so studies in</w:t>
      </w:r>
      <w:r>
        <w:t xml:space="preserve"> </w:t>
      </w:r>
      <w:r>
        <w:t xml:space="preserve">institutionally advanced economies are likely to find earlier-peaking</w:t>
      </w:r>
      <w:r>
        <w:t xml:space="preserve"> </w:t>
      </w:r>
      <w:r>
        <w:t xml:space="preserve">effects than studies in frontier economies.</w:t>
      </w:r>
    </w:p>
    <w:bookmarkEnd w:id="43"/>
    <w:bookmarkStart w:id="44" w:name="technology-as-amplifier-not-moderator"/>
    <w:p>
      <w:pPr>
        <w:pStyle w:val="Heading3"/>
      </w:pPr>
      <w:r>
        <w:t xml:space="preserve">5.2 Technology as Amplifier, Not Moderator</w:t>
      </w:r>
    </w:p>
    <w:p>
      <w:pPr>
        <w:pStyle w:val="FirstParagraph"/>
      </w:pPr>
      <w:r>
        <w:t xml:space="preserve">The finding that TCI raises the performance level without reliably</w:t>
      </w:r>
      <w:r>
        <w:t xml:space="preserve"> </w:t>
      </w:r>
      <w:r>
        <w:t xml:space="preserve">reshaping the I–P curve in the pooled sample distinguishes the</w:t>
      </w:r>
      <w:r>
        <w:t xml:space="preserve"> </w:t>
      </w:r>
      <w:r>
        <w:t xml:space="preserve">cross-economy result from country-specific evidence. In P3 Vietnam and</w:t>
      </w:r>
      <w:r>
        <w:t xml:space="preserve"> </w:t>
      </w:r>
      <w:r>
        <w:t xml:space="preserve">P5 China, TCI moderated the curve shape; in the 49-economy pool,</w:t>
      </w:r>
      <w:r>
        <w:t xml:space="preserve"> </w:t>
      </w:r>
      <w:r>
        <w:t xml:space="preserve">institutional heterogeneity attenuates that moderation signal. This is</w:t>
      </w:r>
      <w:r>
        <w:t xml:space="preserve"> </w:t>
      </w:r>
      <w:r>
        <w:t xml:space="preserve">consistent with the absorptive capacity argument (Cohen &amp; Levinthal,</w:t>
      </w:r>
      <w:r>
        <w:t xml:space="preserve"> </w:t>
      </w:r>
      <w:r>
        <w:t xml:space="preserve">1990): high-TCI firms process international market signals more</w:t>
      </w:r>
      <w:r>
        <w:t xml:space="preserve"> </w:t>
      </w:r>
      <w:r>
        <w:t xml:space="preserve">effectively, but the curve-shaping benefit requires institutional</w:t>
      </w:r>
      <w:r>
        <w:t xml:space="preserve"> </w:t>
      </w:r>
      <w:r>
        <w:t xml:space="preserve">complementarity (e.g., strong IP protection, technology transfer</w:t>
      </w:r>
      <w:r>
        <w:t xml:space="preserve"> </w:t>
      </w:r>
      <w:r>
        <w:t xml:space="preserve">infrastructure) that is inconsistently present across the full ICRV</w:t>
      </w:r>
      <w:r>
        <w:t xml:space="preserve"> </w:t>
      </w:r>
      <w:r>
        <w:t xml:space="preserve">spectrum. The practical implication is that technological capability</w:t>
      </w:r>
      <w:r>
        <w:t xml:space="preserve"> </w:t>
      </w:r>
      <w:r>
        <w:t xml:space="preserve">raises the performance floor universally, but its curve-reshaping role</w:t>
      </w:r>
      <w:r>
        <w:t xml:space="preserve"> </w:t>
      </w:r>
      <w:r>
        <w:t xml:space="preserve">is context-contingent and cannot be assumed at scale.</w:t>
      </w:r>
    </w:p>
    <w:bookmarkEnd w:id="44"/>
    <w:bookmarkStart w:id="45" w:name="Xf6197b5ae9fc313cd14220a896ca012fd7330cf"/>
    <w:p>
      <w:pPr>
        <w:pStyle w:val="Heading3"/>
      </w:pPr>
      <w:r>
        <w:t xml:space="preserve">5.3 Digital Adoption and Institutional Complementarity</w:t>
      </w:r>
    </w:p>
    <w:p>
      <w:pPr>
        <w:pStyle w:val="FirstParagraph"/>
      </w:pPr>
      <w:r>
        <w:t xml:space="preserve">The capability-complementarity curve reshaping found for DAI in M9, and</w:t>
      </w:r>
      <w:r>
        <w:t xml:space="preserve"> </w:t>
      </w:r>
      <w:r>
        <w:t xml:space="preserve">the significant DAI×ICRV interaction (β = +0.060, p = .012) in M11</w:t>
      </w:r>
      <w:r>
        <w:t xml:space="preserve"> </w:t>
      </w:r>
      <w:r>
        <w:t xml:space="preserve">provides the first multi-economy evidence for the CDCM prediction that</w:t>
      </w:r>
      <w:r>
        <w:t xml:space="preserve"> </w:t>
      </w:r>
      <w:r>
        <w:t xml:space="preserve">digital capabilities’ performance effects are context-contingent. In</w:t>
      </w:r>
      <w:r>
        <w:t xml:space="preserve"> </w:t>
      </w:r>
      <w:r>
        <w:t xml:space="preserve">institutionally stronger economies (Group I–II), digital infrastructure</w:t>
      </w:r>
      <w:r>
        <w:t xml:space="preserve"> </w:t>
      </w:r>
      <w:r>
        <w:t xml:space="preserve">is near-universal and therefore provides competitive advantage only to</w:t>
      </w:r>
      <w:r>
        <w:t xml:space="preserve"> </w:t>
      </w:r>
      <w:r>
        <w:t xml:space="preserve">early adopters at the margin; in weaker institutional environments</w:t>
      </w:r>
      <w:r>
        <w:t xml:space="preserve"> </w:t>
      </w:r>
      <w:r>
        <w:t xml:space="preserve">(Group IV–VI), digital adoption remains differentiating. The implication</w:t>
      </w:r>
      <w:r>
        <w:t xml:space="preserve"> </w:t>
      </w:r>
      <w:r>
        <w:t xml:space="preserve">is that policies promoting digitalisation in frontier economies are</w:t>
      </w:r>
      <w:r>
        <w:t xml:space="preserve"> </w:t>
      </w:r>
      <w:r>
        <w:t xml:space="preserve">likely to generate stronger firm-level returns per unit of adoption than</w:t>
      </w:r>
      <w:r>
        <w:t xml:space="preserve"> </w:t>
      </w:r>
      <w:r>
        <w:t xml:space="preserve">equivalent policies in advanced economies.</w:t>
      </w:r>
    </w:p>
    <w:bookmarkEnd w:id="45"/>
    <w:bookmarkStart w:id="46" w:name="managerial-heterogeneity"/>
    <w:p>
      <w:pPr>
        <w:pStyle w:val="Heading3"/>
      </w:pPr>
      <w:r>
        <w:t xml:space="preserve">5.4 Managerial Heterogeneity</w:t>
      </w:r>
    </w:p>
    <w:p>
      <w:pPr>
        <w:pStyle w:val="FirstParagraph"/>
      </w:pPr>
      <w:r>
        <w:t xml:space="preserve">The consistent and significant performance premium for female top</w:t>
      </w:r>
      <w:r>
        <w:t xml:space="preserve"> </w:t>
      </w:r>
      <w:r>
        <w:t xml:space="preserve">managers (approximately 17–20% across specifications) is notable given</w:t>
      </w:r>
      <w:r>
        <w:t xml:space="preserve"> </w:t>
      </w:r>
      <w:r>
        <w:t xml:space="preserve">the diversity of economies in our sample, from conservative Gulf</w:t>
      </w:r>
      <w:r>
        <w:t xml:space="preserve"> </w:t>
      </w:r>
      <w:r>
        <w:t xml:space="preserve">economies (Bahrain, Iraq) to progressive innovation hubs (Korea,</w:t>
      </w:r>
      <w:r>
        <w:t xml:space="preserve"> </w:t>
      </w:r>
      <w:r>
        <w:t xml:space="preserve">Singapore, Israel). This cross-context robustness supports the view that</w:t>
      </w:r>
      <w:r>
        <w:t xml:space="preserve"> </w:t>
      </w:r>
      <w:r>
        <w:t xml:space="preserve">female top management is a genuine resource (Hambrick &amp; Mason, 1984;</w:t>
      </w:r>
      <w:r>
        <w:t xml:space="preserve"> </w:t>
      </w:r>
      <w:r>
        <w:t xml:space="preserve">Richard et al., 2019), not merely a proxy for firm governance quality.</w:t>
      </w:r>
      <w:r>
        <w:t xml:space="preserve"> </w:t>
      </w:r>
      <w:r>
        <w:t xml:space="preserve">The null curve-moderation result (FSTS×female_manager not significant)</w:t>
      </w:r>
      <w:r>
        <w:t xml:space="preserve"> </w:t>
      </w:r>
      <w:r>
        <w:t xml:space="preserve">suggests that the performance premium is universal across FSTS levels</w:t>
      </w:r>
      <w:r>
        <w:t xml:space="preserve"> </w:t>
      </w:r>
      <w:r>
        <w:t xml:space="preserve">female managers improve absolute performance but do not help firms</w:t>
      </w:r>
      <w:r>
        <w:t xml:space="preserve"> </w:t>
      </w:r>
      <w:r>
        <w:t xml:space="preserve">navigate internationalization more efficiently.</w:t>
      </w:r>
    </w:p>
    <w:p>
      <w:pPr>
        <w:pStyle w:val="BodyText"/>
      </w:pPr>
      <w:r>
        <w:t xml:space="preserve">Two recent World Bank studies corroborate the premium from a supply-side</w:t>
      </w:r>
      <w:r>
        <w:t xml:space="preserve"> </w:t>
      </w:r>
      <w:r>
        <w:t xml:space="preserve">perspective. In Vietnam, one of our largest ICRV Group IV contributors,</w:t>
      </w:r>
      <w:r>
        <w:t xml:space="preserve"> </w:t>
      </w:r>
      <w:r>
        <w:t xml:space="preserve">with a female-to-male labour force participation ratio of 88.61% (World</w:t>
      </w:r>
      <w:r>
        <w:t xml:space="preserve"> </w:t>
      </w:r>
      <w:r>
        <w:t xml:space="preserve">Bank Prosperity Data360, 2025), the</w:t>
      </w:r>
      <w:r>
        <w:t xml:space="preserve"> </w:t>
      </w:r>
      <w:r>
        <w:rPr>
          <w:iCs/>
          <w:i/>
        </w:rPr>
        <w:t xml:space="preserve">Care for Growth</w:t>
      </w:r>
      <w:r>
        <w:t xml:space="preserve"> </w:t>
      </w:r>
      <w:r>
        <w:t xml:space="preserve">policy note</w:t>
      </w:r>
      <w:r>
        <w:t xml:space="preserve"> </w:t>
      </w:r>
      <w:r>
        <w:t xml:space="preserve">(Buchhave et al., 2026) documents that women who hold management</w:t>
      </w:r>
      <w:r>
        <w:t xml:space="preserve"> </w:t>
      </w:r>
      <w:r>
        <w:t xml:space="preserve">positions have cleared exceptional retention barriers: childbirth</w:t>
      </w:r>
      <w:r>
        <w:t xml:space="preserve"> </w:t>
      </w:r>
      <w:r>
        <w:t xml:space="preserve">reduces women’s wage employment probability by 8.1 percentage points and</w:t>
      </w:r>
      <w:r>
        <w:t xml:space="preserve"> </w:t>
      </w:r>
      <w:r>
        <w:t xml:space="preserve">urban household income by 27%, with no significant effect on fathers.</w:t>
      </w:r>
      <w:r>
        <w:t xml:space="preserve"> </w:t>
      </w:r>
      <w:r>
        <w:t xml:space="preserve">Women who reach managerial rank therefore represent a highly selected</w:t>
      </w:r>
      <w:r>
        <w:t xml:space="preserve"> </w:t>
      </w:r>
      <w:r>
        <w:t xml:space="preserve">and committed workforce stratum, consistent with the productivity</w:t>
      </w:r>
      <w:r>
        <w:t xml:space="preserve"> </w:t>
      </w:r>
      <w:r>
        <w:t xml:space="preserve">premium we estimate. At the sector level, IFC (2022) similarly documents</w:t>
      </w:r>
      <w:r>
        <w:t xml:space="preserve"> </w:t>
      </w:r>
      <w:r>
        <w:t xml:space="preserve">that female leadership in Vietnamese banking is associated with superior</w:t>
      </w:r>
      <w:r>
        <w:t xml:space="preserve"> </w:t>
      </w:r>
      <w:r>
        <w:t xml:space="preserve">risk management and stakeholder orientation, the relational-capital</w:t>
      </w:r>
      <w:r>
        <w:t xml:space="preserve"> </w:t>
      </w:r>
      <w:r>
        <w:t xml:space="preserve">mechanisms posited by Upper Echelons Theory (Hambrick &amp; Mason, 1984).</w:t>
      </w:r>
      <w:r>
        <w:t xml:space="preserve"> </w:t>
      </w:r>
      <w:r>
        <w:t xml:space="preserve">These convergent pieces of evidence strengthen the interpretation that</w:t>
      </w:r>
      <w:r>
        <w:t xml:space="preserve"> </w:t>
      </w:r>
      <w:r>
        <w:t xml:space="preserve">the WBES-estimated premium reflects genuine managerial capability rather</w:t>
      </w:r>
      <w:r>
        <w:t xml:space="preserve"> </w:t>
      </w:r>
      <w:r>
        <w:t xml:space="preserve">than endogenous selection into high-productivity firms.</w:t>
      </w:r>
    </w:p>
    <w:bookmarkEnd w:id="46"/>
    <w:bookmarkStart w:id="47" w:name="limitations"/>
    <w:p>
      <w:pPr>
        <w:pStyle w:val="Heading3"/>
      </w:pPr>
      <w:r>
        <w:t xml:space="preserve">5.5 Limitations</w:t>
      </w:r>
    </w:p>
    <w:p>
      <w:pPr>
        <w:pStyle w:val="FirstParagraph"/>
      </w:pPr>
      <w:r>
        <w:t xml:space="preserve">Three inferential constraints bound these findings. First, WBES is a</w:t>
      </w:r>
      <w:r>
        <w:t xml:space="preserve"> </w:t>
      </w:r>
      <w:r>
        <w:t xml:space="preserve">cross-sectional design: the term</w:t>
      </w:r>
      <w:r>
        <w:t xml:space="preserve"> </w:t>
      </w:r>
      <w:r>
        <w:t xml:space="preserve">“</w:t>
      </w:r>
      <w:r>
        <w:t xml:space="preserve">performance</w:t>
      </w:r>
      <w:r>
        <w:t xml:space="preserve">”</w:t>
      </w:r>
      <w:r>
        <w:t xml:space="preserve"> </w:t>
      </w:r>
      <w:r>
        <w:t xml:space="preserve">throughout refers to a</w:t>
      </w:r>
      <w:r>
        <w:t xml:space="preserve"> </w:t>
      </w:r>
      <w:r>
        <w:t xml:space="preserve">contemporaneous association between FSTS and labour productivity in a</w:t>
      </w:r>
      <w:r>
        <w:t xml:space="preserve"> </w:t>
      </w:r>
      <w:r>
        <w:t xml:space="preserve">given survey year, not a panel-tracked causal effect. The IV strategy</w:t>
      </w:r>
      <w:r>
        <w:t xml:space="preserve"> </w:t>
      </w:r>
      <w:r>
        <w:t xml:space="preserve">used in P3 Vietnam to address selection into exporting is not available</w:t>
      </w:r>
      <w:r>
        <w:t xml:space="preserve"> </w:t>
      </w:r>
      <w:r>
        <w:t xml:space="preserve">at scale across 34 economies. Second, the DAI measure is limited to Tier</w:t>
      </w:r>
      <w:r>
        <w:t xml:space="preserve"> </w:t>
      </w:r>
      <w:r>
        <w:t xml:space="preserve">1 (website) and Tier 2 (e-payment) capabilities in most WBES waves; the</w:t>
      </w:r>
      <w:r>
        <w:t xml:space="preserve"> </w:t>
      </w:r>
      <w:r>
        <w:t xml:space="preserve">richer digital capability dimensions captured in more recent BEE-schema</w:t>
      </w:r>
      <w:r>
        <w:t xml:space="preserve"> </w:t>
      </w:r>
      <w:r>
        <w:t xml:space="preserve">waves are not yet available for the majority of economies. Third, the</w:t>
      </w:r>
      <w:r>
        <w:t xml:space="preserve"> </w:t>
      </w:r>
      <w:r>
        <w:t xml:space="preserve">dataset now covers all 49 ICRV-mapped economies across six regime</w:t>
      </w:r>
      <w:r>
        <w:t xml:space="preserve"> </w:t>
      </w:r>
      <w:r>
        <w:t xml:space="preserve">groups; however, Oman’s available wave (2003) predates the</w:t>
      </w:r>
      <w:r>
        <w:t xml:space="preserve"> </w:t>
      </w:r>
      <w:r>
        <w:t xml:space="preserve">digital-capability variables, limiting its contribution to baseline</w:t>
      </w:r>
      <w:r>
        <w:t xml:space="preserve"> </w:t>
      </w:r>
      <w:r>
        <w:t xml:space="preserve">models only. Future waves of the Oman WBES would sharpen Group II</w:t>
      </w:r>
      <w:r>
        <w:t xml:space="preserve"> </w:t>
      </w:r>
      <w:r>
        <w:t xml:space="preserve">estimates.</w:t>
      </w:r>
    </w:p>
    <w:bookmarkEnd w:id="47"/>
    <w:bookmarkEnd w:id="48"/>
    <w:bookmarkStart w:id="49" w:name="conclusions"/>
    <w:p>
      <w:pPr>
        <w:pStyle w:val="Heading2"/>
      </w:pPr>
      <w:r>
        <w:t xml:space="preserve">6. Conclusions</w:t>
      </w:r>
    </w:p>
    <w:p>
      <w:pPr>
        <w:pStyle w:val="FirstParagraph"/>
      </w:pPr>
      <w:r>
        <w:t xml:space="preserve">We find that the inverted-U I–P relationship holds robustly across a</w:t>
      </w:r>
      <w:r>
        <w:t xml:space="preserve"> </w:t>
      </w:r>
      <w:r>
        <w:t xml:space="preserve">49-economy, 102-wave WBES sample, with a turning point of 40.0% foreign sales intensity in the fully specified model M5 (33.8–40.0% across specifications). Three conclusions are policy-relevant.</w:t>
      </w:r>
      <w:r>
        <w:t xml:space="preserve"> </w:t>
      </w:r>
      <w:r>
        <w:t xml:space="preserve">First, for firms in the ascending phase (FSTS below the ~40% turning point), intensifying</w:t>
      </w:r>
      <w:r>
        <w:t xml:space="preserve"> </w:t>
      </w:r>
      <w:r>
        <w:t xml:space="preserve">internationalization is productivity-enhancing; the priority is removing</w:t>
      </w:r>
      <w:r>
        <w:t xml:space="preserve"> </w:t>
      </w:r>
      <w:r>
        <w:t xml:space="preserve">barriers to export expansion. For firms beyond the turning point, the</w:t>
      </w:r>
      <w:r>
        <w:t xml:space="preserve"> </w:t>
      </w:r>
      <w:r>
        <w:t xml:space="preserve">constraint is not market access but coordination capacity. Second,</w:t>
      </w:r>
      <w:r>
        <w:t xml:space="preserve"> </w:t>
      </w:r>
      <w:r>
        <w:t xml:space="preserve">building technological capability raises the performance level across</w:t>
      </w:r>
      <w:r>
        <w:t xml:space="preserve"> </w:t>
      </w:r>
      <w:r>
        <w:t xml:space="preserve">all FSTS levels without reliably reshaping the curve; policy should</w:t>
      </w:r>
      <w:r>
        <w:t xml:space="preserve"> </w:t>
      </w:r>
      <w:r>
        <w:t xml:space="preserve">target capability building as a baseline performance lever rather than</w:t>
      </w:r>
      <w:r>
        <w:t xml:space="preserve"> </w:t>
      </w:r>
      <w:r>
        <w:t xml:space="preserve">as a curve-shifting intervention. Third, digital adoption is both a</w:t>
      </w:r>
      <w:r>
        <w:t xml:space="preserve"> </w:t>
      </w:r>
      <w:r>
        <w:t xml:space="preserve">universal performance enhancer and a primary curve reshaper: DAI</w:t>
      </w:r>
      <w:r>
        <w:t xml:space="preserve"> </w:t>
      </w:r>
      <w:r>
        <w:t xml:space="preserve">compresses ascending-limb returns and attenuates descending-limb</w:t>
      </w:r>
      <w:r>
        <w:t xml:space="preserve"> </w:t>
      </w:r>
      <w:r>
        <w:t xml:space="preserve">performance decline, with stronger returns in weaker institutional</w:t>
      </w:r>
      <w:r>
        <w:t xml:space="preserve"> </w:t>
      </w:r>
      <w:r>
        <w:t xml:space="preserve">environments (DAI×ICRV, p = .012).</w:t>
      </w:r>
    </w:p>
    <w:p>
      <w:pPr>
        <w:pStyle w:val="BodyText"/>
      </w:pPr>
      <w:r>
        <w:t xml:space="preserve">The near-term policy context adds urgency to these findings. World Bank</w:t>
      </w:r>
      <w:r>
        <w:t xml:space="preserve"> </w:t>
      </w:r>
      <w:r>
        <w:t xml:space="preserve">(2026b) macro monitoring data for Vietnam, the largest ICRV Group IV</w:t>
      </w:r>
      <w:r>
        <w:t xml:space="preserve"> </w:t>
      </w:r>
      <w:r>
        <w:t xml:space="preserve">economy in the sample, show manufacturing PMI falling to 45.3</w:t>
      </w:r>
      <w:r>
        <w:t xml:space="preserve"> </w:t>
      </w:r>
      <w:r>
        <w:t xml:space="preserve">(contraction) in March 2026 as new export orders collapsed following the</w:t>
      </w:r>
      <w:r>
        <w:t xml:space="preserve"> </w:t>
      </w:r>
      <w:r>
        <w:t xml:space="preserve">opening of a U.S. trade-representative investigation; merchandise</w:t>
      </w:r>
      <w:r>
        <w:t xml:space="preserve"> </w:t>
      </w:r>
      <w:r>
        <w:t xml:space="preserve">imports had risen 27.8% year-on-year by the same month, partly driven by</w:t>
      </w:r>
      <w:r>
        <w:t xml:space="preserve"> </w:t>
      </w:r>
      <w:r>
        <w:t xml:space="preserve">energy supply-chain disruption from the Strait of Hormuz conflict. These</w:t>
      </w:r>
      <w:r>
        <w:t xml:space="preserve"> </w:t>
      </w:r>
      <w:r>
        <w:t xml:space="preserve">conditions are precisely those under which the right-side of the</w:t>
      </w:r>
      <w:r>
        <w:t xml:space="preserve"> </w:t>
      </w:r>
      <w:r>
        <w:t xml:space="preserve">inverted-U becomes consequential: firms pushed above their optimal FSTS</w:t>
      </w:r>
      <w:r>
        <w:t xml:space="preserve"> </w:t>
      </w:r>
      <w:r>
        <w:t xml:space="preserve">by earlier export commitments face amplified coordination and input-cost</w:t>
      </w:r>
      <w:r>
        <w:t xml:space="preserve"> </w:t>
      </w:r>
      <w:r>
        <w:t xml:space="preserve">pressures. The ICRV moderation result, that Group IV firms face steeper</w:t>
      </w:r>
      <w:r>
        <w:t xml:space="preserve"> </w:t>
      </w:r>
      <w:r>
        <w:t xml:space="preserve">descending-limb penalties, implies that Vietnamese exporters currently</w:t>
      </w:r>
      <w:r>
        <w:t xml:space="preserve"> </w:t>
      </w:r>
      <w:r>
        <w:t xml:space="preserve">above the FSTS turning point are among the most exposed to macro</w:t>
      </w:r>
      <w:r>
        <w:t xml:space="preserve"> </w:t>
      </w:r>
      <w:r>
        <w:t xml:space="preserve">shocks. Policies promoting digital capability adoption (DAI) can buffer</w:t>
      </w:r>
      <w:r>
        <w:t xml:space="preserve"> </w:t>
      </w:r>
      <w:r>
        <w:t xml:space="preserve">this descent by compressing the descending limb, consistent with our</w:t>
      </w:r>
      <w:r>
        <w:t xml:space="preserve"> </w:t>
      </w:r>
      <w:r>
        <w:t xml:space="preserve">M8/M9 estimates.</w:t>
      </w:r>
    </w:p>
    <w:p>
      <w:pPr>
        <w:pStyle w:val="BodyText"/>
      </w:pPr>
      <w:r>
        <w:t xml:space="preserve">Future research should leverage the growing panel dimensions of WBES to</w:t>
      </w:r>
      <w:r>
        <w:t xml:space="preserve"> </w:t>
      </w:r>
      <w:r>
        <w:t xml:space="preserve">establish causality, and incorporate Tier 3–4 digital capability</w:t>
      </w:r>
      <w:r>
        <w:t xml:space="preserve"> </w:t>
      </w:r>
      <w:r>
        <w:t xml:space="preserve">measures (AI adoption, cloud computing, platform participation) as these</w:t>
      </w:r>
      <w:r>
        <w:t xml:space="preserve"> </w:t>
      </w:r>
      <w:r>
        <w:t xml:space="preserve">items become available in the 2025+ WBES waves.</w:t>
      </w:r>
    </w:p>
    <w:bookmarkEnd w:id="49"/>
    <w:bookmarkStart w:id="50" w:name="X799c23334c5944d058eaf15944a1408ff96b683"/>
    <w:p>
      <w:pPr>
        <w:pStyle w:val="Heading2"/>
      </w:pPr>
      <w:r>
        <w:t xml:space="preserve">Use of Generative AI in the Writing Process</w:t>
      </w:r>
    </w:p>
    <w:p>
      <w:pPr>
        <w:pStyle w:val="FirstParagraph"/>
      </w:pPr>
      <w:r>
        <w:t xml:space="preserve">During the preparation of this work, the author(s) used Grammarly, a writing-assistance tool, to correct spelling, grammar, and punctuation in the author(s)’ own original text. No generative artificial-intelligence tool was used to generate, draft, or create any substantive content, analysis, or interpretation. The author(s) reviewed and edited the output and take(s) full responsibility for the content of the publication.</w:t>
      </w:r>
    </w:p>
    <w:bookmarkEnd w:id="50"/>
    <w:bookmarkStart w:id="75"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w:t>
      </w:r>
      <w:r>
        <w:rPr>
          <w:iCs/>
          <w:i/>
        </w:rPr>
        <w:t xml:space="preserve"> </w:t>
      </w:r>
      <w:r>
        <w:rPr>
          <w:iCs/>
          <w:i/>
        </w:rPr>
        <w:t xml:space="preserve">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1">
        <w:r>
          <w:rPr>
            <w:rStyle w:val="Hyperlink"/>
          </w:rPr>
          <w:t xml:space="preserve">https://doi.org/10.1177/014920639101700108</w:t>
        </w:r>
      </w:hyperlink>
    </w:p>
    <w:p>
      <w:pPr>
        <w:pStyle w:val="BodyText"/>
      </w:pPr>
      <w:r>
        <w:t xml:space="preserve">Buchhave, H., Nguyen, C. V., Vu, C., Nguyen, G. T., &amp; Zumbyte, I.</w:t>
      </w:r>
      <w:r>
        <w:t xml:space="preserve"> </w:t>
      </w:r>
      <w:r>
        <w:t xml:space="preserve">(2026).</w:t>
      </w:r>
      <w:r>
        <w:t xml:space="preserve"> </w:t>
      </w:r>
      <w:r>
        <w:rPr>
          <w:iCs/>
          <w:i/>
        </w:rPr>
        <w:t xml:space="preserve">Care for growth: Making industrial jobs work for women in Viet</w:t>
      </w:r>
      <w:r>
        <w:rPr>
          <w:iCs/>
          <w:i/>
        </w:rPr>
        <w:t xml:space="preserve"> </w:t>
      </w:r>
      <w:r>
        <w:rPr>
          <w:iCs/>
          <w:i/>
        </w:rPr>
        <w:t xml:space="preserve">Nam</w:t>
      </w:r>
      <w:r>
        <w:t xml:space="preserve"> </w:t>
      </w:r>
      <w:r>
        <w:t xml:space="preserve">(Policy Summary Note). World Bank Group &amp; Australian Aid.</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r>
        <w:t xml:space="preserve"> </w:t>
      </w:r>
      <w:hyperlink r:id="rId52">
        <w:r>
          <w:rPr>
            <w:rStyle w:val="Hyperlink"/>
          </w:rPr>
          <w:t xml:space="preserve">https://doi.org/10.1007/s11575-007-0019-z</w:t>
        </w:r>
      </w:hyperlink>
    </w:p>
    <w:p>
      <w:pPr>
        <w:pStyle w:val="BodyText"/>
      </w:pPr>
      <w:r>
        <w:t xml:space="preserve">Chiao, Y.-C., Yang, K.-P., &amp; Yu, C.-M. J. (2006). Performance,</w:t>
      </w:r>
      <w:r>
        <w:t xml:space="preserve"> </w:t>
      </w:r>
      <w:r>
        <w:t xml:space="preserve">internationalization, and firm-specific advantages of SMEs in a</w:t>
      </w:r>
      <w:r>
        <w:t xml:space="preserve"> </w:t>
      </w:r>
      <w:r>
        <w:t xml:space="preserve">newly-industrialized economy.</w:t>
      </w:r>
      <w:r>
        <w:t xml:space="preserve"> </w:t>
      </w:r>
      <w:r>
        <w:rPr>
          <w:iCs/>
          <w:i/>
        </w:rPr>
        <w:t xml:space="preserve">Small Business Economics, 26</w:t>
      </w:r>
      <w:r>
        <w:t xml:space="preserve">(5),</w:t>
      </w:r>
      <w:r>
        <w:t xml:space="preserve"> </w:t>
      </w:r>
      <w:r>
        <w:t xml:space="preserve">475–492.</w:t>
      </w:r>
      <w:r>
        <w:t xml:space="preserve"> </w:t>
      </w:r>
      <w:hyperlink r:id="rId53">
        <w:r>
          <w:rPr>
            <w:rStyle w:val="Hyperlink"/>
          </w:rPr>
          <w:t xml:space="preserve">https://doi.org/10.1007/s11187-005-5599-z</w:t>
        </w:r>
      </w:hyperlink>
    </w:p>
    <w:p>
      <w:pPr>
        <w:pStyle w:val="BodyText"/>
      </w:pPr>
      <w:r>
        <w:t xml:space="preserve">Cho, H., Kim, C., &amp; Han, S. (2023). Business group affiliation and the</w:t>
      </w:r>
      <w:r>
        <w:t xml:space="preserve"> </w:t>
      </w:r>
      <w:r>
        <w:t xml:space="preserve">internationalization–performance relationship: Evidence from Korean</w:t>
      </w:r>
      <w:r>
        <w:t xml:space="preserve"> </w:t>
      </w:r>
      <w:r>
        <w:t xml:space="preserve">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w:t>
      </w:r>
      <w:r>
        <w:t xml:space="preserve"> </w:t>
      </w:r>
      <w:r>
        <w:t xml:space="preserve">perspective on learning and innovation.</w:t>
      </w:r>
      <w:r>
        <w:t xml:space="preserve"> </w:t>
      </w:r>
      <w:r>
        <w:rPr>
          <w:iCs/>
          <w:i/>
        </w:rPr>
        <w:t xml:space="preserve">Administrative Science</w:t>
      </w:r>
      <w:r>
        <w:rPr>
          <w:iCs/>
          <w:i/>
        </w:rPr>
        <w:t xml:space="preserve"> </w:t>
      </w:r>
      <w:r>
        <w:rPr>
          <w:iCs/>
          <w:i/>
        </w:rPr>
        <w:t xml:space="preserve">Quarterly, 35</w:t>
      </w:r>
      <w:r>
        <w:t xml:space="preserve">(1), 128–152.</w:t>
      </w:r>
      <w:r>
        <w:t xml:space="preserve"> </w:t>
      </w:r>
      <w:hyperlink r:id="rId54">
        <w:r>
          <w:rPr>
            <w:rStyle w:val="Hyperlink"/>
          </w:rPr>
          <w:t xml:space="preserve">https://doi.org/10.2307/2393553</w:t>
        </w:r>
      </w:hyperlink>
    </w:p>
    <w:p>
      <w:pPr>
        <w:pStyle w:val="BodyText"/>
      </w:pPr>
      <w:r>
        <w:t xml:space="preserve">Contractor, F. J., Kundu, S. K., &amp; Hsu, C.-C. (2003). A three-stage</w:t>
      </w:r>
      <w:r>
        <w:t xml:space="preserve"> </w:t>
      </w:r>
      <w:r>
        <w:t xml:space="preserve">theory of international expansion: The link between multinationality and</w:t>
      </w:r>
      <w:r>
        <w:t xml:space="preserve"> </w:t>
      </w:r>
      <w:r>
        <w:t xml:space="preserve">performance in the service sector.</w:t>
      </w:r>
      <w:r>
        <w:t xml:space="preserve"> </w:t>
      </w:r>
      <w:r>
        <w:rPr>
          <w:iCs/>
          <w:i/>
        </w:rPr>
        <w:t xml:space="preserve">Journal of International Business</w:t>
      </w:r>
      <w:r>
        <w:rPr>
          <w:iCs/>
          <w:i/>
        </w:rPr>
        <w:t xml:space="preserve"> </w:t>
      </w:r>
      <w:r>
        <w:rPr>
          <w:iCs/>
          <w:i/>
        </w:rPr>
        <w:t xml:space="preserve">Studies, 34</w:t>
      </w:r>
      <w:r>
        <w:t xml:space="preserve">(1), 5–18.</w:t>
      </w:r>
      <w:r>
        <w:t xml:space="preserve"> </w:t>
      </w:r>
      <w:hyperlink r:id="rId55">
        <w:r>
          <w:rPr>
            <w:rStyle w:val="Hyperlink"/>
          </w:rPr>
          <w:t xml:space="preserve">https://doi.org/10.1057/palgrave.jibs.8400003</w:t>
        </w:r>
      </w:hyperlink>
    </w:p>
    <w:p>
      <w:pPr>
        <w:pStyle w:val="BodyText"/>
      </w:pPr>
      <w:r>
        <w:t xml:space="preserve">Contractor, F. J., Kumar, V., &amp; Kundu, S. K. (2007). Nature of the</w:t>
      </w:r>
      <w:r>
        <w:t xml:space="preserve"> </w:t>
      </w:r>
      <w:r>
        <w:t xml:space="preserve">relationship between international expansion and performance: The case</w:t>
      </w:r>
      <w:r>
        <w:t xml:space="preserve"> </w:t>
      </w:r>
      <w:r>
        <w:t xml:space="preserve">of emerging market firms.</w:t>
      </w:r>
      <w:r>
        <w:t xml:space="preserve"> </w:t>
      </w:r>
      <w:r>
        <w:rPr>
          <w:iCs/>
          <w:i/>
        </w:rPr>
        <w:t xml:space="preserve">Journal of World Business, 42</w:t>
      </w:r>
      <w:r>
        <w:t xml:space="preserve">(4), 401–417.</w:t>
      </w:r>
      <w:r>
        <w:t xml:space="preserve"> </w:t>
      </w:r>
      <w:hyperlink r:id="rId56">
        <w:r>
          <w:rPr>
            <w:rStyle w:val="Hyperlink"/>
          </w:rPr>
          <w:t xml:space="preserve">https://doi.org/10.1016/j.jwb.2007.06.003</w:t>
        </w:r>
      </w:hyperlink>
    </w:p>
    <w:p>
      <w:pPr>
        <w:pStyle w:val="BodyText"/>
      </w:pPr>
      <w:r>
        <w:t xml:space="preserve">Cuervo-Cazurra, A., Ciravegna, L., Melgarejo, M., &amp; Lopez, L. (2018).</w:t>
      </w:r>
      <w:r>
        <w:t xml:space="preserve"> </w:t>
      </w:r>
      <w:r>
        <w:t xml:space="preserve">Home country uncertainty and the internationalization-performance</w:t>
      </w:r>
      <w:r>
        <w:t xml:space="preserve"> </w:t>
      </w:r>
      <w:r>
        <w:t xml:space="preserve">relationship: Building an uncertainty management capability.</w:t>
      </w:r>
      <w:r>
        <w:t xml:space="preserve"> </w:t>
      </w:r>
      <w:r>
        <w:rPr>
          <w:iCs/>
          <w:i/>
        </w:rPr>
        <w:t xml:space="preserve">Journal of</w:t>
      </w:r>
      <w:r>
        <w:rPr>
          <w:iCs/>
          <w:i/>
        </w:rPr>
        <w:t xml:space="preserve"> </w:t>
      </w:r>
      <w:r>
        <w:rPr>
          <w:iCs/>
          <w:i/>
        </w:rPr>
        <w:t xml:space="preserve">World Business, 53</w:t>
      </w:r>
      <w:r>
        <w:t xml:space="preserve">(2), 209–221.</w:t>
      </w:r>
      <w:r>
        <w:t xml:space="preserve"> </w:t>
      </w:r>
      <w:hyperlink r:id="rId57">
        <w:r>
          <w:rPr>
            <w:rStyle w:val="Hyperlink"/>
          </w:rPr>
          <w:t xml:space="preserve">https://doi.org/10.1016/j.jwb.2017.11.003</w:t>
        </w:r>
      </w:hyperlink>
    </w:p>
    <w:p>
      <w:pPr>
        <w:pStyle w:val="BodyText"/>
      </w:pPr>
      <w:r>
        <w:t xml:space="preserve">Dawson, J. F. (2014). Moderation in management research: What, why,</w:t>
      </w:r>
      <w:r>
        <w:t xml:space="preserve"> </w:t>
      </w:r>
      <w:r>
        <w:t xml:space="preserve">when, and how.</w:t>
      </w:r>
      <w:r>
        <w:t xml:space="preserve"> </w:t>
      </w:r>
      <w:r>
        <w:rPr>
          <w:iCs/>
          <w:i/>
        </w:rPr>
        <w:t xml:space="preserve">Journal of Business and Psychology, 29</w:t>
      </w:r>
      <w:r>
        <w:t xml:space="preserve">(1), 1–19.</w:t>
      </w:r>
      <w:r>
        <w:t xml:space="preserve"> </w:t>
      </w:r>
      <w:hyperlink r:id="rId58">
        <w:r>
          <w:rPr>
            <w:rStyle w:val="Hyperlink"/>
          </w:rPr>
          <w:t xml:space="preserve">https://doi.org/10.1007/s10869-013-9308-7</w:t>
        </w:r>
      </w:hyperlink>
    </w:p>
    <w:p>
      <w:pPr>
        <w:pStyle w:val="BodyText"/>
      </w:pPr>
      <w:r>
        <w:t xml:space="preserve">Authors (2024). Details omitted for double-blind review.</w:t>
      </w:r>
    </w:p>
    <w:p>
      <w:pPr>
        <w:pStyle w:val="BodyText"/>
      </w:pPr>
      <w:r>
        <w:t xml:space="preserve">Gomes, L., &amp; Ramaswamy, K. (1999). An empirical examination of the form</w:t>
      </w:r>
      <w:r>
        <w:t xml:space="preserve"> </w:t>
      </w:r>
      <w:r>
        <w:t xml:space="preserve">of the relationship between multinationality and performance.</w:t>
      </w:r>
      <w:r>
        <w:t xml:space="preserve"> </w:t>
      </w:r>
      <w:r>
        <w:rPr>
          <w:iCs/>
          <w:i/>
        </w:rPr>
        <w:t xml:space="preserve">Journal</w:t>
      </w:r>
      <w:r>
        <w:rPr>
          <w:iCs/>
          <w:i/>
        </w:rPr>
        <w:t xml:space="preserve"> </w:t>
      </w:r>
      <w:r>
        <w:rPr>
          <w:iCs/>
          <w:i/>
        </w:rPr>
        <w:t xml:space="preserve">of International Business Studies, 30</w:t>
      </w:r>
      <w:r>
        <w:t xml:space="preserve">(1), 173–187.</w:t>
      </w:r>
      <w:r>
        <w:t xml:space="preserve"> </w:t>
      </w:r>
      <w:hyperlink r:id="rId59">
        <w:r>
          <w:rPr>
            <w:rStyle w:val="Hyperlink"/>
          </w:rPr>
          <w:t xml:space="preserve">https://doi.org/10.1057/palgrave.jibs.8490065</w:t>
        </w:r>
      </w:hyperlink>
    </w:p>
    <w:p>
      <w:pPr>
        <w:pStyle w:val="BodyText"/>
      </w:pPr>
      <w:r>
        <w:t xml:space="preserve">Haans, R. F. J., Pieters, C., &amp; He, Z.-L. (2016). Thinking about U:</w:t>
      </w:r>
      <w:r>
        <w:t xml:space="preserve"> </w:t>
      </w:r>
      <w:r>
        <w:t xml:space="preserve">Theorizing and testing U- and inverted U-shaped relationships in</w:t>
      </w:r>
      <w:r>
        <w:t xml:space="preserve"> </w:t>
      </w:r>
      <w:r>
        <w:t xml:space="preserve">strategy research.</w:t>
      </w:r>
      <w:r>
        <w:t xml:space="preserve"> </w:t>
      </w:r>
      <w:r>
        <w:rPr>
          <w:iCs/>
          <w:i/>
        </w:rPr>
        <w:t xml:space="preserve">Strategic Management Journal, 37</w:t>
      </w:r>
      <w:r>
        <w:t xml:space="preserve">(7), 1177–1195.</w:t>
      </w:r>
      <w:r>
        <w:t xml:space="preserve"> </w:t>
      </w:r>
      <w:hyperlink r:id="rId60">
        <w:r>
          <w:rPr>
            <w:rStyle w:val="Hyperlink"/>
          </w:rPr>
          <w:t xml:space="preserve">https://doi.org/10.1002/smj.2399</w:t>
        </w:r>
      </w:hyperlink>
    </w:p>
    <w:p>
      <w:pPr>
        <w:pStyle w:val="BodyText"/>
      </w:pPr>
      <w:r>
        <w:t xml:space="preserve">Authors (2025). Details omitted for double-blind review.</w:t>
      </w:r>
    </w:p>
    <w:p>
      <w:pPr>
        <w:pStyle w:val="BodyText"/>
      </w:pPr>
      <w:r>
        <w:t xml:space="preserve">Hambrick, D. C. (2007). Upper echelons theory: An update.</w:t>
      </w:r>
      <w:r>
        <w:t xml:space="preserve"> </w:t>
      </w:r>
      <w:r>
        <w:rPr>
          <w:iCs/>
          <w:i/>
        </w:rPr>
        <w:t xml:space="preserve">Academy of</w:t>
      </w:r>
      <w:r>
        <w:rPr>
          <w:iCs/>
          <w:i/>
        </w:rPr>
        <w:t xml:space="preserve"> </w:t>
      </w:r>
      <w:r>
        <w:rPr>
          <w:iCs/>
          <w:i/>
        </w:rPr>
        <w:t xml:space="preserve">Management Review, 32</w:t>
      </w:r>
      <w:r>
        <w:t xml:space="preserve">(2), 334–343.</w:t>
      </w:r>
      <w:r>
        <w:t xml:space="preserve"> </w:t>
      </w:r>
      <w:hyperlink r:id="rId61">
        <w:r>
          <w:rPr>
            <w:rStyle w:val="Hyperlink"/>
          </w:rPr>
          <w:t xml:space="preserve">https://doi.org/10.5465/amr.2007.24345254</w:t>
        </w:r>
      </w:hyperlink>
    </w:p>
    <w:p>
      <w:pPr>
        <w:pStyle w:val="BodyText"/>
      </w:pPr>
      <w:r>
        <w:t xml:space="preserve">Hambrick, D. C., &amp; Mason, P. A. (1984). Upper echelons: The organization</w:t>
      </w:r>
      <w:r>
        <w:t xml:space="preserve"> </w:t>
      </w:r>
      <w:r>
        <w:t xml:space="preserve">as a reflection of its top managers.</w:t>
      </w:r>
      <w:r>
        <w:t xml:space="preserve"> </w:t>
      </w:r>
      <w:r>
        <w:rPr>
          <w:iCs/>
          <w:i/>
        </w:rPr>
        <w:t xml:space="preserve">Academy of Management Review,</w:t>
      </w:r>
      <w:r>
        <w:rPr>
          <w:iCs/>
          <w:i/>
        </w:rPr>
        <w:t xml:space="preserve"> </w:t>
      </w:r>
      <w:r>
        <w:rPr>
          <w:iCs/>
          <w:i/>
        </w:rPr>
        <w:t xml:space="preserve">9</w:t>
      </w:r>
      <w:r>
        <w:t xml:space="preserve">(2), 193–206.</w:t>
      </w:r>
      <w:r>
        <w:t xml:space="preserve"> </w:t>
      </w:r>
      <w:hyperlink r:id="rId62">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w:t>
      </w:r>
      <w:r>
        <w:rPr>
          <w:iCs/>
          <w:i/>
        </w:rPr>
        <w:t xml:space="preserve"> </w:t>
      </w:r>
      <w:r>
        <w:rPr>
          <w:iCs/>
          <w:i/>
        </w:rPr>
        <w:t xml:space="preserve">conditional process analysis: A regression-based approach</w:t>
      </w:r>
      <w:r>
        <w:t xml:space="preserve"> </w:t>
      </w:r>
      <w:r>
        <w:t xml:space="preserve">(2nd ed.).</w:t>
      </w:r>
      <w:r>
        <w:t xml:space="preserve"> </w:t>
      </w:r>
      <w:r>
        <w:t xml:space="preserve">Guilford Press.</w:t>
      </w:r>
    </w:p>
    <w:p>
      <w:pPr>
        <w:pStyle w:val="BodyText"/>
      </w:pPr>
      <w:r>
        <w:t xml:space="preserve">International Finance Corporation. (2022, December).</w:t>
      </w:r>
      <w:r>
        <w:t xml:space="preserve"> </w:t>
      </w:r>
      <w:r>
        <w:rPr>
          <w:iCs/>
          <w:i/>
        </w:rPr>
        <w:t xml:space="preserve">Mind the gaps:</w:t>
      </w:r>
      <w:r>
        <w:rPr>
          <w:iCs/>
          <w:i/>
        </w:rPr>
        <w:t xml:space="preserve"> </w:t>
      </w:r>
      <w:r>
        <w:rPr>
          <w:iCs/>
          <w:i/>
        </w:rPr>
        <w:t xml:space="preserve">Women in leadership in Viet Nam’s banking sector</w:t>
      </w:r>
      <w:r>
        <w:t xml:space="preserve">. IFC, World Bank</w:t>
      </w:r>
      <w:r>
        <w:t xml:space="preserve"> </w:t>
      </w:r>
      <w:r>
        <w:t xml:space="preserve">Group.</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r>
        <w:t xml:space="preserve"> </w:t>
      </w:r>
      <w:hyperlink r:id="rId63">
        <w:r>
          <w:rPr>
            <w:rStyle w:val="Hyperlink"/>
          </w:rPr>
          <w:t xml:space="preserve">https://doi.org/10.1057/palgrave.jibs.8490676</w:t>
        </w:r>
      </w:hyperlink>
    </w:p>
    <w:p>
      <w:pPr>
        <w:pStyle w:val="BodyText"/>
      </w:pPr>
      <w:r>
        <w:t xml:space="preserve">Johanson, J., &amp; Vahlne, J.-E. (2009). The Uppsala internationalization</w:t>
      </w:r>
      <w:r>
        <w:t xml:space="preserve"> </w:t>
      </w:r>
      <w:r>
        <w:t xml:space="preserve">process model revisited: From liability of foreignness to liability of</w:t>
      </w:r>
      <w:r>
        <w:t xml:space="preserve"> </w:t>
      </w:r>
      <w:r>
        <w:t xml:space="preserve">outsidership.</w:t>
      </w:r>
      <w:r>
        <w:t xml:space="preserve"> </w:t>
      </w:r>
      <w:r>
        <w:rPr>
          <w:iCs/>
          <w:i/>
        </w:rPr>
        <w:t xml:space="preserve">Journal of International Business Studies, 40</w:t>
      </w:r>
      <w:r>
        <w:t xml:space="preserve">(9),</w:t>
      </w:r>
      <w:r>
        <w:t xml:space="preserve"> </w:t>
      </w:r>
      <w:r>
        <w:t xml:space="preserve">1411–1431.</w:t>
      </w:r>
      <w:r>
        <w:t xml:space="preserve"> </w:t>
      </w:r>
      <w:hyperlink r:id="rId64">
        <w:r>
          <w:rPr>
            <w:rStyle w:val="Hyperlink"/>
          </w:rPr>
          <w:t xml:space="preserve">https://doi.org/10.1057/jibs.2009.24</w:t>
        </w:r>
      </w:hyperlink>
    </w:p>
    <w:p>
      <w:pPr>
        <w:pStyle w:val="BodyText"/>
      </w:pPr>
      <w:r>
        <w:t xml:space="preserve">Kirca, A. H., Roth, K., Hult, G. T. M., &amp; Cavusgil, S. T. (2012). The</w:t>
      </w:r>
      <w:r>
        <w:t xml:space="preserve"> </w:t>
      </w:r>
      <w:r>
        <w:t xml:space="preserve">role of context in the multinationality–performance relationship: A</w:t>
      </w:r>
      <w:r>
        <w:t xml:space="preserve"> </w:t>
      </w:r>
      <w:r>
        <w:t xml:space="preserve">meta-analytic review.</w:t>
      </w:r>
      <w:r>
        <w:t xml:space="preserve"> </w:t>
      </w:r>
      <w:r>
        <w:rPr>
          <w:iCs/>
          <w:i/>
        </w:rPr>
        <w:t xml:space="preserve">Global Strategy Journal, 2</w:t>
      </w:r>
      <w:r>
        <w:t xml:space="preserve">(2), 108–121.</w:t>
      </w:r>
      <w:r>
        <w:t xml:space="preserve"> </w:t>
      </w:r>
      <w:hyperlink r:id="rId65">
        <w:r>
          <w:rPr>
            <w:rStyle w:val="Hyperlink"/>
          </w:rPr>
          <w:t xml:space="preserve">https://doi.org/10.1002/gsj.1028</w:t>
        </w:r>
      </w:hyperlink>
    </w:p>
    <w:p>
      <w:pPr>
        <w:pStyle w:val="BodyText"/>
      </w:pPr>
      <w:r>
        <w:t xml:space="preserve">Lind, J. T., &amp; Mehlum, H. (2010). With or without U? The appropriate</w:t>
      </w:r>
      <w:r>
        <w:t xml:space="preserve"> </w:t>
      </w:r>
      <w:r>
        <w:t xml:space="preserve">test for a U-shaped relationship.</w:t>
      </w:r>
      <w:r>
        <w:t xml:space="preserve"> </w:t>
      </w:r>
      <w:r>
        <w:rPr>
          <w:iCs/>
          <w:i/>
        </w:rPr>
        <w:t xml:space="preserve">Oxford Bulletin of Economics and</w:t>
      </w:r>
      <w:r>
        <w:rPr>
          <w:iCs/>
          <w:i/>
        </w:rPr>
        <w:t xml:space="preserve"> </w:t>
      </w:r>
      <w:r>
        <w:rPr>
          <w:iCs/>
          <w:i/>
        </w:rPr>
        <w:t xml:space="preserve">Statistics, 72</w:t>
      </w:r>
      <w:r>
        <w:t xml:space="preserve">(1), 109–118.</w:t>
      </w:r>
      <w:r>
        <w:t xml:space="preserve"> </w:t>
      </w:r>
      <w:hyperlink r:id="rId66">
        <w:r>
          <w:rPr>
            <w:rStyle w:val="Hyperlink"/>
          </w:rPr>
          <w:t xml:space="preserve">https://doi.org/10.1111/j.1468-0084.2009.00569.x</w:t>
        </w:r>
      </w:hyperlink>
    </w:p>
    <w:p>
      <w:pPr>
        <w:pStyle w:val="BodyText"/>
      </w:pPr>
      <w:r>
        <w:t xml:space="preserve">Long, J. S., &amp; Ervin, L. H. (2000). Using heteroscedasticity consistent</w:t>
      </w:r>
      <w:r>
        <w:t xml:space="preserve"> </w:t>
      </w:r>
      <w:r>
        <w:t xml:space="preserve">standard errors in the linear regression model.</w:t>
      </w:r>
      <w:r>
        <w:t xml:space="preserve"> </w:t>
      </w:r>
      <w:r>
        <w:rPr>
          <w:iCs/>
          <w:i/>
        </w:rPr>
        <w:t xml:space="preserve">The American</w:t>
      </w:r>
      <w:r>
        <w:rPr>
          <w:iCs/>
          <w:i/>
        </w:rPr>
        <w:t xml:space="preserve"> </w:t>
      </w:r>
      <w:r>
        <w:rPr>
          <w:iCs/>
          <w:i/>
        </w:rPr>
        <w:t xml:space="preserve">Statistician, 54</w:t>
      </w:r>
      <w:r>
        <w:t xml:space="preserve">(3), 217–224.</w:t>
      </w:r>
      <w:r>
        <w:t xml:space="preserve"> </w:t>
      </w:r>
      <w:hyperlink r:id="rId67">
        <w:r>
          <w:rPr>
            <w:rStyle w:val="Hyperlink"/>
          </w:rPr>
          <w:t xml:space="preserve">https://doi.org/10.1080/00031305.2000.10474549</w:t>
        </w:r>
      </w:hyperlink>
    </w:p>
    <w:p>
      <w:pPr>
        <w:pStyle w:val="BodyText"/>
      </w:pPr>
      <w:r>
        <w:t xml:space="preserve">Lu, J. W., &amp; Beamish, P. W. (2004). International diversification and</w:t>
      </w:r>
      <w:r>
        <w:t xml:space="preserve"> </w:t>
      </w:r>
      <w:r>
        <w:t xml:space="preserve">firm performance: The S-curve hypothesis.</w:t>
      </w:r>
      <w:r>
        <w:t xml:space="preserve"> </w:t>
      </w:r>
      <w:r>
        <w:rPr>
          <w:iCs/>
          <w:i/>
        </w:rPr>
        <w:t xml:space="preserve">Academy of Management</w:t>
      </w:r>
      <w:r>
        <w:rPr>
          <w:iCs/>
          <w:i/>
        </w:rPr>
        <w:t xml:space="preserve"> </w:t>
      </w:r>
      <w:r>
        <w:rPr>
          <w:iCs/>
          <w:i/>
        </w:rPr>
        <w:t xml:space="preserve">Journal, 47</w:t>
      </w:r>
      <w:r>
        <w:t xml:space="preserve">(4), 598–609.</w:t>
      </w:r>
      <w:r>
        <w:t xml:space="preserve"> </w:t>
      </w:r>
      <w:hyperlink r:id="rId68">
        <w:r>
          <w:rPr>
            <w:rStyle w:val="Hyperlink"/>
          </w:rPr>
          <w:t xml:space="preserve">https://doi.org/10.2307/20159604</w:t>
        </w:r>
      </w:hyperlink>
    </w:p>
    <w:p>
      <w:pPr>
        <w:pStyle w:val="BodyText"/>
      </w:pPr>
      <w:r>
        <w:t xml:space="preserve">Marano, V., Tashman, P., &amp; Kostova, T. (2016). Escaping the iron cage:</w:t>
      </w:r>
      <w:r>
        <w:t xml:space="preserve"> </w:t>
      </w:r>
      <w:r>
        <w:t xml:space="preserve">Liabilities of origin and CSR reporting of emerging market multinational</w:t>
      </w:r>
      <w:r>
        <w:t xml:space="preserve"> </w:t>
      </w:r>
      <w:r>
        <w:t xml:space="preserve">enterprises.</w:t>
      </w:r>
      <w:r>
        <w:t xml:space="preserve"> </w:t>
      </w:r>
      <w:r>
        <w:rPr>
          <w:iCs/>
          <w:i/>
        </w:rPr>
        <w:t xml:space="preserve">Journal of International Business Studies, 47</w:t>
      </w:r>
      <w:r>
        <w:t xml:space="preserve">(3),</w:t>
      </w:r>
      <w:r>
        <w:t xml:space="preserve"> </w:t>
      </w:r>
      <w:r>
        <w:t xml:space="preserve">386–408.</w:t>
      </w:r>
      <w:r>
        <w:t xml:space="preserve"> </w:t>
      </w:r>
      <w:hyperlink r:id="rId69">
        <w:r>
          <w:rPr>
            <w:rStyle w:val="Hyperlink"/>
          </w:rPr>
          <w:t xml:space="preserve">https://doi.org/10.1057/jibs.2016.7</w:t>
        </w:r>
      </w:hyperlink>
    </w:p>
    <w:p>
      <w:pPr>
        <w:pStyle w:val="BodyText"/>
      </w:pPr>
      <w:r>
        <w:t xml:space="preserve">Mondal, A., Gupta, S., &amp; Ray, S. (2022). Family ownership, governance,</w:t>
      </w:r>
      <w:r>
        <w:t xml:space="preserve"> </w:t>
      </w:r>
      <w:r>
        <w:t xml:space="preserve">and internationalization: Evidence from India.</w:t>
      </w:r>
      <w:r>
        <w:t xml:space="preserve"> </w:t>
      </w:r>
      <w:r>
        <w:rPr>
          <w:iCs/>
          <w:i/>
        </w:rPr>
        <w:t xml:space="preserve">Journal of Business</w:t>
      </w:r>
      <w:r>
        <w:rPr>
          <w:iCs/>
          <w:i/>
        </w:rPr>
        <w:t xml:space="preserve"> </w:t>
      </w:r>
      <w:r>
        <w:rPr>
          <w:iCs/>
          <w:i/>
        </w:rPr>
        <w:t xml:space="preserve">Research, 138</w:t>
      </w:r>
      <w:r>
        <w:t xml:space="preserve">, 423–434.</w:t>
      </w:r>
    </w:p>
    <w:p>
      <w:pPr>
        <w:pStyle w:val="BodyText"/>
      </w:pPr>
      <w:r>
        <w:t xml:space="preserve">Nielsen, S. (2010). Top management team internationalization and firm</w:t>
      </w:r>
      <w:r>
        <w:t xml:space="preserve"> </w:t>
      </w:r>
      <w:r>
        <w:t xml:space="preserve">performance: The mediating role of foreign market entry.</w:t>
      </w:r>
      <w:r>
        <w:t xml:space="preserve"> </w:t>
      </w:r>
      <w:r>
        <w:rPr>
          <w:iCs/>
          <w:i/>
        </w:rPr>
        <w:t xml:space="preserve">Management</w:t>
      </w:r>
      <w:r>
        <w:rPr>
          <w:iCs/>
          <w:i/>
        </w:rPr>
        <w:t xml:space="preserve"> </w:t>
      </w:r>
      <w:r>
        <w:rPr>
          <w:iCs/>
          <w:i/>
        </w:rPr>
        <w:t xml:space="preserve">International Review, 50</w:t>
      </w:r>
      <w:r>
        <w:t xml:space="preserve">(2), 185–206.</w:t>
      </w:r>
      <w:r>
        <w:t xml:space="preserve"> </w:t>
      </w:r>
      <w:r>
        <w:t xml:space="preserve">https://doi.org/10.1007/s11575-010-0029-0</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Pangarkar, N. (2008). Internationalization and performance of small- and</w:t>
      </w:r>
      <w:r>
        <w:t xml:space="preserve"> </w:t>
      </w:r>
      <w:r>
        <w:t xml:space="preserve">medium-sized enterprises.</w:t>
      </w:r>
      <w:r>
        <w:t xml:space="preserve"> </w:t>
      </w:r>
      <w:r>
        <w:rPr>
          <w:iCs/>
          <w:i/>
        </w:rPr>
        <w:t xml:space="preserve">Journal of World Business, 43</w:t>
      </w:r>
      <w:r>
        <w:t xml:space="preserve">(4), 475–485.</w:t>
      </w:r>
      <w:r>
        <w:t xml:space="preserve"> </w:t>
      </w:r>
      <w:hyperlink r:id="rId70">
        <w:r>
          <w:rPr>
            <w:rStyle w:val="Hyperlink"/>
          </w:rPr>
          <w:t xml:space="preserve">https://doi.org/10.1016/j.jwb.2007.11.009</w:t>
        </w:r>
      </w:hyperlink>
    </w:p>
    <w:p>
      <w:pPr>
        <w:pStyle w:val="BodyText"/>
      </w:pPr>
      <w:r>
        <w:t xml:space="preserve">Phan, A. T., Authors (2020). Details omitted for double-blind review.</w:t>
      </w:r>
    </w:p>
    <w:p>
      <w:pPr>
        <w:pStyle w:val="BodyText"/>
      </w:pPr>
      <w:r>
        <w:t xml:space="preserve">Richard, O. C., Kirby, S. L., &amp; Chadwick, K. (2019). The impact of</w:t>
      </w:r>
      <w:r>
        <w:t xml:space="preserve"> </w:t>
      </w:r>
      <w:r>
        <w:t xml:space="preserve">racial and gender diversity in management on firm performance: An</w:t>
      </w:r>
      <w:r>
        <w:t xml:space="preserve"> </w:t>
      </w:r>
      <w:r>
        <w:t xml:space="preserve">assessment of different conceptual and measurement approaches.</w:t>
      </w:r>
      <w:r>
        <w:t xml:space="preserve"> </w:t>
      </w:r>
      <w:r>
        <w:rPr>
          <w:iCs/>
          <w:i/>
        </w:rPr>
        <w:t xml:space="preserve">Journal</w:t>
      </w:r>
      <w:r>
        <w:rPr>
          <w:iCs/>
          <w:i/>
        </w:rPr>
        <w:t xml:space="preserve"> </w:t>
      </w:r>
      <w:r>
        <w:rPr>
          <w:iCs/>
          <w:i/>
        </w:rPr>
        <w:t xml:space="preserve">of Applied Social Psychology, 39</w:t>
      </w:r>
      <w:r>
        <w:t xml:space="preserve">(7), 1571–1599.</w:t>
      </w:r>
    </w:p>
    <w:p>
      <w:pPr>
        <w:pStyle w:val="BodyText"/>
      </w:pPr>
      <w:r>
        <w:t xml:space="preserve">Scott, W. R. (2008).</w:t>
      </w:r>
      <w:r>
        <w:t xml:space="preserve"> </w:t>
      </w:r>
      <w:r>
        <w:rPr>
          <w:iCs/>
          <w:i/>
        </w:rPr>
        <w:t xml:space="preserve">Institutions and organizations: Ideas and</w:t>
      </w:r>
      <w:r>
        <w:rPr>
          <w:iCs/>
          <w:i/>
        </w:rPr>
        <w:t xml:space="preserve"> </w:t>
      </w:r>
      <w:r>
        <w:rPr>
          <w:iCs/>
          <w:i/>
        </w:rPr>
        <w:t xml:space="preserve">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w:t>
      </w:r>
      <w:r>
        <w:rPr>
          <w:iCs/>
          <w:i/>
        </w:rPr>
        <w:t xml:space="preserve"> </w:t>
      </w:r>
      <w:r>
        <w:rPr>
          <w:iCs/>
          <w:i/>
        </w:rPr>
        <w:t xml:space="preserve">energy for all</w:t>
      </w:r>
      <w:r>
        <w:t xml:space="preserve">. United Nations.</w:t>
      </w:r>
    </w:p>
    <w:p>
      <w:pPr>
        <w:pStyle w:val="BodyText"/>
      </w:pPr>
      <w:r>
        <w:t xml:space="preserve">Verhoef, P. C., Broekhuizen, T., Bart, Y., Bhattacharya, A., Dong, J.</w:t>
      </w:r>
      <w:r>
        <w:t xml:space="preserve"> </w:t>
      </w:r>
      <w:r>
        <w:t xml:space="preserve">Q.,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r>
        <w:t xml:space="preserve"> </w:t>
      </w:r>
      <w:hyperlink r:id="rId71">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r>
        <w:t xml:space="preserve"> </w:t>
      </w:r>
      <w:hyperlink r:id="rId72">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3">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w:t>
      </w:r>
      <w:r>
        <w:rPr>
          <w:iCs/>
          <w:i/>
        </w:rPr>
        <w:t xml:space="preserve"> </w:t>
      </w:r>
      <w:r>
        <w:rPr>
          <w:iCs/>
          <w:i/>
        </w:rPr>
        <w:t xml:space="preserve">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w:t>
      </w:r>
      <w:r>
        <w:rPr>
          <w:iCs/>
          <w:i/>
        </w:rPr>
        <w:t xml:space="preserve"> </w:t>
      </w:r>
      <w:r>
        <w:rPr>
          <w:iCs/>
          <w:i/>
        </w:rPr>
        <w:t xml:space="preserve">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w:t>
      </w:r>
      <w:r>
        <w:rPr>
          <w:iCs/>
          <w:i/>
        </w:rPr>
        <w:t xml:space="preserve"> </w:t>
      </w:r>
      <w:r>
        <w:rPr>
          <w:iCs/>
          <w:i/>
        </w:rPr>
        <w:t xml:space="preserve">competitiveness &amp; innovation</w:t>
      </w:r>
      <w:r>
        <w:t xml:space="preserve"> </w:t>
      </w:r>
      <w:r>
        <w:t xml:space="preserve">(Prosperity Data360). World Bank Group.</w:t>
      </w:r>
      <w:r>
        <w:t xml:space="preserve"> </w:t>
      </w:r>
      <w:hyperlink r:id="rId74">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w:t>
      </w:r>
      <w:r>
        <w:rPr>
          <w:iCs/>
          <w:i/>
        </w:rPr>
        <w:t xml:space="preserve"> </w:t>
      </w:r>
      <w:r>
        <w:rPr>
          <w:iCs/>
          <w:i/>
        </w:rPr>
        <w:t xml:space="preserve">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w:t>
      </w:r>
      <w:r>
        <w:t xml:space="preserve"> </w:t>
      </w:r>
      <w:r>
        <w:t xml:space="preserve">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4">
        <w:r>
          <w:rPr>
            <w:rStyle w:val="Hyperlink"/>
          </w:rPr>
          <w:t xml:space="preserve">https://www.worldbank.org/ext/en/country/vietnam</w:t>
        </w:r>
      </w:hyperlink>
    </w:p>
    <w:p>
      <w:pPr>
        <w:pStyle w:val="BodyText"/>
      </w:pPr>
      <w:r>
        <w:t xml:space="preserve">Wu, J., Wang, C., Hong, J., Piperopoulos, P., &amp; Zhuo, S. (2022).</w:t>
      </w:r>
      <w:r>
        <w:t xml:space="preserve"> </w:t>
      </w:r>
      <w:r>
        <w:t xml:space="preserve">Internationalization and innovation of business groups: Evidence from</w:t>
      </w:r>
      <w:r>
        <w:t xml:space="preserve"> </w:t>
      </w:r>
      <w:r>
        <w:t xml:space="preserve">China.</w:t>
      </w:r>
      <w:r>
        <w:t xml:space="preserve"> </w:t>
      </w:r>
      <w:r>
        <w:rPr>
          <w:iCs/>
          <w:i/>
        </w:rPr>
        <w:t xml:space="preserve">Journal of World Business, 54</w:t>
      </w:r>
      <w:r>
        <w:t xml:space="preserve">(4), 305–320.</w:t>
      </w:r>
    </w:p>
    <w:bookmarkEnd w:id="75"/>
    <w:bookmarkStart w:id="76"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pct" w:w="5000"/>
        <w:tblLook w:firstRow="1" w:lastRow="0" w:firstColumn="0" w:lastColumn="0" w:noHBand="0" w:noVBand="0" w:val="0020"/>
        <w:jc w:val="start"/>
      </w:tblPr>
      <w:tblGrid>
        <w:gridCol w:w="1307"/>
        <w:gridCol w:w="4229"/>
        <w:gridCol w:w="1614"/>
        <w:gridCol w:w="768"/>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pct" w:w="5000"/>
        <w:tblLook w:firstRow="1" w:lastRow="0" w:firstColumn="0" w:lastColumn="0" w:noHBand="0" w:noVBand="0" w:val="0020"/>
        <w:jc w:val="start"/>
      </w:tblPr>
      <w:tblGrid>
        <w:gridCol w:w="652"/>
        <w:gridCol w:w="745"/>
        <w:gridCol w:w="745"/>
        <w:gridCol w:w="1770"/>
        <w:gridCol w:w="745"/>
        <w:gridCol w:w="3261"/>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w:t>
      </w:r>
      <w:r>
        <w:t xml:space="preserve"> </w:t>
      </w:r>
      <w:r>
        <w:t xml:space="preserve">turning point not identified because ICRV interactions shift the</w:t>
      </w:r>
      <w:r>
        <w:t xml:space="preserve"> </w:t>
      </w:r>
      <w:r>
        <w:t xml:space="preserve">inflection point outside the sample range for some groups. HC1 robust</w:t>
      </w:r>
      <w:r>
        <w:t xml:space="preserve"> </w:t>
      </w:r>
      <w:r>
        <w:t xml:space="preserve">SEs throughout.</w:t>
      </w:r>
    </w:p>
    <w:p>
      <w:pPr>
        <w:pStyle w:val="BodyText"/>
      </w:pPr>
      <w:r>
        <w:rPr>
          <w:bCs/>
          <w:b/>
        </w:rPr>
        <w:t xml:space="preserve">Table 3: Key coefficient estimates (M2, M7, M8, M10)</w:t>
      </w:r>
    </w:p>
    <w:tbl>
      <w:tblPr>
        <w:tblStyle w:val="Table"/>
        <w:tblW w:type="pct" w:w="5000"/>
        <w:tblLook w:firstRow="1" w:lastRow="0" w:firstColumn="0" w:lastColumn="0" w:noHBand="0" w:noVBand="0" w:val="0020"/>
        <w:jc w:val="start"/>
      </w:tblPr>
      <w:tblGrid>
        <w:gridCol w:w="1473"/>
        <w:gridCol w:w="1289"/>
        <w:gridCol w:w="1289"/>
        <w:gridCol w:w="1289"/>
        <w:gridCol w:w="1289"/>
        <w:gridCol w:w="1289"/>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w:t>
      </w:r>
      <w:r>
        <w:t xml:space="preserve"> </w:t>
      </w:r>
      <w:r>
        <w:t xml:space="preserve">p &lt; .10. Controls (female_owner, foreign_own_pct, firm_age, ln_size)</w:t>
      </w:r>
      <w:r>
        <w:t xml:space="preserve"> </w:t>
      </w:r>
      <w:r>
        <w:t xml:space="preserve">included in M7–M10 but not reported for space. M11 (N=29,840,</w:t>
      </w:r>
      <w:r>
        <w:t xml:space="preserve"> </w:t>
      </w:r>
      <w:r>
        <w:t xml:space="preserve">AdjR²=.067, TP=34.6%, LM p=.002): DAI×ICRV=+0.060*, three-way</w:t>
      </w:r>
      <w:r>
        <w:t xml:space="preserve"> </w:t>
      </w:r>
      <w:r>
        <w:t xml:space="preserve">FSTS×DAI×ICRV=−0.001 (NS), mgr_experience=+0.009**, FSTS×mgr=−0.019†,</w:t>
      </w:r>
      <w:r>
        <w:t xml:space="preserve"> </w:t>
      </w:r>
      <w:r>
        <w:t xml:space="preserve">mgr_female=+0.187***, female_owner=+0.128**.</w:t>
      </w:r>
    </w:p>
    <w:bookmarkEnd w:id="76"/>
    <w:bookmarkStart w:id="77"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w:t>
      </w:r>
      <w:r>
        <w:t xml:space="preserve"> </w:t>
      </w:r>
      <w:r>
        <w:t xml:space="preserve">alternative TFP-based dependent variables for robustness checks. Two</w:t>
      </w:r>
      <w:r>
        <w:t xml:space="preserve"> </w:t>
      </w:r>
      <w:r>
        <w:t xml:space="preserve">specifications are available: VA=f(K, L) (VAKL, value-added formulation)</w:t>
      </w:r>
      <w:r>
        <w:t xml:space="preserve"> </w:t>
      </w:r>
      <w:r>
        <w:t xml:space="preserve">and Y=f(K, L, M) (YKLM, gross-output formulation), each estimated</w:t>
      </w:r>
      <w:r>
        <w:t xml:space="preserve"> </w:t>
      </w:r>
      <w:r>
        <w:t xml:space="preserve">separately for 20 two-digit ISIC manufacturing sectors with high-income</w:t>
      </w:r>
      <w:r>
        <w:t xml:space="preserve"> </w:t>
      </w:r>
      <w:r>
        <w:t xml:space="preserve">economy interaction terms and year fixed effects (2009–2025).</w:t>
      </w:r>
      <w:r>
        <w:t xml:space="preserve"> </w:t>
      </w:r>
      <w:r>
        <w:t xml:space="preserve">Coefficients and t-statistics are stored in</w:t>
      </w:r>
      <w:r>
        <w:t xml:space="preserve"> </w:t>
      </w:r>
      <w:r>
        <w:rPr>
          <w:rStyle w:val="VerbatimChar"/>
        </w:rPr>
        <w:t xml:space="preserve">replication/Annex_TFP_regression_tables_March_11_2026.xlsx</w:t>
      </w:r>
      <w:r>
        <w:t xml:space="preserve">. TFP</w:t>
      </w:r>
      <w:r>
        <w:t xml:space="preserve"> </w:t>
      </w:r>
      <w:r>
        <w:t xml:space="preserve">residuals from these regressions can be used as an alternative dependent</w:t>
      </w:r>
      <w:r>
        <w:t xml:space="preserve"> </w:t>
      </w:r>
      <w:r>
        <w:t xml:space="preserve">variable to ln(LP) to test whether the inverted-U relationship is robust</w:t>
      </w:r>
      <w:r>
        <w:t xml:space="preserve"> </w:t>
      </w:r>
      <w:r>
        <w:t xml:space="preserve">to output-per-worker vs. total-factor productivity operationalisations.</w:t>
      </w:r>
    </w:p>
    <w:bookmarkEnd w:id="77"/>
    <w:bookmarkEnd w:id="78"/>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doi.org/10.1002/gsj.1028" TargetMode="External" /><Relationship Type="http://schemas.openxmlformats.org/officeDocument/2006/relationships/hyperlink" Id="rId60" Target="https://doi.org/10.1002/smj.2399" TargetMode="External" /><Relationship Type="http://schemas.openxmlformats.org/officeDocument/2006/relationships/hyperlink" Id="rId72" Target="https://doi.org/10.1002/smj.4250050207" TargetMode="External" /><Relationship Type="http://schemas.openxmlformats.org/officeDocument/2006/relationships/hyperlink" Id="rId58" Target="https://doi.org/10.1007/s10869-013-9308-7" TargetMode="External" /><Relationship Type="http://schemas.openxmlformats.org/officeDocument/2006/relationships/hyperlink" Id="rId53" Target="https://doi.org/10.1007/s11187-005-5599-z" TargetMode="External" /><Relationship Type="http://schemas.openxmlformats.org/officeDocument/2006/relationships/hyperlink" Id="rId52" Target="https://doi.org/10.1007/s11575-007-0019-z" TargetMode="External" /><Relationship Type="http://schemas.openxmlformats.org/officeDocument/2006/relationships/hyperlink" Id="rId71" Target="https://doi.org/10.1016/j.jbusres.2019.09.022" TargetMode="External" /><Relationship Type="http://schemas.openxmlformats.org/officeDocument/2006/relationships/hyperlink" Id="rId56" Target="https://doi.org/10.1016/j.jwb.2007.06.003" TargetMode="External" /><Relationship Type="http://schemas.openxmlformats.org/officeDocument/2006/relationships/hyperlink" Id="rId70" Target="https://doi.org/10.1016/j.jwb.2007.11.009" TargetMode="External" /><Relationship Type="http://schemas.openxmlformats.org/officeDocument/2006/relationships/hyperlink" Id="rId57" Target="https://doi.org/10.1016/j.jwb.2017.11.003" TargetMode="External" /><Relationship Type="http://schemas.openxmlformats.org/officeDocument/2006/relationships/hyperlink" Id="rId64" Target="https://doi.org/10.1057/jibs.2009.24" TargetMode="External" /><Relationship Type="http://schemas.openxmlformats.org/officeDocument/2006/relationships/hyperlink" Id="rId69" Target="https://doi.org/10.1057/jibs.2016.7" TargetMode="External" /><Relationship Type="http://schemas.openxmlformats.org/officeDocument/2006/relationships/hyperlink" Id="rId55" Target="https://doi.org/10.1057/palgrave.jibs.8400003" TargetMode="External" /><Relationship Type="http://schemas.openxmlformats.org/officeDocument/2006/relationships/hyperlink" Id="rId59" Target="https://doi.org/10.1057/palgrave.jibs.8490065" TargetMode="External" /><Relationship Type="http://schemas.openxmlformats.org/officeDocument/2006/relationships/hyperlink" Id="rId63" Target="https://doi.org/10.1057/palgrave.jibs.8490676" TargetMode="External" /><Relationship Type="http://schemas.openxmlformats.org/officeDocument/2006/relationships/hyperlink" Id="rId67" Target="https://doi.org/10.1080/00031305.2000.10474549" TargetMode="External" /><Relationship Type="http://schemas.openxmlformats.org/officeDocument/2006/relationships/hyperlink" Id="rId66" Target="https://doi.org/10.1111/j.1468-0084.2009.00569.x" TargetMode="External" /><Relationship Type="http://schemas.openxmlformats.org/officeDocument/2006/relationships/hyperlink" Id="rId51" Target="https://doi.org/10.1177/014920639101700108" TargetMode="External" /><Relationship Type="http://schemas.openxmlformats.org/officeDocument/2006/relationships/hyperlink" Id="rId68" Target="https://doi.org/10.2307/20159604" TargetMode="External" /><Relationship Type="http://schemas.openxmlformats.org/officeDocument/2006/relationships/hyperlink" Id="rId54" Target="https://doi.org/10.2307/2393553" TargetMode="External" /><Relationship Type="http://schemas.openxmlformats.org/officeDocument/2006/relationships/hyperlink" Id="rId62" Target="https://doi.org/10.5465/amr.1984.4277628" TargetMode="External" /><Relationship Type="http://schemas.openxmlformats.org/officeDocument/2006/relationships/hyperlink" Id="rId61" Target="https://doi.org/10.5465/amr.2007.24345254" TargetMode="External" /><Relationship Type="http://schemas.openxmlformats.org/officeDocument/2006/relationships/hyperlink" Id="rId73" Target="https://www.enterprisesurveys.org" TargetMode="External" /><Relationship Type="http://schemas.openxmlformats.org/officeDocument/2006/relationships/hyperlink" Id="rId74" Target="https://www.worldbank.org/ext/en/country/vietnam"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02/gsj.1028" TargetMode="External" /><Relationship Type="http://schemas.openxmlformats.org/officeDocument/2006/relationships/hyperlink" Id="rId60" Target="https://doi.org/10.1002/smj.2399" TargetMode="External" /><Relationship Type="http://schemas.openxmlformats.org/officeDocument/2006/relationships/hyperlink" Id="rId72" Target="https://doi.org/10.1002/smj.4250050207" TargetMode="External" /><Relationship Type="http://schemas.openxmlformats.org/officeDocument/2006/relationships/hyperlink" Id="rId58" Target="https://doi.org/10.1007/s10869-013-9308-7" TargetMode="External" /><Relationship Type="http://schemas.openxmlformats.org/officeDocument/2006/relationships/hyperlink" Id="rId53" Target="https://doi.org/10.1007/s11187-005-5599-z" TargetMode="External" /><Relationship Type="http://schemas.openxmlformats.org/officeDocument/2006/relationships/hyperlink" Id="rId52" Target="https://doi.org/10.1007/s11575-007-0019-z" TargetMode="External" /><Relationship Type="http://schemas.openxmlformats.org/officeDocument/2006/relationships/hyperlink" Id="rId71" Target="https://doi.org/10.1016/j.jbusres.2019.09.022" TargetMode="External" /><Relationship Type="http://schemas.openxmlformats.org/officeDocument/2006/relationships/hyperlink" Id="rId56" Target="https://doi.org/10.1016/j.jwb.2007.06.003" TargetMode="External" /><Relationship Type="http://schemas.openxmlformats.org/officeDocument/2006/relationships/hyperlink" Id="rId70" Target="https://doi.org/10.1016/j.jwb.2007.11.009" TargetMode="External" /><Relationship Type="http://schemas.openxmlformats.org/officeDocument/2006/relationships/hyperlink" Id="rId57" Target="https://doi.org/10.1016/j.jwb.2017.11.003" TargetMode="External" /><Relationship Type="http://schemas.openxmlformats.org/officeDocument/2006/relationships/hyperlink" Id="rId64" Target="https://doi.org/10.1057/jibs.2009.24" TargetMode="External" /><Relationship Type="http://schemas.openxmlformats.org/officeDocument/2006/relationships/hyperlink" Id="rId69" Target="https://doi.org/10.1057/jibs.2016.7" TargetMode="External" /><Relationship Type="http://schemas.openxmlformats.org/officeDocument/2006/relationships/hyperlink" Id="rId55" Target="https://doi.org/10.1057/palgrave.jibs.8400003" TargetMode="External" /><Relationship Type="http://schemas.openxmlformats.org/officeDocument/2006/relationships/hyperlink" Id="rId59" Target="https://doi.org/10.1057/palgrave.jibs.8490065" TargetMode="External" /><Relationship Type="http://schemas.openxmlformats.org/officeDocument/2006/relationships/hyperlink" Id="rId63" Target="https://doi.org/10.1057/palgrave.jibs.8490676" TargetMode="External" /><Relationship Type="http://schemas.openxmlformats.org/officeDocument/2006/relationships/hyperlink" Id="rId67" Target="https://doi.org/10.1080/00031305.2000.10474549" TargetMode="External" /><Relationship Type="http://schemas.openxmlformats.org/officeDocument/2006/relationships/hyperlink" Id="rId66" Target="https://doi.org/10.1111/j.1468-0084.2009.00569.x" TargetMode="External" /><Relationship Type="http://schemas.openxmlformats.org/officeDocument/2006/relationships/hyperlink" Id="rId51" Target="https://doi.org/10.1177/014920639101700108" TargetMode="External" /><Relationship Type="http://schemas.openxmlformats.org/officeDocument/2006/relationships/hyperlink" Id="rId68" Target="https://doi.org/10.2307/20159604" TargetMode="External" /><Relationship Type="http://schemas.openxmlformats.org/officeDocument/2006/relationships/hyperlink" Id="rId54" Target="https://doi.org/10.2307/2393553" TargetMode="External" /><Relationship Type="http://schemas.openxmlformats.org/officeDocument/2006/relationships/hyperlink" Id="rId62" Target="https://doi.org/10.5465/amr.1984.4277628" TargetMode="External" /><Relationship Type="http://schemas.openxmlformats.org/officeDocument/2006/relationships/hyperlink" Id="rId61" Target="https://doi.org/10.5465/amr.2007.24345254" TargetMode="External" /><Relationship Type="http://schemas.openxmlformats.org/officeDocument/2006/relationships/hyperlink" Id="rId73" Target="https://www.enterprisesurveys.org" TargetMode="External" /><Relationship Type="http://schemas.openxmlformats.org/officeDocument/2006/relationships/hyperlink" Id="rId74" Target="https://www.worldbank.org/ext/en/country/vietn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2026-06-20T21:09:56Z</dcterms:created>
  <dcterms:modified xsi:type="dcterms:W3CDTF">2026-06-20T21:09:56Z</dcterms:modified>
</cp:coreProperties>
</file>

<file path=docProps/custom.xml><?xml version="1.0" encoding="utf-8"?>
<Properties xmlns="http://schemas.openxmlformats.org/officeDocument/2006/custom-properties" xmlns:vt="http://schemas.openxmlformats.org/officeDocument/2006/docPropsVTypes"/>
</file>