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(Authors,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estimation-strategy"/>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sample-sizes"/>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digital-adoption-moderation-h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w:t>
      </w:r>
      <w:r>
        <w:t xml:space="preserve"> </w:t>
      </w:r>
      <w:r>
        <w:t xml:space="preserve">“</w:t>
      </w:r>
      <w:r>
        <w:t xml:space="preserve">digital shield</w:t>
      </w:r>
      <w:r>
        <w:t xml:space="preserve">”</w:t>
      </w:r>
      <w:r>
        <w:t xml:space="preserve"> </w:t>
      </w:r>
      <w:r>
        <w:t xml:space="preserve">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managerial-characteristics-h4-1"/>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institutional-regime-moderation-h5"/>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f2de05cc7e02b530f3e17a4fce54678274e648b"/>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bookmarkEnd w:id="41"/>
    <w:bookmarkStart w:id="42" w:name="robustness"/>
    <w:p>
      <w:pPr>
        <w:pStyle w:val="Heading3"/>
      </w:pPr>
      <w:r>
        <w:t xml:space="preserve">4.8 Robustness</w:t>
      </w:r>
    </w:p>
    <w:p>
      <w:pPr>
        <w:pStyle w:val="FirstParagraph"/>
      </w:pPr>
      <w:r>
        <w:t xml:space="preserve">Four supplementary checks bound the inference.</w:t>
      </w:r>
      <w:r>
        <w:t xml:space="preserve"> </w:t>
      </w:r>
      <w:r>
        <w:rPr>
          <w:iCs/>
          <w:i/>
        </w:rPr>
        <w:t xml:space="preserve">(i) Few-cluster inference.</w:t>
      </w:r>
      <w:r>
        <w:t xml:space="preserve"> </w:t>
      </w:r>
      <w:r>
        <w:t xml:space="preserve">Because the per-ICRV-group turning points rest on only 6–16 economies, cluster-robust (CRV1) standard errors can over-reject. A restricted wild-cluster bootstrap (Cameron, Gelbach, &amp; Miller, 2008; Rademacher weights, B = 9,999, clustered by economy) inflates the per-group curvature p-values: the sharp transition-regime inverted-U (Group IV, β₂ = −1.012) moves from p = 0.001 (CRV1) to p ≈ 0.10, while the emerging and SIDS groups remain non-significant. Formal non-linearity inference is therefore anchored at the pooled level (M2, 49 clusters, β₂ = −1.399, p &lt; .001) and triangulated with the companion meta-analysis, with the per-ICRV turning points read as a descriptive gradient rather than independently powered tests.</w:t>
      </w:r>
      <w:r>
        <w:t xml:space="preserve"> </w:t>
      </w:r>
      <w:r>
        <w:rPr>
          <w:iCs/>
          <w:i/>
        </w:rPr>
        <w:t xml:space="preserve">(ii) Multiple testing.</w:t>
      </w:r>
      <w:r>
        <w:t xml:space="preserve"> </w:t>
      </w:r>
      <w:r>
        <w:t xml:space="preserve">Holm and Bonferroni corrections applied to the four-term capability-interaction family (FSTS×TCI, FSTS²×TCI, FSTS×DAI, FSTS²×DAI) leave every term non-significant, so the capability-as-level-shifter conclusion is not a false negative produced by uncorrected testing.</w:t>
      </w:r>
      <w:r>
        <w:t xml:space="preserve"> </w:t>
      </w:r>
      <w:r>
        <w:rPr>
          <w:iCs/>
          <w:i/>
        </w:rPr>
        <w:t xml:space="preserve">(iii) Measurement invariance.</w:t>
      </w:r>
      <w:r>
        <w:t xml:space="preserve"> </w:t>
      </w:r>
      <w:r>
        <w:t xml:space="preserve">The Tier-1 DAI (website) and TCI component items are populated for ~99% of firms in all three WBES schema generations; the DAI mean rises monotonically (0.30 → 0.46 → 0.53), indicating genuine diffusion rather than a schema discontinuity, so cross-wave comparisons rest on item-comparable measures.</w:t>
      </w:r>
      <w:r>
        <w:t xml:space="preserve"> </w:t>
      </w:r>
      <w:r>
        <w:rPr>
          <w:iCs/>
          <w:i/>
        </w:rPr>
        <w:t xml:space="preserve">(iv) Selection into exporting.</w:t>
      </w:r>
      <w:r>
        <w:t xml:space="preserve"> </w:t>
      </w:r>
      <w:r>
        <w:t xml:space="preserve">Adding an inverse-Mills term from an export-participation probit to the controlled specification leaves the curvature and turning point essentially unchanged (43.6% → 43.5%; β₂ = −0.732, p &lt; .001) with a non-significant Mills ratio (p = 0.317), indicating no detectable Melitz-type selection bias in the estimated curvature. Full procedures and statistics are reported in the online supplement.</w:t>
      </w:r>
    </w:p>
    <w:p>
      <w:r>
        <w:pict>
          <v:rect style="width:0;height:1.5pt" o:hralign="center" o:hrstd="t" o:hr="t"/>
        </w:pict>
      </w:r>
    </w:p>
    <w:bookmarkEnd w:id="42"/>
    <w:bookmarkEnd w:id="43"/>
    <w:bookmarkStart w:id="49" w:name="discussion"/>
    <w:p>
      <w:pPr>
        <w:pStyle w:val="Heading2"/>
      </w:pPr>
      <w:r>
        <w:t xml:space="preserve">5. Discussion</w:t>
      </w:r>
    </w:p>
    <w:bookmarkStart w:id="44" w:name="resolution-of-cross-study-heterogeneity"/>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4"/>
    <w:bookmarkStart w:id="45"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b0069601c8d9c89b5e988d028d21202ed31f250"/>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w:t>
      </w:r>
      <w:r>
        <w:t xml:space="preserve"> </w:t>
      </w:r>
      <w:r>
        <w:t xml:space="preserve">“</w:t>
      </w:r>
      <w:r>
        <w:t xml:space="preserve">digital shield</w:t>
      </w:r>
      <w:r>
        <w:t xml:space="preserve">”</w:t>
      </w:r>
      <w:r>
        <w:t xml:space="preserve"> </w:t>
      </w:r>
      <w:r>
        <w:t xml:space="preserve">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6"/>
    <w:bookmarkStart w:id="47" w:name="managerial-heterogeneity"/>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7"/>
    <w:bookmarkStart w:id="48" w:name="limitations"/>
    <w:p>
      <w:pPr>
        <w:pStyle w:val="Heading3"/>
      </w:pPr>
      <w:r>
        <w:t xml:space="preserve">5.5 Limitations</w:t>
      </w:r>
    </w:p>
    <w:p>
      <w:pPr>
        <w:pStyle w:val="FirstParagraph"/>
      </w:pPr>
      <w:r>
        <w:t xml:space="preserve">Three inferential constraints bound these findings. First, WBES is a cross-sectional design:</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instrumental-variable strategy used in the single-country P3 Vietnam study to address selection into exporting is not available at scale across 50 economies; the pooled inverse-Mills selection check (Section 4.8) indicates the estimated curvature is not driven by selection into exporting, but a panel-tracked causal design remains out of reach,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 Details omitted for double-blind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2026-06-20T21:09:56Z</dcterms:created>
  <dcterms:modified xsi:type="dcterms:W3CDTF">2026-06-20T21:09:56Z</dcterms:modified>
</cp:coreProperties>
</file>

<file path=docProps/custom.xml><?xml version="1.0" encoding="utf-8"?>
<Properties xmlns="http://schemas.openxmlformats.org/officeDocument/2006/custom-properties" xmlns:vt="http://schemas.openxmlformats.org/officeDocument/2006/docPropsVTypes"/>
</file>