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BlockText"/>
      </w:pPr>
      <w:r>
        <w:t xml:space="preserve">⚠️</w:t>
      </w:r>
      <w:r>
        <w:t xml:space="preserve"> </w:t>
      </w:r>
      <w:r>
        <w:rPr>
          <w:bCs/>
          <w:b/>
        </w:rPr>
        <w:t xml:space="preserve">SUPERSEDED (2026-06-19).</w:t>
      </w:r>
      <w:r>
        <w:t xml:space="preserve"> </w:t>
      </w:r>
      <w:r>
        <w:t xml:space="preserve">This draft presents a strong, robust Forced Internationalization Penalty (β=−1.339) on a Timor-inclusive / restricted SIDS sample. It is superseded by the redesigned manuscript in</w:t>
      </w:r>
      <w:r>
        <w:t xml:space="preserve"> </w:t>
      </w:r>
      <w:r>
        <w:rPr>
          <w:rStyle w:val="VerbatimChar"/>
        </w:rPr>
        <w:t xml:space="preserve">p8/submission/world_development_redesign/</w:t>
      </w:r>
      <w:r>
        <w:t xml:space="preserve"> </w:t>
      </w:r>
      <w:r>
        <w:t xml:space="preserve">(</w:t>
      </w:r>
      <w:r>
        <w:t xml:space="preserve">“</w:t>
      </w:r>
      <w:r>
        <w:t xml:space="preserve">When the Inverted-U Dissolves</w:t>
      </w:r>
      <w:r>
        <w:t xml:space="preserve">”</w:t>
      </w:r>
      <w:r>
        <w:t xml:space="preserve">), which uses the 7 genuine Pacific SIDS (Timor-Leste excluded per WB/UN), frames dissolution as the robust finding, and treats FIP as a theoretical limiting case. Do not submit this version.</w:t>
      </w:r>
    </w:p>
    <w:p>
      <w:pPr>
        <w:pStyle w:val="FirstParagraph"/>
      </w:pPr>
      <w:r>
        <w:rPr>
          <w:bCs/>
          <w:b/>
        </w:rPr>
        <w:t xml:space="preserve">Keywords</w:t>
      </w:r>
      <w:r>
        <w:t xml:space="preserve">: internationalization–performance relationship; small</w:t>
      </w:r>
      <w:r>
        <w:t xml:space="preserve"> </w:t>
      </w:r>
      <w:r>
        <w:t xml:space="preserve">island developing states; forced internationalization; institutional 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959 firms across seven Pacific SIDS economies (2009–2025), we find that internationalization intensity is robustly and negatively associated with labor productivity (β = −1.339, p &lt; .001 in the country-and-year fixed-effects specification; β = −3.351, p &lt; .001 without country fixed effects; estimation N = 209 complete cases, from the full analysis sample of N = 959), with no significant quadratic curvature. Neither technological capability nor digital adoption moderates the negative export–performance slope in the SIDS environment, although technological capability does raise the overall productivity level,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959 firms across seven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t>
      </w:r>
      <w:r>
        <w:t xml:space="preserve"> </w:t>
      </w:r>
      <w:r>
        <w:t xml:space="preserve">“</w:t>
      </w:r>
      <w:r>
        <w:t xml:space="preserve">institutional determination of the sign of I-P relationship.</w:t>
      </w:r>
      <w:r>
        <w:t xml:space="preserve">”</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 significant quadratic turning point, indicating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20–99,100+ employees) and sectors (manufacturing, services, retail). We include all firm-year observations from economies meeting the SIDS classification: Fiji, Kiribati, Papua New Guinea, Samoa, Solomon Islands, Tonga, and Vanuatu (seven economies). The analysis sample, observations with non-missing values for labor productivity, export intensity, and firm age, comprises</w:t>
      </w:r>
      <w:r>
        <w:t xml:space="preserve"> </w:t>
      </w:r>
      <w:r>
        <w:rPr>
          <w:bCs/>
          <w:b/>
        </w:rPr>
        <w:t xml:space="preserve">959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 in constant purchasing-power-parity-adjusted USD: ln(d2/l1). This measure has been used extensively in enterprise-level productivity studies (Goedhuys &amp; Sleuwaegen, 2013; World Bank, 2020). Of the 959 analysis observations, 132 (13.8%)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 Sales to Total Sales) from WBES items d3b + d3c (percentage of sales from indirect plus direct exports), divided by 100. For the main models, FSTS is mean-centered at the wave level: FSTS_c = FSTS − mean_wave(FSTS), yielding a mean FSTS of 0.048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 b8 (internationally recognized quality certification, binary) and e6 (licensing of foreign technology, binary). TCI_z is the z-standardized mean of these two indicators, treated as a formative composite (Diamantopoulos &amp; Winklhofer, 2001; Jarvis, MacKenzie, &amp; Podsakoff, 2003).</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549"/>
        <w:gridCol w:w="452"/>
        <w:gridCol w:w="3297"/>
        <w:gridCol w:w="362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d3b + d3c</w:t>
            </w:r>
          </w:p>
        </w:tc>
        <w:tc>
          <w:tcPr/>
          <w:p>
            <w:pPr>
              <w:pStyle w:val="Compact"/>
              <w:jc w:val="left"/>
            </w:pPr>
            <w:r>
              <w:t xml:space="preserve">(d3b + 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d3b + 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d3b + 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(7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959 firms across seven Pacific SIDS economies. Table 1 reports country-level summary statistics. Exporter representation is thin across all economies (overall 13.8%), consistent with the SIDS structural constraint: most firms operate predominantly in the domestic market despite its limitations. Mean FSTS across the full sample is 0.048, reflecting the low-but-non-zero export engagement of SIDS firms. The country fixed effects absorb substantial variance: R² increases from 0.109 (year FE only) to 0.657 (country + year FE) when country indicators are added, confirming that roughly 83% of explained productivity variance is between-country,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r>
        <w:t xml:space="preserve"> </w:t>
      </w:r>
      <w:r>
        <w:t xml:space="preserve">(estimation N = 209 complete cases; full analysis sample N = 959)</w:t>
      </w:r>
    </w:p>
    <w:p>
      <w:pPr>
        <w:pStyle w:val="BodyText"/>
      </w:pPr>
      <w:r>
        <w:t xml:space="preserve">This coefficient is statistically significant at the conventional 5% level and substantively meaningful: a one-unit increase in FSTS is associated with markedly lower labor productivity (a large negative log-point shift; given the thin, low-FSTS support this should be read as directional rather than a precise point elasticity).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0.6567; adding FSTS_c in M1 increases R² to 0.6666,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+0.014, p = .020); foreign ownership shows a negative but non-significant association (β = −0.426, p = .315); firm size is essentially nil (β = +0.002, p = .983).</w:t>
      </w:r>
    </w:p>
    <w:bookmarkEnd w:id="32"/>
    <w:bookmarkStart w:id="33" w:name="Xc0a88d50ea7b5c27a76a85a44afe4aa278d46cd"/>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 is any inverted-U pattern with the positive portion below our data range.</w:t>
      </w:r>
    </w:p>
    <w:p>
      <w:pPr>
        <w:pStyle w:val="BodyText"/>
      </w:pPr>
      <w:r>
        <w:t xml:space="preserve">The results are: β(FSTS_c) = −2.177, SE = 1.603, p = .176 (n.s.) β(FSTS_c²) = +1.125, SE = 1.943, p = .563 (n.s.)</w:t>
      </w:r>
    </w:p>
    <w:p>
      <w:pPr>
        <w:pStyle w:val="BodyText"/>
      </w:pPr>
      <w:r>
        <w:t xml:space="preserve">Both the linear and quadratic terms lose significance when entered jointly, indicating high collinearity between the two terms in this low-FSTS sample (mean FSTS = 0.048).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−2.177 (</w:t>
      </w:r>
      <w:r>
        <w:rPr>
          <w:iCs/>
          <w:i/>
        </w:rPr>
        <w:t xml:space="preserve">p</w:t>
      </w:r>
      <w:r>
        <w:t xml:space="preserve"> </w:t>
      </w:r>
      <w:r>
        <w:t xml:space="preserve">= .176)</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+1.125 (</w:t>
      </w:r>
      <w:r>
        <w:rPr>
          <w:iCs/>
          <w:i/>
        </w:rPr>
        <w:t xml:space="preserve">p</w:t>
      </w:r>
      <w:r>
        <w:t xml:space="preserve"> </w:t>
      </w:r>
      <w:r>
        <w:t xml:space="preserve">= .563),</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−(−2.177) / (2 ×</w:t>
      </w:r>
      <w:r>
        <w:t xml:space="preserve"> </w:t>
      </w:r>
      <w:r>
        <w:t xml:space="preserve">1.125) = 0.968,</w:t>
      </w:r>
      <w:r>
        <w:t xml:space="preserve"> </w:t>
      </w:r>
      <w:r>
        <w:rPr>
          <w:bCs/>
          <w:b/>
        </w:rPr>
        <w:t xml:space="preserve">implied turning point lies outside the observed</w:t>
      </w:r>
      <w:r>
        <w:rPr>
          <w:bCs/>
          <w:b/>
        </w:rPr>
        <w:t xml:space="preserve"> </w:t>
      </w:r>
      <w:r>
        <w:rPr>
          <w:bCs/>
          <w:b/>
        </w:rPr>
        <w:t xml:space="preserve">sample maximum (FSTS_max ≈ 1.0, but neither β₁ nor β₂ is statistically significant)</w:t>
      </w:r>
    </w:p>
    <w:p>
      <w:pPr>
        <w:numPr>
          <w:ilvl w:val="0"/>
          <w:numId w:val="1001"/>
        </w:numPr>
        <w:pStyle w:val="Compact"/>
      </w:pPr>
      <w:r>
        <w:rPr>
          <w:bCs/>
          <w:b/>
        </w:rPr>
        <w:t xml:space="preserve">C4</w:t>
      </w:r>
      <w:r>
        <w:t xml:space="preserve"> </w:t>
      </w:r>
      <w:r>
        <w:t xml:space="preserve">(Lind–Mehlum utest, Lind &amp; Mehlum, 2010): the test</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 yields a substantially larger negative effect:</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The monotone negative pattern persists without conditioning on firm characteristics, though it is only marginally significant in the unconditional specification (p = .050).</w:t>
      </w:r>
    </w:p>
    <w:p>
      <w:pPr>
        <w:pStyle w:val="BodyText"/>
      </w:pPr>
      <w:r>
        <w:rPr>
          <w:bCs/>
          <w:b/>
        </w:rPr>
        <w:t xml:space="preserve">Exporters-only subsample</w:t>
      </w:r>
      <w:r>
        <w:t xml:space="preserve"> </w:t>
      </w:r>
      <w:r>
        <w:t xml:space="preserve">(132 exporters): Among active exporters</w:t>
      </w:r>
      <w:r>
        <w:t xml:space="preserve"> </w:t>
      </w:r>
      <w:r>
        <w:t xml:space="preserve">(FSTS &gt; 0), the negative effect is:</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The exporter subsample with complete controls is very small (N = 26), so this specification is underpowered and the coefficient is not significant; the result is directionally consistent with FIP but cannot, on its own, rule out selection. The fixed-effects evidence (M1, M_yearFE) provides the stronger basis for the FIP inference.</w:t>
      </w:r>
    </w:p>
    <w:p>
      <w:pPr>
        <w:pStyle w:val="BodyText"/>
      </w:pPr>
      <w:r>
        <w:rPr>
          <w:bCs/>
          <w:b/>
        </w:rPr>
        <w:t xml:space="preserve">Sample-restriction and exclusion robustness.</w:t>
      </w:r>
      <w:r>
        <w:t xml:space="preserve"> </w:t>
      </w:r>
      <w:r>
        <w:t xml:space="preserve">Two checks confirm that the FIP estimate is not an artefact of the complete-case sample or of the seven-economy definition. First, the N = 209 estimation sample for the fully controlled model arises almost entirely from missingness on the foreign-ownership control (non-missing for only 22 per cent of firms); re-estimating M1 with country and year fixed effects but without that control recovers the full analysis sample and preserves the result (β(FSTS_c) = −0.835, p = .010, N = 950; with no controls, β = −0.769, p = .015, N = 959). The retained and dropped subsamples have near-identical mean FSTS (0.046 versus 0.049), indicating the restriction is not selected on the focal variable. Second, the penalty is present beyond the Pacific definition: estimated on the full nine-economy small-island pool that additionally includes Comoros and Timor-Leste, it remains negative and significant (β(FSTS_c) = −0.510, p = .008, N = 1,469). The seven-economy restriction therefore strengthens, but does not create, the estimate.</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Technological capability is positively and significantly associated with productivity, whereas digital adoption is not:</w:t>
      </w:r>
    </w:p>
    <w:p>
      <w:pPr>
        <w:pStyle w:val="BodyText"/>
      </w:pPr>
      <w:r>
        <w:t xml:space="preserve">β(TCI_z) = +0.299, SE = 0.099, p = .003 β(DAI_z) = +0.094, SE =</w:t>
      </w:r>
      <w:r>
        <w:t xml:space="preserve"> </w:t>
      </w:r>
      <w:r>
        <w:t xml:space="preserve">0.088, p = .285 (n.s.)</w:t>
      </w:r>
    </w:p>
    <w:p>
      <w:pPr>
        <w:pStyle w:val="BodyText"/>
      </w:pPr>
      <w:r>
        <w:t xml:space="preserve">The FIP coefficient (FSTS_c) remains negative and marginally significant in M3 (β = −2.979, p = .056), likely reflecting the substantially reduced sample (N = 205 for M3, versus N = 209 for M1, both reflecting attrition from the 959-firm analysis sample due to missing control and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Entered as direct terms (not interactions), technological capability (TCI_z: β = +0.299, p = .003) raises the productivity level while digital adoption (DAI_z: β = +0.094, p = .285) does not; neither alters the negative FSTS slope, so H2 (non-moderation of the I-P slope) holds in Pacific SIDS, consistent with the FIP mechanism overwhelming capability effects in structurally constrained economies. The positive TCI_z estimate (significant) and the smaller, non-significant DAI_z estimate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−1.339, p &lt; .001); (ii) no significant quadratic curvature or turning point (M2: both FSTS_c and FSTS_c² non-significant); (iii) negative across specifications (M_yearFE: β = −3.351, p &lt; .001; M_bivariate: β = −0.864, p = .050; exporters-only: β = −1.176, p = .130, n.s.); and (iv) no capability moderation of the slope (M3 adds TCI_z and DAI_z as direct terms: TCI_z p = .003 raises the level, DAI_z p = .285).</w: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w:t>
      </w:r>
      <w:r>
        <w:t xml:space="preserve"> </w:t>
      </w:r>
      <w:r>
        <w:t xml:space="preserve">“</w:t>
      </w:r>
      <w:r>
        <w:t xml:space="preserve">cost of doing business</w:t>
      </w:r>
      <w:r>
        <w:t xml:space="preserve">”</w:t>
      </w:r>
      <w:r>
        <w:t xml:space="preserve"> </w:t>
      </w:r>
      <w:r>
        <w:t xml:space="preserve">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not just the magnitude, of the I-P relationship reverses.</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Papua New Guinea, and Vanuatu,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0.048 and only 13.8% exporters, the FSTS distribution is highly</w:t>
      </w:r>
      <w:r>
        <w:t xml:space="preserve"> </w:t>
      </w:r>
      <w:r>
        <w:t xml:space="preserve">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bookmarkEnd w:id="42"/>
    <w:bookmarkEnd w:id="43"/>
    <w:bookmarkStart w:id="44" w:name="conclusions"/>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959 firms across seven Pacific SIDS economies, we find robust support for FIP across multiple specifications (β = −1.339, p &lt; .001 in the primary country-and-year fixed-effects model, estimated on the N = 209 complete-case subsample; β = −3.351, p &lt; .001 without country fixed effects; β = −0.864, p = .050 in the full-sample bivariate model; β = −1.176, p = .130 in the exporters-only subsample). The quadratic term is not significant, confirming the monotone negative form with no observable turning point. Digital adoption is null and, although technological capability raises the overall productivity level, neither capability moderates the negative export-performance slope,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t>
      </w:r>
      <w:r>
        <w:t xml:space="preserve"> </w:t>
      </w:r>
      <w:r>
        <w:t xml:space="preserve">“</w:t>
      </w:r>
      <w:r>
        <w:t xml:space="preserve">institutional determination of I-P sign,</w:t>
      </w:r>
      <w:r>
        <w:t xml:space="preserve">”</w:t>
      </w:r>
      <w:r>
        <w:t xml:space="preserve"> </w:t>
      </w:r>
      <w:r>
        <w:t xml:space="preserve">suggesting that the inverted-U may be conditional on structural prerequisites rather than broadly applicable across contexts.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49"/>
    <w:bookmarkStart w:id="53" w:name="appendix-a-tables"/>
    <w:p>
      <w:pPr>
        <w:pStyle w:val="Heading2"/>
      </w:pPr>
      <w:r>
        <w:t xml:space="preserve">Appendix A: Tables</w:t>
      </w:r>
    </w:p>
    <w:bookmarkStart w:id="50" w:name="Xd18a7fdbbe8955432f108664659551dd8892246"/>
    <w:p>
      <w:pPr>
        <w:pStyle w:val="Heading3"/>
      </w:pPr>
      <w:r>
        <w:t xml:space="preserve">Table 1. Country-Level Summary Statistics</w:t>
      </w:r>
    </w:p>
    <w:tbl>
      <w:tblPr>
        <w:tblStyle w:val="Table"/>
        <w:tblW w:type="pct" w:w="5000"/>
        <w:tblLook w:firstRow="1" w:lastRow="0" w:firstColumn="0" w:lastColumn="0" w:noHBand="0" w:noVBand="0" w:val="0020"/>
        <w:jc w:val="start"/>
      </w:tblPr>
      <w:tblGrid>
        <w:gridCol w:w="1926"/>
        <w:gridCol w:w="1177"/>
        <w:gridCol w:w="1177"/>
        <w:gridCol w:w="1284"/>
        <w:gridCol w:w="1177"/>
        <w:gridCol w:w="1177"/>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Total</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Note: N denotes analysis-sample firm-year observations (non-missing ln labour productivity and FSTS). Exporters are firms with FSTS &gt; 0; mean FSTS is computed over all firms, including non-exporters. Fiji, Papua New Guinea, and Vanuatu have two WBES waves; the remaining four economies have one.</w:t>
      </w:r>
    </w:p>
    <w:bookmarkEnd w:id="50"/>
    <w:bookmarkStart w:id="51"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020"/>
        <w:gridCol w:w="1080"/>
        <w:gridCol w:w="1080"/>
        <w:gridCol w:w="1020"/>
        <w:gridCol w:w="1080"/>
        <w:gridCol w:w="1320"/>
        <w:gridCol w:w="1320"/>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 &lt; .001; ** p &lt; .01; * p &lt; .05; . p &lt; .10.</w:t>
      </w:r>
    </w:p>
    <w:p>
      <w:pPr>
        <w:pStyle w:val="BodyText"/>
      </w:pPr>
      <w:r>
        <w:rPr>
          <w:iCs/>
          <w:i/>
        </w:rPr>
        <w:t xml:space="preserve">Forced Internationalization Penalty (FIP): Confirmed, β(FSTS_c) = −1.339, p &lt; .001 (M1).</w:t>
      </w:r>
    </w:p>
    <w:bookmarkEnd w:id="51"/>
    <w:bookmarkStart w:id="52" w:name="X0663e092ac382c03e02f48bedf26a30118613e9"/>
    <w:p>
      <w:pPr>
        <w:pStyle w:val="Heading3"/>
      </w:pPr>
      <w:r>
        <w:t xml:space="preserve">Table 3. Robustness: Exporters-Only Subsample (N = 132)</w:t>
      </w:r>
    </w:p>
    <w:tbl>
      <w:tblPr>
        <w:tblStyle w:val="Table"/>
        <w:tblW w:type="pct" w:w="5000"/>
        <w:tblLook w:firstRow="1" w:lastRow="0" w:firstColumn="0" w:lastColumn="0" w:noHBand="0" w:noVBand="0" w:val="0020"/>
        <w:jc w:val="start"/>
      </w:tblPr>
      <w:tblGrid>
        <w:gridCol w:w="3190"/>
        <w:gridCol w:w="1210"/>
        <w:gridCol w:w="770"/>
        <w:gridCol w:w="1540"/>
        <w:gridCol w:w="1210"/>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Negative (n.s.)</w:t>
            </w:r>
          </w:p>
        </w:tc>
      </w:tr>
      <w:tr>
        <w:tc>
          <w:tcPr/>
          <w:p>
            <w:pPr>
              <w:pStyle w:val="Compact"/>
              <w:jc w:val="left"/>
            </w:pPr>
            <w:r>
              <w:t xml:space="preserve">M1 full sample</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Negative</w:t>
            </w:r>
          </w:p>
        </w:tc>
      </w:tr>
    </w:tbl>
    <w:p>
      <w:pPr>
        <w:pStyle w:val="BodyText"/>
      </w:pPr>
      <w:r>
        <w:rPr>
          <w:iCs/>
          <w:i/>
        </w:rPr>
        <w:t xml:space="preserve">Note: The penalty is negative across specifications and strongest in the fixed-effects models. The exporters-only result (β = −1.176) is directionally consistent but not significant (N = 26; underpowered), so it cannot by itself rule out adverse selection.</w:t>
      </w:r>
    </w:p>
    <w:bookmarkEnd w:id="52"/>
    <w:bookmarkEnd w:id="53"/>
    <w:bookmarkEnd w:id="5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2026-06-20T21:09:56Z</dcterms:created>
  <dcterms:modified xsi:type="dcterms:W3CDTF">2026-06-20T21:09:56Z</dcterms:modified>
</cp:coreProperties>
</file>

<file path=docProps/custom.xml><?xml version="1.0" encoding="utf-8"?>
<Properties xmlns="http://schemas.openxmlformats.org/officeDocument/2006/custom-properties" xmlns:vt="http://schemas.openxmlformats.org/officeDocument/2006/docPropsVTypes"/>
</file>