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8.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International Journal of Emerging Markets (Emerald Publishing).</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productivity among Indian private firms is structurally durable across the 2014–2025 institutional and digital transformation decade, and whether technological and digital capabilities moderate the threshold.</w:t>
      </w:r>
    </w:p>
    <w:p>
      <w:pPr>
        <w:pStyle w:val="BodyText"/>
      </w:pPr>
      <w:r>
        <w:rPr>
          <w:bCs/>
          <w:b/>
        </w:rPr>
        <w:t xml:space="preserve">Design/methodology/approach.</w:t>
      </w:r>
      <w:r>
        <w:t xml:space="preserve"> </w:t>
      </w:r>
      <w:r>
        <w:t xml:space="preserve">Three World Bank Enterprise Survey waves (2014, 2022, 2025; analytic N = 28,717) are estimated by OLS with HC1 errors, quadratic FSTS terms and capability interactions; Lind–Mehlum U-tests and Paternoster cross-wave z-tests assess curvature and coefficient equality, exploiting the 2016 UPI rollout as a quasi-experiment.</w:t>
      </w:r>
    </w:p>
    <w:p>
      <w:pPr>
        <w:pStyle w:val="BodyText"/>
      </w:pPr>
      <w:r>
        <w:rPr>
          <w:bCs/>
          <w:b/>
        </w:rPr>
        <w:t xml:space="preserve">Findings.</w:t>
      </w:r>
      <w:r>
        <w:t xml:space="preserve"> </w:t>
      </w:r>
      <w:r>
        <w:t xml:space="preserve">The inverted-U collapses: the turning point migrates from 61.8% FSTS (2014) to 40.7% (2022), and by 2025 curvature is insignificant (β₂ = −0.16, p = 0.42). Paternoster z-tests reject coefficient equality (linear z = −7.94; quadratic z = +4.17; both p &lt; 0.0001). The UPI Tier-2 e-payment interaction is negative (FSTS × DAI_epay = −4.02, p = 0.004).</w:t>
      </w:r>
    </w:p>
    <w:p>
      <w:pPr>
        <w:pStyle w:val="BodyText"/>
      </w:pPr>
      <w:r>
        <w:rPr>
          <w:bCs/>
          <w:b/>
        </w:rPr>
        <w:t xml:space="preserve">Research limitations/implications.</w:t>
      </w:r>
      <w:r>
        <w:t xml:space="preserve"> </w:t>
      </w:r>
      <w:r>
        <w:t xml:space="preserve">The waves are independent cross-sections, supporting cross-wave comparison but not within-firm causal inference; Tier-2 adoption is observed only in 2025.</w:t>
      </w:r>
    </w:p>
    <w:p>
      <w:pPr>
        <w:pStyle w:val="BodyText"/>
      </w:pPr>
      <w:r>
        <w:rPr>
          <w:bCs/>
          <w:b/>
        </w:rPr>
        <w:t xml:space="preserve">Practical implications.</w:t>
      </w:r>
      <w:r>
        <w:t xml:space="preserve"> </w:t>
      </w:r>
      <w:r>
        <w:t xml:space="preserve">Fixed export-intensity targets are no longer empirically defensible for 2025; the binding constraint on exporter productivity is cross-border-specific digital infrastructure, not domestic UPI rails.</w:t>
      </w:r>
    </w:p>
    <w:p>
      <w:pPr>
        <w:pStyle w:val="BodyText"/>
      </w:pPr>
      <w:r>
        <w:rPr>
          <w:bCs/>
          <w:b/>
        </w:rPr>
        <w:t xml:space="preserve">Social implications.</w:t>
      </w:r>
      <w:r>
        <w:t xml:space="preserve"> </w:t>
      </w:r>
      <w:r>
        <w:t xml:space="preserve">Inclusive South Asian SME participation in global value chains requires both domestic (UPI, Aadhaar, ONDC) and cross-border digital infrastructure, which are complements rather than substitutes.</w:t>
      </w:r>
    </w:p>
    <w:p>
      <w:pPr>
        <w:pStyle w:val="BodyText"/>
      </w:pPr>
      <w:r>
        <w:rPr>
          <w:bCs/>
          <w:b/>
        </w:rPr>
        <w:t xml:space="preserve">Originality/value.</w:t>
      </w:r>
      <w:r>
        <w:t xml:space="preserve"> </w:t>
      </w:r>
      <w:r>
        <w:t xml:space="preserve">This provides the first firm-level evidence that extreme institutional transformation can dissolve, rather than relocate, the inverted-U threshold, identifying a previously untested scope condition: the threshold is conditional on institutional stability.</w:t>
      </w:r>
    </w:p>
    <w:p>
      <w:pPr>
        <w:pStyle w:val="BodyText"/>
      </w:pPr>
      <w:r>
        <w:rPr>
          <w:bCs/>
          <w:b/>
        </w:rPr>
        <w:t xml:space="preserve">Keywords:</w:t>
      </w:r>
      <w:r>
        <w:t xml:space="preserve"> </w:t>
      </w:r>
      <w:r>
        <w:t xml:space="preserve">internationalisation–performance; export intensity; threshold stability; India; UPI; technological capability; institutional transformation;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exceptional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(Authors, 2025).</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(N_raw = 9,281), 2022 BEE (N_raw = 9,376), and 2025 BREADY (N_raw = 10,479); analytic samples after listwise deletion are 8,941, 9,300, and 10,476 (pooled N = 28,717).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The analysis tests a baseline inverted-U hypothesis (H1) and four directional hypotheses: a competitive pair on threshold durability (H2a institutional shift versus H2b durability), technological-capability moderation (H3a level-shifter under stability, H3b export-intensity-contingent under post-PLI redirection), and digital-capability moderation (H4a private Tier-1 moderation, H4b public Tier-2 dominance). From this set, three contributions follow. Firstly (mapping to H2),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(mapping to H4), the analysis refines the developmental-state literature on public digital infrastructure by showing that public and private digital infrastructure are complements rather than substitutes in the export production function. India’s UPI rails are highly effective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(mapping to H3),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Authors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theory-and-hypotheses"/>
    <w:p>
      <w:pPr>
        <w:pStyle w:val="Heading2"/>
      </w:pPr>
      <w:r>
        <w:t xml:space="preserve">2. Theory and Hypotheses</w:t>
      </w:r>
    </w:p>
    <w:bookmarkStart w:id="23" w:name="X43c84b9269dc477895c44f820702e9060fb814e"/>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Concurrent with this study, Hutzschenreuter, Kleindienst, Sengupta and Verbeke (2026) report an inverted-U relationship between added cultural distance and performance in 109 Indian MNEs tracked over 6–31 years post-1991 liberalisation, attributing the threshold to a meta-bounded-rationality challenge: senior managers underestimate how the aggregate of multiple international investment steps overwhelms managerial capacity. Their finding establishes the generalisability of the inverted-U claim outside the German Hutzschenreuter and Voll (2008) baseline and supplies a Penrosean micro-foundation that complements the institutional argument advanced below.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1122495630921333020f7d159de308f08cf24a7"/>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exceptional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technological-capability-moderation"/>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70a2bee9dfb3e9a520e126500e6cfbc083fe498"/>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rarely matched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conceptual-model"/>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CaptionedFigure"/>
      </w:pPr>
      <w:r>
        <w:drawing>
          <wp:inline>
            <wp:extent cx="5753100" cy="4351703"/>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753100" cy="4351703"/>
                    </a:xfrm>
                    <a:prstGeom prst="rect">
                      <a:avLst/>
                    </a:prstGeom>
                    <a:noFill/>
                    <a:ln w="9525">
                      <a:noFill/>
                      <a:headEnd/>
                      <a:tailEnd/>
                    </a:ln>
                  </pic:spPr>
                </pic:pic>
              </a:graphicData>
            </a:graphic>
          </wp:inline>
        </w:drawing>
      </w:r>
    </w:p>
    <w:p>
      <w:pPr>
        <w:pStyle w:val="ImageCaption"/>
      </w:pPr>
      <w:r>
        <w:t xml:space="preserve">Figure 1. Conceptual model: conditional inverted-U with capability moderation under institutional scope condition.</w:t>
      </w:r>
    </w:p>
    <w:bookmarkEnd w:id="30"/>
    <w:bookmarkEnd w:id="31"/>
    <w:bookmarkStart w:id="36" w:name="data-and-methods"/>
    <w:p>
      <w:pPr>
        <w:pStyle w:val="Heading2"/>
      </w:pPr>
      <w:r>
        <w:t xml:space="preserve">3. Data and Methods</w:t>
      </w:r>
    </w:p>
    <w:bookmarkStart w:id="32" w:name="data-sources"/>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 https://www.enterprisesurveys.org subject to World Bank registration.</w:t>
      </w:r>
    </w:p>
    <w:bookmarkEnd w:id="32"/>
    <w:bookmarkStart w:id="33" w:name="variables"/>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3"/>
    <w:bookmarkStart w:id="34" w:name="X2d2d5d3672368fb46842627a3037ee4bc4105b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4"/>
    <w:bookmarkStart w:id="35" w:name="estimation-strategy"/>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w:t>
      </w:r>
      <w:r>
        <w:t xml:space="preserve"> </w:t>
      </w:r>
      <w:r>
        <w:t xml:space="preserve">“</w:t>
      </w:r>
      <w:r>
        <w:t xml:space="preserve">monotone or U</w:t>
      </w:r>
      <w:r>
        <w:t xml:space="preserve">”</w:t>
      </w:r>
      <w:r>
        <w:t xml:space="preserve"> </w:t>
      </w:r>
      <w:r>
        <w:t xml:space="preserve">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5"/>
    <w:bookmarkEnd w:id="36"/>
    <w:bookmarkStart w:id="52" w:name="results"/>
    <w:p>
      <w:pPr>
        <w:pStyle w:val="Heading2"/>
      </w:pPr>
      <w:r>
        <w:t xml:space="preserve">4. Results</w:t>
      </w:r>
    </w:p>
    <w:bookmarkStart w:id="37" w:name="descriptive-statistics"/>
    <w:p>
      <w:pPr>
        <w:pStyle w:val="Heading3"/>
      </w:pPr>
      <w:r>
        <w:t xml:space="preserve">4.1 Descriptive statistics</w:t>
      </w:r>
    </w:p>
    <w:p>
      <w:pPr>
        <w:pStyle w:val="FirstParagraph"/>
      </w:pPr>
      <w:r>
        <w:t xml:space="preserve">Sample sizes after listwise deletion on focal variables and firmage validation (capped at [0,150]): 2014 N = 8,941; 2022 N = 9,300; 2025 N = 10,476. Mean export intensity declined from 7.2 % (2014) to 8.0 % (2022)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7"/>
    <w:bookmarkStart w:id="41" w:name="wave-by-wave-inverted-u-estimation"/>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w:t>
      </w:r>
      <w:r>
        <w:rPr>
          <w:iCs/>
          <w:i/>
        </w:rPr>
        <w:t xml:space="preserve"> </w:t>
      </w:r>
      <w:r>
        <w:t xml:space="preserve"> </w:t>
      </w:r>
      <w:r>
        <w:t xml:space="preserve">p &lt; 0.05, ** p &lt; 0.01, *** p &lt; 0.001. Turning point computed as TP = −β̂₁ / (2β̂₂); reported only for waves with inverted-U supported in Lind–Mehlum test.*</w:t>
      </w:r>
    </w:p>
    <w:p>
      <w:pPr>
        <w:pStyle w:val="CaptionedFigure"/>
      </w:pPr>
      <w:r>
        <w:drawing>
          <wp:inline>
            <wp:extent cx="5753100" cy="3376880"/>
            <wp:effectExtent b="0" l="0" r="0" t="0"/>
            <wp:docPr descr="Figure 2. Wave-specific predicted I-P relationship: India 2014, 2022, 2025." title="" id="39" name="Picture"/>
            <a:graphic>
              <a:graphicData uri="http://schemas.openxmlformats.org/drawingml/2006/picture">
                <pic:pic>
                  <pic:nvPicPr>
                    <pic:cNvPr descr="/home/user/MY_THESIS_PHD_CANDIDATE_26/p9_india/replication/figures/figure_2_predicted_curves.png" id="40" name="Picture"/>
                    <pic:cNvPicPr>
                      <a:picLocks noChangeArrowheads="1" noChangeAspect="1"/>
                    </pic:cNvPicPr>
                  </pic:nvPicPr>
                  <pic:blipFill>
                    <a:blip r:embed="rId38"/>
                    <a:stretch>
                      <a:fillRect/>
                    </a:stretch>
                  </pic:blipFill>
                  <pic:spPr bwMode="auto">
                    <a:xfrm>
                      <a:off x="0" y="0"/>
                      <a:ext cx="5753100" cy="3376880"/>
                    </a:xfrm>
                    <a:prstGeom prst="rect">
                      <a:avLst/>
                    </a:prstGeom>
                    <a:noFill/>
                    <a:ln w="9525">
                      <a:noFill/>
                      <a:headEnd/>
                      <a:tailEnd/>
                    </a:ln>
                  </pic:spPr>
                </pic:pic>
              </a:graphicData>
            </a:graphic>
          </wp:inline>
        </w:drawing>
      </w:r>
    </w:p>
    <w:p>
      <w:pPr>
        <w:pStyle w:val="ImageCaption"/>
      </w:pPr>
      <w:r>
        <w:t xml:space="preserve">Figure 2. Wave-specific predicted I-P relationship: India 2014, 2022, 2025.</w:t>
      </w:r>
    </w:p>
    <w:bookmarkEnd w:id="41"/>
    <w:bookmarkStart w:id="45" w:name="Xd3a2f990fdcf9395af6a5a697379a40e70d23aa"/>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CaptionedFigure"/>
      </w:pPr>
      <w:r>
        <w:drawing>
          <wp:inline>
            <wp:extent cx="5753100" cy="3759293"/>
            <wp:effectExtent b="0" l="0" r="0" t="0"/>
            <wp:docPr descr="Figure 3. Turning-point estimates and 2025 threshold collapse." title="" id="43" name="Picture"/>
            <a:graphic>
              <a:graphicData uri="http://schemas.openxmlformats.org/drawingml/2006/picture">
                <pic:pic>
                  <pic:nvPicPr>
                    <pic:cNvPr descr="/home/user/MY_THESIS_PHD_CANDIDATE_26/p9_india/replication/figures/figure_3_turning_points.png" id="44" name="Picture"/>
                    <pic:cNvPicPr>
                      <a:picLocks noChangeArrowheads="1" noChangeAspect="1"/>
                    </pic:cNvPicPr>
                  </pic:nvPicPr>
                  <pic:blipFill>
                    <a:blip r:embed="rId42"/>
                    <a:stretch>
                      <a:fillRect/>
                    </a:stretch>
                  </pic:blipFill>
                  <pic:spPr bwMode="auto">
                    <a:xfrm>
                      <a:off x="0" y="0"/>
                      <a:ext cx="5753100" cy="3759293"/>
                    </a:xfrm>
                    <a:prstGeom prst="rect">
                      <a:avLst/>
                    </a:prstGeom>
                    <a:noFill/>
                    <a:ln w="9525">
                      <a:noFill/>
                      <a:headEnd/>
                      <a:tailEnd/>
                    </a:ln>
                  </pic:spPr>
                </pic:pic>
              </a:graphicData>
            </a:graphic>
          </wp:inline>
        </w:drawing>
      </w:r>
    </w:p>
    <w:p>
      <w:pPr>
        <w:pStyle w:val="ImageCaption"/>
      </w:pPr>
      <w:r>
        <w:t xml:space="preserve">Figure 3. Turning-point estimates and 2025 threshold collapse.</w:t>
      </w:r>
    </w:p>
    <w:bookmarkEnd w:id="45"/>
    <w:bookmarkStart w:id="46" w:name="three-wave-pooled-robustness"/>
    <w:p>
      <w:pPr>
        <w:pStyle w:val="Heading3"/>
      </w:pPr>
      <w:r>
        <w:t xml:space="preserve">4.4 Three-wave pooled robustness</w:t>
      </w:r>
    </w:p>
    <w:p>
      <w:pPr>
        <w:pStyle w:val="FirstParagraph"/>
      </w:pPr>
      <w:r>
        <w:t xml:space="preserve">The pooled 3-wave model with wave dummies (N = 28,717,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6"/>
    <w:bookmarkStart w:id="50" w:name="capability-moderators-h3-h4a-h4b"/>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w:t>
      </w:r>
      <w:r>
        <w:rPr>
          <w:iCs/>
          <w:i/>
        </w:rPr>
        <w:t xml:space="preserve"> </w:t>
      </w:r>
      <w:r>
        <w:t xml:space="preserve"> </w:t>
      </w:r>
      <w:r>
        <w:t xml:space="preserve">p &lt; 0.05, ** p &lt; 0.01, *** p &lt; 0.001. Controls (ln(Employees), firm age, foreign ownership) included but suppressed for space.*</w:t>
      </w:r>
    </w:p>
    <w:p>
      <w:pPr>
        <w:pStyle w:val="CaptionedFigure"/>
      </w:pPr>
      <w:r>
        <w:drawing>
          <wp:inline>
            <wp:extent cx="5753100" cy="4032177"/>
            <wp:effectExtent b="0" l="0" r="0" t="0"/>
            <wp:docPr descr="Figure 4. UPI rollout and Indian institutional shocks, 2014-2025." title="" id="48" name="Picture"/>
            <a:graphic>
              <a:graphicData uri="http://schemas.openxmlformats.org/drawingml/2006/picture">
                <pic:pic>
                  <pic:nvPicPr>
                    <pic:cNvPr descr="/home/user/MY_THESIS_PHD_CANDIDATE_26/p9_india/replication/figures/figure_4_upi_timeline.png" id="49" name="Picture"/>
                    <pic:cNvPicPr>
                      <a:picLocks noChangeArrowheads="1" noChangeAspect="1"/>
                    </pic:cNvPicPr>
                  </pic:nvPicPr>
                  <pic:blipFill>
                    <a:blip r:embed="rId47"/>
                    <a:stretch>
                      <a:fillRect/>
                    </a:stretch>
                  </pic:blipFill>
                  <pic:spPr bwMode="auto">
                    <a:xfrm>
                      <a:off x="0" y="0"/>
                      <a:ext cx="5753100" cy="4032177"/>
                    </a:xfrm>
                    <a:prstGeom prst="rect">
                      <a:avLst/>
                    </a:prstGeom>
                    <a:noFill/>
                    <a:ln w="9525">
                      <a:noFill/>
                      <a:headEnd/>
                      <a:tailEnd/>
                    </a:ln>
                  </pic:spPr>
                </pic:pic>
              </a:graphicData>
            </a:graphic>
          </wp:inline>
        </w:drawing>
      </w:r>
    </w:p>
    <w:p>
      <w:pPr>
        <w:pStyle w:val="ImageCaption"/>
      </w:pPr>
      <w:r>
        <w:t xml:space="preserve">Figure 4. UPI rollout and Indian institutional shocks, 2014-2025.</w:t>
      </w:r>
    </w:p>
    <w:bookmarkEnd w:id="50"/>
    <w:bookmarkStart w:id="51" w:name="robustness-checks"/>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pct" w:w="5000"/>
        <w:tblLook w:firstRow="1" w:lastRow="0" w:firstColumn="0" w:lastColumn="0" w:noHBand="0" w:noVBand="0" w:val="0020"/>
        <w:jc w:val="start"/>
      </w:tblPr>
      <w:tblGrid>
        <w:gridCol w:w="913"/>
        <w:gridCol w:w="1218"/>
        <w:gridCol w:w="1218"/>
        <w:gridCol w:w="1218"/>
        <w:gridCol w:w="1218"/>
        <w:gridCol w:w="1218"/>
        <w:gridCol w:w="913"/>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w:t>
      </w:r>
      <w:r>
        <w:rPr>
          <w:iCs/>
          <w:i/>
        </w:rPr>
        <w:t xml:space="preserve"> </w:t>
      </w:r>
      <w:r>
        <w:t xml:space="preserve"> </w:t>
      </w:r>
      <w:r>
        <w:t xml:space="preserve">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1"/>
    <w:bookmarkEnd w:id="52"/>
    <w:bookmarkStart w:id="59" w:name="discussion"/>
    <w:p>
      <w:pPr>
        <w:pStyle w:val="Heading2"/>
      </w:pPr>
      <w:r>
        <w:t xml:space="preserve">5. Discussion</w:t>
      </w:r>
    </w:p>
    <w:bookmarkStart w:id="53" w:name="X7b7b7455b0f7d9fdb0ac28ca20dbbe2e1cce1d1"/>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1e-12).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Section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3"/>
    <w:bookmarkStart w:id="54" w:name="X29c10bc63ed9896d416ece5f4226f380bd34cf0"/>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4"/>
    <w:bookmarkStart w:id="55" w:name="Xb471ce4af1c8388abd81e7c0b454c35c1bf71b5"/>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far-reaching strategic redirection, even firm-level capability constructs behave differently.</w:t>
      </w:r>
    </w:p>
    <w:bookmarkEnd w:id="55"/>
    <w:bookmarkStart w:id="56" w:name="X59962a5bf251ba78cbeff78982c479ec97bb9fa"/>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w:t>
      </w:r>
      <w:r>
        <w:t xml:space="preserve"> </w:t>
      </w:r>
      <w:r>
        <w:t xml:space="preserve">“</w:t>
      </w:r>
      <w:r>
        <w:t xml:space="preserve">what is the optimal export intensity?</w:t>
      </w:r>
      <w:r>
        <w:t xml:space="preserve">”</w:t>
      </w:r>
      <w:r>
        <w:t xml:space="preserve"> </w:t>
      </w:r>
      <w:r>
        <w:t xml:space="preserve">but</w:t>
      </w:r>
      <w:r>
        <w:t xml:space="preserve"> </w:t>
      </w:r>
      <w:r>
        <w:t xml:space="preserve">“</w:t>
      </w:r>
      <w:r>
        <w:t xml:space="preserve">under what institutional conditions does an optimum re-emerge?</w:t>
      </w:r>
      <w:r>
        <w:t xml:space="preserve">”</w:t>
      </w:r>
      <w:r>
        <w:t xml:space="preserve"> </w:t>
      </w:r>
      <w:r>
        <w:t xml:space="preserve">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6"/>
    <w:bookmarkStart w:id="57" w:name="theoretical-contributions"/>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7"/>
    <w:bookmarkStart w:id="58" w:name="boundary-conditions-and-scope"/>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Section 5.2 remains unresolved and qualifies the H4b reinterpretation.</w:t>
      </w:r>
    </w:p>
    <w:bookmarkEnd w:id="58"/>
    <w:bookmarkEnd w:id="59"/>
    <w:bookmarkStart w:id="60" w:name="limitations-and-future-research"/>
    <w:p>
      <w:pPr>
        <w:pStyle w:val="Heading2"/>
      </w:pPr>
      <w:r>
        <w:t xml:space="preserve">6. Limitations and Future Research</w:t>
      </w:r>
    </w:p>
    <w:p>
      <w:pPr>
        <w:pStyle w:val="FirstParagraph"/>
      </w:pPr>
      <w:r>
        <w:t xml:space="preserve">The substantive limitations are detailed in Section 5.6. One further measurement caveat warrants emphasis: the 2025 wave coincides with a sharp contraction in export engagement (mean FSTS falls from 7.2 per cent in 2014 to 2.7 per cent in 2025, and the number of firms above 50 per cent FSTS falls from 536 to 141), so the loss of significant quadratic curvature in 2025 partly reflects reduced identifying variation in the high-export tail. The threshold-dissolution finding should therefore be read as conditional on the post-Atmanirbhar export contraction. Importantly, however, the sign of the low-export slope itself reverses, from a positive ascending limb in 2014 to a monotone negative relationship in 2025, a qualitative change that thinner tail support alone does not generate.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(Authors,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0"/>
    <w:bookmarkStart w:id="61"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(Authors, 2025)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1"/>
    <w:bookmarkStart w:id="62" w:name="conflict-of-interest"/>
    <w:p>
      <w:pPr>
        <w:pStyle w:val="Heading2"/>
      </w:pPr>
      <w:r>
        <w:t xml:space="preserve">Conflict of Interest</w:t>
      </w:r>
    </w:p>
    <w:p>
      <w:pPr>
        <w:pStyle w:val="FirstParagraph"/>
      </w:pPr>
      <w:r>
        <w:t xml:space="preserve">The authors declare no conflict of interest.</w:t>
      </w:r>
    </w:p>
    <w:bookmarkEnd w:id="62"/>
    <w:bookmarkStart w:id="6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3"/>
    <w:bookmarkStart w:id="64" w:name="data-availability-statement"/>
    <w:p>
      <w:pPr>
        <w:pStyle w:val="Heading2"/>
      </w:pPr>
      <w:r>
        <w:t xml:space="preserve">Data availability statement</w:t>
      </w:r>
    </w:p>
    <w:p>
      <w:pPr>
        <w:pStyle w:val="FirstParagraph"/>
      </w:pPr>
      <w:r>
        <w:t xml:space="preserve">WBES India 2014, 2022, and 2025 microdata are publicly available via https://www.enterprisesurveys.org 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4"/>
    <w:bookmarkStart w:id="6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5"/>
    <w:bookmarkStart w:id="66" w:name="references"/>
    <w:p>
      <w:pPr>
        <w:pStyle w:val="Heading2"/>
      </w:pPr>
      <w:r>
        <w:t xml:space="preserve">References</w:t>
      </w:r>
    </w:p>
    <w:p>
      <w:pPr>
        <w:pStyle w:val="FirstParagraph"/>
      </w:pPr>
      <w:r>
        <w:t xml:space="preserve">Aschauer, D.A. (1989),</w:t>
      </w:r>
      <w:r>
        <w:t xml:space="preserve"> </w:t>
      </w:r>
      <w:r>
        <w:t xml:space="preserve">“</w:t>
      </w:r>
      <w:r>
        <w:t xml:space="preserve">Is public expenditure productive?</w:t>
      </w:r>
      <w:r>
        <w:t xml:space="preserve">”</w:t>
      </w:r>
      <w:r>
        <w:t xml:space="preserve">,</w:t>
      </w:r>
      <w:r>
        <w:t xml:space="preserve"> </w:t>
      </w:r>
      <w:r>
        <w:rPr>
          <w:iCs/>
          <w:i/>
        </w:rPr>
        <w:t xml:space="preserve">Journal of Monetary Economics</w:t>
      </w:r>
      <w:r>
        <w:t xml:space="preserve">, Vol. 23 No. 2, pp. 177–200.</w:t>
      </w:r>
    </w:p>
    <w:p>
      <w:pPr>
        <w:pStyle w:val="BodyText"/>
      </w:pPr>
      <w:r>
        <w:t xml:space="preserve">Banalieva, E.R., Eddleston, K.A. and Zellweger, T.M. (2017),</w:t>
      </w:r>
      <w:r>
        <w:t xml:space="preserve"> </w:t>
      </w:r>
      <w:r>
        <w:t xml:space="preserve">“</w:t>
      </w:r>
      <w:r>
        <w:t xml:space="preserve">When do family firms have an advantage in transitioning economies? Toward a dynamic institution-based view</w:t>
      </w:r>
      <w:r>
        <w:t xml:space="preserve">”</w:t>
      </w:r>
      <w:r>
        <w:t xml:space="preserve">,</w:t>
      </w:r>
      <w:r>
        <w:t xml:space="preserve"> </w:t>
      </w:r>
      <w:r>
        <w:rPr>
          <w:iCs/>
          <w:i/>
        </w:rPr>
        <w:t xml:space="preserve">Strategic Management Journal</w:t>
      </w:r>
      <w:r>
        <w:t xml:space="preserve">, Vol. 38 No. 4, pp. 800–824.</w:t>
      </w:r>
    </w:p>
    <w:p>
      <w:pPr>
        <w:pStyle w:val="BodyText"/>
      </w:pPr>
      <w:r>
        <w:t xml:space="preserve">Burgess, R. and Pande, R. (2005),</w:t>
      </w:r>
      <w:r>
        <w:t xml:space="preserve"> </w:t>
      </w:r>
      <w:r>
        <w:t xml:space="preserve">“</w:t>
      </w:r>
      <w:r>
        <w:t xml:space="preserve">Do rural banks matter? Evidence from the Indian social banking experiment</w:t>
      </w:r>
      <w:r>
        <w:t xml:space="preserve">”</w:t>
      </w:r>
      <w:r>
        <w:t xml:space="preserve">,</w:t>
      </w:r>
      <w:r>
        <w:t xml:space="preserve"> </w:t>
      </w:r>
      <w:r>
        <w:rPr>
          <w:iCs/>
          <w:i/>
        </w:rPr>
        <w:t xml:space="preserve">American Economic Review</w:t>
      </w:r>
      <w:r>
        <w:t xml:space="preserve">, Vol. 95 No. 3, pp. 780–795.</w:t>
      </w:r>
    </w:p>
    <w:p>
      <w:pPr>
        <w:pStyle w:val="BodyText"/>
      </w:pPr>
      <w:r>
        <w:t xml:space="preserve">Cameron, A.C., Gelbach, J.B. and Miller, D.L. (2008),</w:t>
      </w:r>
      <w:r>
        <w:t xml:space="preserve"> </w:t>
      </w:r>
      <w:r>
        <w:t xml:space="preserve">“</w:t>
      </w:r>
      <w:r>
        <w:t xml:space="preserve">Bootstrap-based improvements for inference with clustered errors</w:t>
      </w:r>
      <w:r>
        <w:t xml:space="preserve">”</w:t>
      </w:r>
      <w:r>
        <w:t xml:space="preserve">,</w:t>
      </w:r>
      <w:r>
        <w:t xml:space="preserve"> </w:t>
      </w:r>
      <w:r>
        <w:rPr>
          <w:iCs/>
          <w:i/>
        </w:rPr>
        <w:t xml:space="preserve">Review of Economics and Statistics</w:t>
      </w:r>
      <w:r>
        <w:t xml:space="preserve">, Vol. 90 No. 3, pp. 414–427.</w:t>
      </w:r>
    </w:p>
    <w:p>
      <w:pPr>
        <w:pStyle w:val="BodyText"/>
      </w:pPr>
      <w:r>
        <w:t xml:space="preserve">Chittoor, R., Sarkar, M.B., Ray, S. and Aulakh, P.S. (2009),</w:t>
      </w:r>
      <w:r>
        <w:t xml:space="preserve"> </w:t>
      </w:r>
      <w:r>
        <w:t xml:space="preserve">“</w:t>
      </w:r>
      <w:r>
        <w:t xml:space="preserve">Third-world copycats to emerging multinationals: institutional changes and organizational transformation in the Indian pharmaceutical industry</w:t>
      </w:r>
      <w:r>
        <w:t xml:space="preserve">”</w:t>
      </w:r>
      <w:r>
        <w:t xml:space="preserve">,</w:t>
      </w:r>
      <w:r>
        <w:t xml:space="preserve"> </w:t>
      </w:r>
      <w:r>
        <w:rPr>
          <w:iCs/>
          <w:i/>
        </w:rPr>
        <w:t xml:space="preserve">Organization Science</w:t>
      </w:r>
      <w:r>
        <w:t xml:space="preserve">, Vol. 20 No. 1, pp. 187–205.</w:t>
      </w:r>
    </w:p>
    <w:p>
      <w:pPr>
        <w:pStyle w:val="BodyText"/>
      </w:pPr>
      <w:r>
        <w:t xml:space="preserve">Chodorow-Reich, G., Gopinath, G., Mishra, P. and Narayanan, A. (2020),</w:t>
      </w:r>
      <w:r>
        <w:t xml:space="preserve"> </w:t>
      </w:r>
      <w:r>
        <w:t xml:space="preserve">“</w:t>
      </w:r>
      <w:r>
        <w:t xml:space="preserve">Cash and the economy: evidence from India’s demonetization</w:t>
      </w:r>
      <w:r>
        <w:t xml:space="preserve">”</w:t>
      </w:r>
      <w:r>
        <w:t xml:space="preserve">,</w:t>
      </w:r>
      <w:r>
        <w:t xml:space="preserve"> </w:t>
      </w:r>
      <w:r>
        <w:rPr>
          <w:iCs/>
          <w:i/>
        </w:rPr>
        <w:t xml:space="preserve">Quarterly Journal of Economics</w:t>
      </w:r>
      <w:r>
        <w:t xml:space="preserve">, Vol. 135 No. 1, pp. 57–103.</w:t>
      </w:r>
    </w:p>
    <w:p>
      <w:pPr>
        <w:pStyle w:val="BodyText"/>
      </w:pPr>
      <w:r>
        <w:t xml:space="preserve">Cohen, W.M. and Levinthal, D.A. (1990),</w:t>
      </w:r>
      <w:r>
        <w:t xml:space="preserve"> </w:t>
      </w:r>
      <w:r>
        <w:t xml:space="preserve">“</w:t>
      </w:r>
      <w:r>
        <w:t xml:space="preserve">Absorptive capacity: a new perspective on learning and innovation</w:t>
      </w:r>
      <w:r>
        <w:t xml:space="preserve">”</w:t>
      </w:r>
      <w:r>
        <w:t xml:space="preserve">,</w:t>
      </w:r>
      <w:r>
        <w:t xml:space="preserve"> </w:t>
      </w:r>
      <w:r>
        <w:rPr>
          <w:iCs/>
          <w:i/>
        </w:rPr>
        <w:t xml:space="preserve">Administrative Science Quarterly</w:t>
      </w:r>
      <w:r>
        <w:t xml:space="preserve">, Vol. 35 No. 1, pp. 128–152.</w:t>
      </w:r>
    </w:p>
    <w:p>
      <w:pPr>
        <w:pStyle w:val="BodyText"/>
      </w:pPr>
      <w:r>
        <w:t xml:space="preserve">Contractor, F.J. (2007),</w:t>
      </w:r>
      <w:r>
        <w:t xml:space="preserve"> </w:t>
      </w:r>
      <w:r>
        <w:t xml:space="preserve">“</w:t>
      </w:r>
      <w:r>
        <w:t xml:space="preserve">Is international business good for companies? The evolutionary or multi-stage theory of internationalization vs. the transaction cost perspective</w:t>
      </w:r>
      <w:r>
        <w:t xml:space="preserve">”</w:t>
      </w:r>
      <w:r>
        <w:t xml:space="preserve">,</w:t>
      </w:r>
      <w:r>
        <w:t xml:space="preserve"> </w:t>
      </w:r>
      <w:r>
        <w:rPr>
          <w:iCs/>
          <w:i/>
        </w:rPr>
        <w:t xml:space="preserve">Management International Review</w:t>
      </w:r>
      <w:r>
        <w:t xml:space="preserve">, Vol. 47 No. 3, pp. 453–475.</w:t>
      </w:r>
    </w:p>
    <w:p>
      <w:pPr>
        <w:pStyle w:val="BodyText"/>
      </w:pPr>
      <w:r>
        <w:t xml:space="preserve">Contractor, F.J., Kumar, V. and Kundu, S.K. (2007),</w:t>
      </w:r>
      <w:r>
        <w:t xml:space="preserve"> </w:t>
      </w:r>
      <w:r>
        <w:t xml:space="preserve">“</w:t>
      </w:r>
      <w:r>
        <w:t xml:space="preserve">Nature of the relationship between international expansion and performance: the case of emerging market firms</w:t>
      </w:r>
      <w:r>
        <w:t xml:space="preserve">”</w:t>
      </w:r>
      <w:r>
        <w:t xml:space="preserve">,</w:t>
      </w:r>
      <w:r>
        <w:t xml:space="preserve"> </w:t>
      </w:r>
      <w:r>
        <w:rPr>
          <w:iCs/>
          <w:i/>
        </w:rPr>
        <w:t xml:space="preserve">Journal of World Business</w:t>
      </w:r>
      <w:r>
        <w:t xml:space="preserve">, Vol. 42 No. 4, pp. 401–417.</w:t>
      </w:r>
    </w:p>
    <w:p>
      <w:pPr>
        <w:pStyle w:val="BodyText"/>
      </w:pPr>
      <w:r>
        <w:t xml:space="preserve">Cuervo-Cazurra, A. (2012),</w:t>
      </w:r>
      <w:r>
        <w:t xml:space="preserve"> </w:t>
      </w:r>
      <w:r>
        <w:t xml:space="preserve">“</w:t>
      </w:r>
      <w:r>
        <w:t xml:space="preserve">Extending theory by analyzing developing country multinational companies: solving the goldilocks debate</w:t>
      </w:r>
      <w:r>
        <w:t xml:space="preserve">”</w:t>
      </w:r>
      <w:r>
        <w:t xml:space="preserve">,</w:t>
      </w:r>
      <w:r>
        <w:t xml:space="preserve"> </w:t>
      </w:r>
      <w:r>
        <w:rPr>
          <w:iCs/>
          <w:i/>
        </w:rPr>
        <w:t xml:space="preserve">Global Strategy Journal</w:t>
      </w:r>
      <w:r>
        <w:t xml:space="preserve">, Vol. 2 No. 3, pp. 153–167.</w:t>
      </w:r>
    </w:p>
    <w:p>
      <w:pPr>
        <w:pStyle w:val="BodyText"/>
      </w:pPr>
      <w:r>
        <w:t xml:space="preserve">Authors (2025). Details omitted for double-blind review.</w:t>
      </w:r>
    </w:p>
    <w:p>
      <w:pPr>
        <w:pStyle w:val="BodyText"/>
      </w:pPr>
      <w:r>
        <w:t xml:space="preserve">Donaldson, D. (2018),</w:t>
      </w:r>
      <w:r>
        <w:t xml:space="preserve"> </w:t>
      </w:r>
      <w:r>
        <w:t xml:space="preserve">“</w:t>
      </w:r>
      <w:r>
        <w:t xml:space="preserve">Railroads of the Raj: estimating the impact of transportation infrastructure</w:t>
      </w:r>
      <w:r>
        <w:t xml:space="preserve">”</w:t>
      </w:r>
      <w:r>
        <w:t xml:space="preserve">,</w:t>
      </w:r>
      <w:r>
        <w:t xml:space="preserve"> </w:t>
      </w:r>
      <w:r>
        <w:rPr>
          <w:iCs/>
          <w:i/>
        </w:rPr>
        <w:t xml:space="preserve">American Economic Review</w:t>
      </w:r>
      <w:r>
        <w:t xml:space="preserve">, Vol. 108 No. 4–5, pp. 899–934.</w:t>
      </w:r>
    </w:p>
    <w:p>
      <w:pPr>
        <w:pStyle w:val="BodyText"/>
      </w:pPr>
      <w:r>
        <w:t xml:space="preserve">Elango, B. and Pattnaik, C. (2007),</w:t>
      </w:r>
      <w:r>
        <w:t xml:space="preserve"> </w:t>
      </w:r>
      <w:r>
        <w:t xml:space="preserve">“</w:t>
      </w:r>
      <w:r>
        <w:t xml:space="preserve">Building capabilities for international operations through networks: a study of Indian firms</w:t>
      </w:r>
      <w:r>
        <w:t xml:space="preserve">”</w:t>
      </w:r>
      <w:r>
        <w:t xml:space="preserve">,</w:t>
      </w:r>
      <w:r>
        <w:t xml:space="preserve"> </w:t>
      </w:r>
      <w:r>
        <w:rPr>
          <w:iCs/>
          <w:i/>
        </w:rPr>
        <w:t xml:space="preserve">Journal of International Business Studies</w:t>
      </w:r>
      <w:r>
        <w:t xml:space="preserve">, Vol. 38 No. 4, pp. 541–555.</w:t>
      </w:r>
    </w:p>
    <w:p>
      <w:pPr>
        <w:pStyle w:val="BodyText"/>
      </w:pPr>
      <w:r>
        <w:t xml:space="preserve">Hambrick, D.C. and Mason, P.A. (1984),</w:t>
      </w:r>
      <w:r>
        <w:t xml:space="preserve"> </w:t>
      </w:r>
      <w:r>
        <w:t xml:space="preserve">“</w:t>
      </w:r>
      <w:r>
        <w:t xml:space="preserve">Upper echelons: the organization as a reflection of its top managers</w:t>
      </w:r>
      <w:r>
        <w:t xml:space="preserve">”</w:t>
      </w:r>
      <w:r>
        <w:t xml:space="preserve">,</w:t>
      </w:r>
      <w:r>
        <w:t xml:space="preserve"> </w:t>
      </w:r>
      <w:r>
        <w:rPr>
          <w:iCs/>
          <w:i/>
        </w:rPr>
        <w:t xml:space="preserve">Academy of Management Review</w:t>
      </w:r>
      <w:r>
        <w:t xml:space="preserve">, Vol. 9 No. 2, pp. 193–206.</w:t>
      </w:r>
    </w:p>
    <w:p>
      <w:pPr>
        <w:pStyle w:val="BodyText"/>
      </w:pPr>
      <w:r>
        <w:t xml:space="preserve">Hennart, J.F. (2007),</w:t>
      </w:r>
      <w:r>
        <w:t xml:space="preserve"> </w:t>
      </w:r>
      <w:r>
        <w:t xml:space="preserve">“</w:t>
      </w:r>
      <w:r>
        <w:t xml:space="preserve">The theoretical rationale for a multinationality-performance relationship</w:t>
      </w:r>
      <w:r>
        <w:t xml:space="preserve">”</w:t>
      </w:r>
      <w:r>
        <w:t xml:space="preserve">,</w:t>
      </w:r>
      <w:r>
        <w:t xml:space="preserve"> </w:t>
      </w:r>
      <w:r>
        <w:rPr>
          <w:iCs/>
          <w:i/>
        </w:rPr>
        <w:t xml:space="preserve">Management International Review</w:t>
      </w:r>
      <w:r>
        <w:t xml:space="preserve">, Vol. 47 No. 3, pp. 423–452.</w:t>
      </w:r>
    </w:p>
    <w:p>
      <w:pPr>
        <w:pStyle w:val="BodyText"/>
      </w:pPr>
      <w:r>
        <w:t xml:space="preserve">Hutzschenreuter, T., Kleindienst, I., Sarkar Sengupta, A. and Verbeke, A. (2026),</w:t>
      </w:r>
      <w:r>
        <w:t xml:space="preserve"> </w:t>
      </w:r>
      <w:r>
        <w:t xml:space="preserve">“</w:t>
      </w:r>
      <w:r>
        <w:t xml:space="preserve">The performance effects of</w:t>
      </w:r>
      <w:r>
        <w:t xml:space="preserve"> </w:t>
      </w:r>
      <w:r>
        <w:t xml:space="preserve">‘</w:t>
      </w:r>
      <w:r>
        <w:t xml:space="preserve">added cultural distance</w:t>
      </w:r>
      <w:r>
        <w:t xml:space="preserve">’</w:t>
      </w:r>
      <w:r>
        <w:t xml:space="preserve"> </w:t>
      </w:r>
      <w:r>
        <w:t xml:space="preserve">in multinational expansion paths: generalizable and contextual determinants</w:t>
      </w:r>
      <w:r>
        <w:t xml:space="preserve">”</w:t>
      </w:r>
      <w:r>
        <w:t xml:space="preserve">,</w:t>
      </w:r>
      <w:r>
        <w:t xml:space="preserve"> </w:t>
      </w:r>
      <w:r>
        <w:rPr>
          <w:iCs/>
          <w:i/>
        </w:rPr>
        <w:t xml:space="preserve">Multinational Business Review</w:t>
      </w:r>
      <w:r>
        <w:t xml:space="preserve">, available at: https://doi.org/10.1108/mbr-04-2025-0104</w:t>
      </w:r>
    </w:p>
    <w:p>
      <w:pPr>
        <w:pStyle w:val="BodyText"/>
      </w:pPr>
      <w:r>
        <w:t xml:space="preserve">Hutzschenreuter, T. and Voll, J.C. (2008),</w:t>
      </w:r>
      <w:r>
        <w:t xml:space="preserve"> </w:t>
      </w:r>
      <w:r>
        <w:t xml:space="preserve">“</w:t>
      </w:r>
      <w:r>
        <w:t xml:space="preserve">Performance effects of</w:t>
      </w:r>
      <w:r>
        <w:t xml:space="preserve"> </w:t>
      </w:r>
      <w:r>
        <w:t xml:space="preserve">‘</w:t>
      </w:r>
      <w:r>
        <w:t xml:space="preserve">added cultural distance</w:t>
      </w:r>
      <w:r>
        <w:t xml:space="preserve">’</w:t>
      </w:r>
      <w:r>
        <w:t xml:space="preserve"> </w:t>
      </w:r>
      <w:r>
        <w:t xml:space="preserve">in the path of international expansion</w:t>
      </w:r>
      <w:r>
        <w:t xml:space="preserve">”</w:t>
      </w:r>
      <w:r>
        <w:t xml:space="preserve">,</w:t>
      </w:r>
      <w:r>
        <w:t xml:space="preserve"> </w:t>
      </w:r>
      <w:r>
        <w:rPr>
          <w:iCs/>
          <w:i/>
        </w:rPr>
        <w:t xml:space="preserve">Journal of International Business Studies</w:t>
      </w:r>
      <w:r>
        <w:t xml:space="preserve">, Vol. 39 No. 1, pp. 53–70.</w:t>
      </w:r>
    </w:p>
    <w:p>
      <w:pPr>
        <w:pStyle w:val="BodyText"/>
      </w:pPr>
      <w:r>
        <w:t xml:space="preserve">Johanson, J. and Vahlne, J.E. (1977),</w:t>
      </w:r>
      <w:r>
        <w:t xml:space="preserve"> </w:t>
      </w:r>
      <w:r>
        <w:t xml:space="preserve">“</w:t>
      </w:r>
      <w:r>
        <w:t xml:space="preserve">The internationalization process of the firm, a model of knowledge development and increasing foreign market commitments</w:t>
      </w:r>
      <w:r>
        <w:t xml:space="preserve">”</w:t>
      </w:r>
      <w:r>
        <w:t xml:space="preserve">,</w:t>
      </w:r>
      <w:r>
        <w:t xml:space="preserve"> </w:t>
      </w:r>
      <w:r>
        <w:rPr>
          <w:iCs/>
          <w:i/>
        </w:rPr>
        <w:t xml:space="preserve">Journal of International Business Studies</w:t>
      </w:r>
      <w:r>
        <w:t xml:space="preserve">, Vol. 8 No. 1, pp. 23–32.</w:t>
      </w:r>
    </w:p>
    <w:p>
      <w:pPr>
        <w:pStyle w:val="BodyText"/>
      </w:pPr>
      <w:r>
        <w:t xml:space="preserve">Lind, J.T. and Mehlum, H. (2010),</w:t>
      </w:r>
      <w:r>
        <w:t xml:space="preserve"> </w:t>
      </w:r>
      <w:r>
        <w:t xml:space="preserve">“</w:t>
      </w:r>
      <w:r>
        <w:t xml:space="preserve">With or without U? The appropriate test for a U-shaped relationship</w:t>
      </w:r>
      <w:r>
        <w:t xml:space="preserve">”</w:t>
      </w:r>
      <w:r>
        <w:t xml:space="preserve">,</w:t>
      </w:r>
      <w:r>
        <w:t xml:space="preserve"> </w:t>
      </w:r>
      <w:r>
        <w:rPr>
          <w:iCs/>
          <w:i/>
        </w:rPr>
        <w:t xml:space="preserve">Oxford Bulletin of Economics and Statistics</w:t>
      </w:r>
      <w:r>
        <w:t xml:space="preserve">, Vol. 72 No. 1, pp. 109–118.</w:t>
      </w:r>
    </w:p>
    <w:p>
      <w:pPr>
        <w:pStyle w:val="BodyText"/>
      </w:pPr>
      <w:r>
        <w:t xml:space="preserve">Lu, J.W. and Beamish, P.W. (2004),</w:t>
      </w:r>
      <w:r>
        <w:t xml:space="preserve"> </w:t>
      </w:r>
      <w:r>
        <w:t xml:space="preserve">“</w:t>
      </w:r>
      <w:r>
        <w:t xml:space="preserve">International diversification and firm performance: the S-curve hypothesis</w:t>
      </w:r>
      <w:r>
        <w:t xml:space="preserve">”</w:t>
      </w:r>
      <w:r>
        <w:t xml:space="preserve">,</w:t>
      </w:r>
      <w:r>
        <w:t xml:space="preserve"> </w:t>
      </w:r>
      <w:r>
        <w:rPr>
          <w:iCs/>
          <w:i/>
        </w:rPr>
        <w:t xml:space="preserve">Academy of Management Journal</w:t>
      </w:r>
      <w:r>
        <w:t xml:space="preserve">, Vol. 47 No. 4, pp. 598–609.</w:t>
      </w:r>
    </w:p>
    <w:p>
      <w:pPr>
        <w:pStyle w:val="BodyText"/>
      </w:pPr>
      <w:r>
        <w:t xml:space="preserve">MacKinnon, J.G. and Webb, M.D. (2017),</w:t>
      </w:r>
      <w:r>
        <w:t xml:space="preserve"> </w:t>
      </w:r>
      <w:r>
        <w:t xml:space="preserve">“</w:t>
      </w:r>
      <w:r>
        <w:t xml:space="preserve">Wild bootstrap inference for wildly different cluster sizes</w:t>
      </w:r>
      <w:r>
        <w:t xml:space="preserve">”</w:t>
      </w:r>
      <w:r>
        <w:t xml:space="preserve">,</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w:t>
      </w:r>
      <w:r>
        <w:t xml:space="preserve"> </w:t>
      </w:r>
      <w:r>
        <w:t xml:space="preserve">“</w:t>
      </w:r>
      <w:r>
        <w:t xml:space="preserve">Home country institutions and the internationalization-performance relationship: a meta-analytic review</w:t>
      </w:r>
      <w:r>
        <w:t xml:space="preserve">”</w:t>
      </w:r>
      <w:r>
        <w:t xml:space="preserve">,</w:t>
      </w:r>
      <w:r>
        <w:t xml:space="preserve"> </w:t>
      </w:r>
      <w:r>
        <w:rPr>
          <w:iCs/>
          <w:i/>
        </w:rPr>
        <w:t xml:space="preserve">Journal of Management</w:t>
      </w:r>
      <w:r>
        <w:t xml:space="preserve">, Vol. 42 No. 5, pp. 1075–1110.</w:t>
      </w:r>
    </w:p>
    <w:p>
      <w:pPr>
        <w:pStyle w:val="BodyText"/>
      </w:pPr>
      <w:r>
        <w:t xml:space="preserve">Mizik, N. and Jacobson, R. (2003),</w:t>
      </w:r>
      <w:r>
        <w:t xml:space="preserve"> </w:t>
      </w:r>
      <w:r>
        <w:t xml:space="preserve">“</w:t>
      </w:r>
      <w:r>
        <w:t xml:space="preserve">Trading off between value creation and value appropriation: the financial implications of shifts in strategic emphasis</w:t>
      </w:r>
      <w:r>
        <w:t xml:space="preserve">”</w:t>
      </w:r>
      <w:r>
        <w:t xml:space="preserve">,</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Paternoster, R., Brame, R., Mazerolle, P. and Piquero, A. (1998),</w:t>
      </w:r>
      <w:r>
        <w:t xml:space="preserve"> </w:t>
      </w:r>
      <w:r>
        <w:t xml:space="preserve">“</w:t>
      </w:r>
      <w:r>
        <w:t xml:space="preserve">Using the correct statistical test for the equality of regression coefficients</w:t>
      </w:r>
      <w:r>
        <w:t xml:space="preserve">”</w:t>
      </w:r>
      <w:r>
        <w:t xml:space="preserve">,</w:t>
      </w:r>
      <w:r>
        <w:t xml:space="preserve"> </w:t>
      </w:r>
      <w:r>
        <w:rPr>
          <w:iCs/>
          <w:i/>
        </w:rPr>
        <w:t xml:space="preserve">Criminology</w:t>
      </w:r>
      <w:r>
        <w:t xml:space="preserve">, Vol. 36 No. 4, pp. 859–866.</w:t>
      </w:r>
    </w:p>
    <w:p>
      <w:pPr>
        <w:pStyle w:val="BodyText"/>
      </w:pPr>
      <w:r>
        <w:t xml:space="preserve">Peng, M.W., Wang, D.Y.L. and Jiang, Y. (2008),</w:t>
      </w:r>
      <w:r>
        <w:t xml:space="preserve"> </w:t>
      </w:r>
      <w:r>
        <w:t xml:space="preserve">“</w:t>
      </w:r>
      <w:r>
        <w:t xml:space="preserve">An institution-based view of international business strategy: a focus on emerging economies</w:t>
      </w:r>
      <w:r>
        <w:t xml:space="preserve">”</w:t>
      </w:r>
      <w:r>
        <w:t xml:space="preserve">,</w:t>
      </w:r>
      <w:r>
        <w:t xml:space="preserve"> </w:t>
      </w:r>
      <w:r>
        <w:rPr>
          <w:iCs/>
          <w:i/>
        </w:rPr>
        <w:t xml:space="preserve">Journal of International Business Studies</w:t>
      </w:r>
      <w:r>
        <w:t xml:space="preserve">, Vol. 39 No. 5, pp. 920–936.</w:t>
      </w:r>
    </w:p>
    <w:p>
      <w:pPr>
        <w:pStyle w:val="BodyText"/>
      </w:pPr>
      <w:r>
        <w:t xml:space="preserve">Peng, M.W., Sun, S.L., Pinkham, B. and Chen, H. (2009),</w:t>
      </w:r>
      <w:r>
        <w:t xml:space="preserve"> </w:t>
      </w:r>
      <w:r>
        <w:t xml:space="preserve">“</w:t>
      </w:r>
      <w:r>
        <w:t xml:space="preserve">The institution-based view as a third leg for a strategy tripod</w:t>
      </w:r>
      <w:r>
        <w:t xml:space="preserve">”</w:t>
      </w:r>
      <w:r>
        <w:t xml:space="preserve">,</w:t>
      </w:r>
      <w:r>
        <w:t xml:space="preserve"> </w:t>
      </w:r>
      <w:r>
        <w:rPr>
          <w:iCs/>
          <w:i/>
        </w:rPr>
        <w:t xml:space="preserve">Academy of Management Perspectives</w:t>
      </w:r>
      <w:r>
        <w:t xml:space="preserve">, Vol. 23 No. 3, pp. 63–81.</w:t>
      </w:r>
    </w:p>
    <w:p>
      <w:pPr>
        <w:pStyle w:val="BodyText"/>
      </w:pPr>
      <w:r>
        <w:t xml:space="preserve">Singh, D.A. (2009),</w:t>
      </w:r>
      <w:r>
        <w:t xml:space="preserve"> </w:t>
      </w:r>
      <w:r>
        <w:t xml:space="preserve">“</w:t>
      </w:r>
      <w:r>
        <w:t xml:space="preserve">Export performance of emerging market firms</w:t>
      </w:r>
      <w:r>
        <w:t xml:space="preserve">”</w:t>
      </w:r>
      <w:r>
        <w:t xml:space="preserve">,</w:t>
      </w:r>
      <w:r>
        <w:t xml:space="preserve"> </w:t>
      </w:r>
      <w:r>
        <w:rPr>
          <w:iCs/>
          <w:i/>
        </w:rPr>
        <w:t xml:space="preserve">International Business Review</w:t>
      </w:r>
      <w:r>
        <w:t xml:space="preserve">, Vol. 18 No. 4, pp. 321–330.</w:t>
      </w:r>
    </w:p>
    <w:p>
      <w:pPr>
        <w:pStyle w:val="BodyText"/>
      </w:pPr>
      <w:r>
        <w:t xml:space="preserve">Teece, D.J. (2007),</w:t>
      </w:r>
      <w:r>
        <w:t xml:space="preserve"> </w:t>
      </w:r>
      <w:r>
        <w:t xml:space="preserve">“</w:t>
      </w:r>
      <w:r>
        <w:t xml:space="preserve">Explicating dynamic capabilities: the nature and microfoundations of (sustainable) enterprise performance</w:t>
      </w:r>
      <w:r>
        <w:t xml:space="preserve">”</w:t>
      </w:r>
      <w:r>
        <w:t xml:space="preserve">,</w:t>
      </w:r>
      <w:r>
        <w:t xml:space="preserve"> </w:t>
      </w:r>
      <w:r>
        <w:rPr>
          <w:iCs/>
          <w:i/>
        </w:rPr>
        <w:t xml:space="preserve">Strategic Management Journal</w:t>
      </w:r>
      <w:r>
        <w:t xml:space="preserve">, Vol. 28 No. 13, pp. 1319–1350.</w:t>
      </w:r>
    </w:p>
    <w:p>
      <w:pPr>
        <w:pStyle w:val="BodyText"/>
      </w:pPr>
      <w:r>
        <w:t xml:space="preserve">Verbeke, A. and Forootan, M.Z. (2012),</w:t>
      </w:r>
      <w:r>
        <w:t xml:space="preserve"> </w:t>
      </w:r>
      <w:r>
        <w:t xml:space="preserve">“</w:t>
      </w:r>
      <w:r>
        <w:t xml:space="preserve">How good are multinationality–performance (M-P) empirical studies?</w:t>
      </w:r>
      <w:r>
        <w:t xml:space="preserve">”</w:t>
      </w:r>
      <w:r>
        <w:t xml:space="preserve">,</w:t>
      </w:r>
      <w:r>
        <w:t xml:space="preserve"> </w:t>
      </w:r>
      <w:r>
        <w:rPr>
          <w:iCs/>
          <w:i/>
        </w:rPr>
        <w:t xml:space="preserve">Global Strategy Journal</w:t>
      </w:r>
      <w:r>
        <w:t xml:space="preserve">, Vol. 2 No. 4, pp. 332–344.</w:t>
      </w:r>
    </w:p>
    <w:p>
      <w:pPr>
        <w:pStyle w:val="BodyText"/>
      </w:pPr>
      <w:r>
        <w:t xml:space="preserve">Williamson, O.E. (2000),</w:t>
      </w:r>
      <w:r>
        <w:t xml:space="preserve"> </w:t>
      </w:r>
      <w:r>
        <w:t xml:space="preserve">“</w:t>
      </w:r>
      <w:r>
        <w:t xml:space="preserve">The new institutional economics: taking stock, looking ahead</w:t>
      </w:r>
      <w:r>
        <w:t xml:space="preserve">”</w:t>
      </w:r>
      <w:r>
        <w:t xml:space="preserve">,</w:t>
      </w:r>
      <w:r>
        <w:t xml:space="preserve"> </w:t>
      </w:r>
      <w:r>
        <w:rPr>
          <w:iCs/>
          <w:i/>
        </w:rPr>
        <w:t xml:space="preserve">Journal of Economic Literature</w:t>
      </w:r>
      <w:r>
        <w:t xml:space="preserve">, Vol. 38 No. 3, pp. 595–613.</w:t>
      </w:r>
    </w:p>
    <w:p>
      <w:r>
        <w:pict>
          <v:rect style="width:0;height:1.5pt" o:hralign="center" o:hrstd="t" o:hr="t"/>
        </w:pict>
      </w:r>
    </w:p>
    <w:bookmarkEnd w:id="66"/>
    <w:bookmarkEnd w:id="6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2026-06-20T21:10:00Z</dcterms:created>
  <dcterms:modified xsi:type="dcterms:W3CDTF">2026-06-20T21:10:00Z</dcterms:modified>
</cp:coreProperties>
</file>

<file path=docProps/custom.xml><?xml version="1.0" encoding="utf-8"?>
<Properties xmlns="http://schemas.openxmlformats.org/officeDocument/2006/custom-properties" xmlns:vt="http://schemas.openxmlformats.org/officeDocument/2006/docPropsVTypes"/>
</file>