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t xml:space="preserve">This study examines whether the inverted-U relationship between export intensity and firm productivity among Indian private firms is structurally durable across the 2014 to 2025 institutional and digital transformation decade (demonetisation, GST, IBC, UPI saturation, PLI, Atmanirbhar Bharat), and whether technological and digital capabilities moderate the threshold. Three World Bank Enterprise Survey waves for India (2014 PICS3, 2022 BEE, 2025 BREADY; analytic N = 28,717) are estimated by OLS with HC1 robust standard errors, quadratic FSTS terms, and capability interactions; Lind–Mehlum U-tests verify the inverted-U per wave and Paternoster z-tests evaluate 2014-versus-2025 coefficient equality, with the April 2016 UPI rollout providing a quasi-experiment for digital saturation. The inverted-U structurally collapses: the turning point migrates from FSTS = 61.8 per cent (2014) to 40.7 per cent (2022), and by 2025 the curvature term is insignificant (β₂ = −0.16, p = 0.42) and the relationship is monotonically negative. Paternoster z-tests reject coefficient equality for the linear (z = −7.94) and quadratic (z = +4.17) terms (both p &lt; 0.0001), and the UPI Tier-2 e-payment interaction is negative (FSTS × DAI_epay = −4.02, p = 0.004). The study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(Authors, 2025) is acknowledged as prior author work.</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(Authors, 2025).</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(N_raw = 9,281), 2022 BEE (N_raw = 9,376), and 2025 BREADY (N_raw = 10,479); analytic samples after listwise deletion are 8,941, 9,300, and 10,476 (pooled N = 28,717).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Authors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753100" cy="4351703"/>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753100" cy="4351703"/>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753100" cy="3376880"/>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753100" cy="3376880"/>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753100" cy="3759293"/>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753100" cy="3759293"/>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753100" cy="4032177"/>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753100" cy="4032177"/>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Section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Section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Section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(Authors,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(Authors, 2025)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Authors (2025). Details omitted for double-blind review.</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2026-06-20T21:09:58Z</dcterms:created>
  <dcterms:modified xsi:type="dcterms:W3CDTF">2026-06-20T21:09:58Z</dcterms:modified>
</cp:coreProperties>
</file>

<file path=docProps/custom.xml><?xml version="1.0" encoding="utf-8"?>
<Properties xmlns="http://schemas.openxmlformats.org/officeDocument/2006/custom-properties" xmlns:vt="http://schemas.openxmlformats.org/officeDocument/2006/docPropsVTypes"/>
</file>